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69DC" w14:textId="77777777" w:rsidR="008F3D71" w:rsidRDefault="00AD7C56" w:rsidP="00FC3D39">
      <w:pPr>
        <w:pStyle w:val="Heading1"/>
        <w:spacing w:before="160"/>
        <w:jc w:val="right"/>
        <w:rPr>
          <w:rFonts w:ascii="Times New Roman" w:hAnsi="Times New Roman"/>
          <w:smallCaps/>
          <w:spacing w:val="-20"/>
          <w:sz w:val="36"/>
        </w:rPr>
      </w:pPr>
      <w:r>
        <w:rPr>
          <w:noProof/>
          <w:sz w:val="20"/>
        </w:rPr>
        <w:drawing>
          <wp:anchor distT="0" distB="0" distL="114300" distR="114300" simplePos="0" relativeHeight="251658240" behindDoc="0" locked="0" layoutInCell="1" allowOverlap="1" wp14:anchorId="4D5AAEB1" wp14:editId="2AEC8835">
            <wp:simplePos x="0" y="0"/>
            <wp:positionH relativeFrom="column">
              <wp:posOffset>27305</wp:posOffset>
            </wp:positionH>
            <wp:positionV relativeFrom="page">
              <wp:posOffset>572135</wp:posOffset>
            </wp:positionV>
            <wp:extent cx="1290320" cy="708025"/>
            <wp:effectExtent l="0" t="0" r="0" b="0"/>
            <wp:wrapNone/>
            <wp:docPr id="7" name="Picture 7" descr="FNSB_logo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SB_logo_lt-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32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D71">
        <w:rPr>
          <w:rFonts w:ascii="Times New Roman" w:hAnsi="Times New Roman"/>
          <w:smallCaps/>
          <w:spacing w:val="-20"/>
          <w:sz w:val="36"/>
        </w:rPr>
        <w:t>Fairbanks North Star Borough School District</w:t>
      </w:r>
    </w:p>
    <w:p w14:paraId="55ADD6FE" w14:textId="77777777" w:rsidR="008F3D71" w:rsidRPr="00455398" w:rsidRDefault="008F3D71" w:rsidP="00FC3D39">
      <w:pPr>
        <w:tabs>
          <w:tab w:val="left" w:pos="4410"/>
        </w:tabs>
        <w:spacing w:before="220" w:after="120"/>
        <w:ind w:left="2880"/>
        <w:rPr>
          <w:rFonts w:cs="Arial"/>
          <w:sz w:val="20"/>
        </w:rPr>
      </w:pPr>
      <w:r w:rsidRPr="00455398">
        <w:rPr>
          <w:rFonts w:cs="Arial"/>
          <w:sz w:val="20"/>
        </w:rPr>
        <w:t xml:space="preserve">520 Fifth Avenue     Fairbanks, Alaska  99701-4756     (907) 452-2000 </w:t>
      </w:r>
    </w:p>
    <w:p w14:paraId="091D9F59" w14:textId="77777777" w:rsidR="008F3D71" w:rsidRPr="00455398" w:rsidRDefault="00EF2598" w:rsidP="00FC3D39">
      <w:pPr>
        <w:pStyle w:val="Heading1"/>
        <w:spacing w:before="60"/>
        <w:rPr>
          <w:rFonts w:cs="Arial"/>
          <w:b w:val="0"/>
          <w:bCs/>
          <w:spacing w:val="20"/>
          <w:sz w:val="18"/>
        </w:rPr>
      </w:pPr>
      <w:r>
        <w:rPr>
          <w:rFonts w:cs="Arial"/>
          <w:b w:val="0"/>
          <w:bCs/>
        </w:rPr>
        <w:t xml:space="preserve">                                                                                   </w:t>
      </w:r>
      <w:r w:rsidR="008F3D71" w:rsidRPr="00455398">
        <w:rPr>
          <w:rFonts w:cs="Arial"/>
          <w:b w:val="0"/>
          <w:bCs/>
          <w:spacing w:val="20"/>
          <w:sz w:val="18"/>
        </w:rPr>
        <w:t>www</w:t>
      </w:r>
      <w:r w:rsidR="008F3D71" w:rsidRPr="00455398">
        <w:rPr>
          <w:rFonts w:cs="Arial"/>
          <w:spacing w:val="20"/>
          <w:sz w:val="18"/>
        </w:rPr>
        <w:t>.</w:t>
      </w:r>
      <w:r w:rsidR="00132911" w:rsidRPr="00455398">
        <w:rPr>
          <w:rFonts w:cs="Arial"/>
          <w:b w:val="0"/>
          <w:bCs/>
          <w:spacing w:val="20"/>
          <w:sz w:val="18"/>
        </w:rPr>
        <w:t>k12northstar.org</w:t>
      </w:r>
    </w:p>
    <w:p w14:paraId="5076E156" w14:textId="77777777" w:rsidR="008F3D71" w:rsidRDefault="008F3D71" w:rsidP="00FC3D39">
      <w:pPr>
        <w:rPr>
          <w:sz w:val="16"/>
        </w:rPr>
      </w:pPr>
    </w:p>
    <w:p w14:paraId="7BAF8F6F" w14:textId="77777777" w:rsidR="008F3D71" w:rsidRDefault="00AD7C56" w:rsidP="00FC3D39">
      <w:pPr>
        <w:pStyle w:val="Heading1"/>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9264" behindDoc="0" locked="0" layoutInCell="0" allowOverlap="1" wp14:anchorId="4F3223CF" wp14:editId="51948BC6">
                <wp:simplePos x="0" y="0"/>
                <wp:positionH relativeFrom="column">
                  <wp:posOffset>3299460</wp:posOffset>
                </wp:positionH>
                <wp:positionV relativeFrom="paragraph">
                  <wp:posOffset>90805</wp:posOffset>
                </wp:positionV>
                <wp:extent cx="2797175" cy="63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635"/>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FD112C"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7.15pt" to="480.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" o:allowincell="f" strokecolor="gray" strokeweight="2.25pt"/>
            </w:pict>
          </mc:Fallback>
        </mc:AlternateContent>
      </w:r>
      <w:r>
        <w:rPr>
          <w:rFonts w:ascii="Times New Roman" w:hAnsi="Times New Roman"/>
          <w:noProof/>
          <w:sz w:val="18"/>
        </w:rPr>
        <mc:AlternateContent>
          <mc:Choice Requires="wps">
            <w:drawing>
              <wp:anchor distT="0" distB="0" distL="114300" distR="114300" simplePos="0" relativeHeight="251657216" behindDoc="0" locked="0" layoutInCell="0" allowOverlap="1" wp14:anchorId="4AC30106" wp14:editId="360B11B5">
                <wp:simplePos x="0" y="0"/>
                <wp:positionH relativeFrom="column">
                  <wp:posOffset>27305</wp:posOffset>
                </wp:positionH>
                <wp:positionV relativeFrom="paragraph">
                  <wp:posOffset>91440</wp:posOffset>
                </wp:positionV>
                <wp:extent cx="279717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635"/>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FD048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2pt" to="222.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" o:allowincell="f" strokecolor="gray" strokeweight="2.25pt"/>
            </w:pict>
          </mc:Fallback>
        </mc:AlternateContent>
      </w:r>
      <w:r>
        <w:rPr>
          <w:rFonts w:ascii="Times New Roman" w:hAnsi="Times New Roman"/>
          <w:noProof/>
          <w:sz w:val="16"/>
        </w:rPr>
        <mc:AlternateContent>
          <mc:Choice Requires="wps">
            <w:drawing>
              <wp:anchor distT="0" distB="0" distL="114300" distR="114300" simplePos="0" relativeHeight="251656192" behindDoc="0" locked="0" layoutInCell="0" allowOverlap="1" wp14:anchorId="61B30E04" wp14:editId="2D2D9150">
                <wp:simplePos x="0" y="0"/>
                <wp:positionH relativeFrom="column">
                  <wp:posOffset>2988945</wp:posOffset>
                </wp:positionH>
                <wp:positionV relativeFrom="paragraph">
                  <wp:posOffset>28575</wp:posOffset>
                </wp:positionV>
                <wp:extent cx="137160" cy="137160"/>
                <wp:effectExtent l="0" t="0" r="0" b="0"/>
                <wp:wrapNone/>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star5">
                          <a:avLst/>
                        </a:prstGeom>
                        <a:solidFill>
                          <a:srgbClr val="808080"/>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49EE09" id="AutoShape 3" o:spid="_x0000_s1026" style="position:absolute;margin-left:235.35pt;margin-top:2.2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" o:allowincell="f" path="m,52390r52391,1l68580,,84769,52391r52391,-1l94775,84769r16190,52391l68580,104780,26195,137160,42385,84769,,52390xe" fillcolor="gray" strokecolor="#969696">
                <v:stroke joinstyle="miter"/>
                <v:path o:connecttype="custom" o:connectlocs="0,52390;52391,52391;68580,0;84769,52391;137160,52390;94775,84769;110965,137160;68580,104780;26195,137160;42385,84769;0,52390" o:connectangles="0,0,0,0,0,0,0,0,0,0,0"/>
                <o:lock v:ext="edit" aspectratio="t"/>
              </v:shape>
            </w:pict>
          </mc:Fallback>
        </mc:AlternateContent>
      </w:r>
    </w:p>
    <w:p w14:paraId="191E8472" w14:textId="77777777" w:rsidR="008F3D71" w:rsidRDefault="008F3D71" w:rsidP="00FC3D39">
      <w:pPr>
        <w:pStyle w:val="Heading1"/>
        <w:rPr>
          <w:rFonts w:ascii="Times New Roman" w:hAnsi="Times New Roman"/>
          <w:sz w:val="18"/>
        </w:rPr>
        <w:sectPr w:rsidR="008F3D71" w:rsidSect="00EF2598">
          <w:pgSz w:w="12240" w:h="15840"/>
          <w:pgMar w:top="630" w:right="1350" w:bottom="630" w:left="1260" w:header="720" w:footer="720" w:gutter="0"/>
          <w:cols w:space="720"/>
        </w:sectPr>
      </w:pPr>
    </w:p>
    <w:p w14:paraId="42CBCB47" w14:textId="77777777" w:rsidR="008F3D71" w:rsidRDefault="008F3D71" w:rsidP="00FC3D39">
      <w:pPr>
        <w:pStyle w:val="Heading1"/>
        <w:rPr>
          <w:rFonts w:ascii="Times New Roman" w:hAnsi="Times New Roman"/>
          <w:sz w:val="18"/>
        </w:rPr>
      </w:pPr>
    </w:p>
    <w:p w14:paraId="1F422FAC" w14:textId="77777777" w:rsidR="008F3D71" w:rsidRDefault="008F3D71" w:rsidP="00FC3D39">
      <w:pPr>
        <w:pStyle w:val="Heading1"/>
        <w:rPr>
          <w:rFonts w:ascii="Times New Roman" w:hAnsi="Times New Roman"/>
          <w:sz w:val="20"/>
        </w:rPr>
        <w:sectPr w:rsidR="008F3D71">
          <w:type w:val="continuous"/>
          <w:pgSz w:w="12240" w:h="15840"/>
          <w:pgMar w:top="630" w:right="1800" w:bottom="630" w:left="677" w:header="720" w:footer="720" w:gutter="0"/>
          <w:cols w:space="720"/>
        </w:sectPr>
      </w:pPr>
    </w:p>
    <w:p w14:paraId="492B9AE6" w14:textId="69DE4B24" w:rsidR="00AD7C56" w:rsidRDefault="0011685D" w:rsidP="00FC3D39">
      <w:pPr>
        <w:pStyle w:val="InsideAddress"/>
        <w:spacing w:line="240" w:lineRule="auto"/>
        <w:rPr>
          <w:rFonts w:cs="Arial"/>
          <w:szCs w:val="24"/>
        </w:rPr>
      </w:pPr>
      <w:r>
        <w:rPr>
          <w:rFonts w:cs="Arial"/>
          <w:szCs w:val="24"/>
        </w:rPr>
        <w:t>April 6</w:t>
      </w:r>
      <w:r w:rsidR="003B4B7F">
        <w:rPr>
          <w:rFonts w:cs="Arial"/>
          <w:szCs w:val="24"/>
        </w:rPr>
        <w:t>, 2021</w:t>
      </w:r>
    </w:p>
    <w:p w14:paraId="28E232FC" w14:textId="77777777" w:rsidR="00AD7C56" w:rsidRDefault="00AD7C56" w:rsidP="00FC3D39">
      <w:pPr>
        <w:pStyle w:val="InsideAddress"/>
        <w:spacing w:line="240" w:lineRule="auto"/>
        <w:rPr>
          <w:rFonts w:cs="Arial"/>
          <w:szCs w:val="24"/>
        </w:rPr>
      </w:pPr>
    </w:p>
    <w:p w14:paraId="08CAC7B0" w14:textId="6800665E" w:rsidR="00AD7C56" w:rsidRPr="001B39F4" w:rsidRDefault="00AD7C56" w:rsidP="00FC3D39">
      <w:pPr>
        <w:pStyle w:val="InsideAddress"/>
        <w:spacing w:line="240" w:lineRule="auto"/>
        <w:rPr>
          <w:rFonts w:cs="Arial"/>
          <w:szCs w:val="24"/>
        </w:rPr>
      </w:pPr>
      <w:r w:rsidRPr="001B39F4">
        <w:rPr>
          <w:rFonts w:cs="Arial"/>
          <w:szCs w:val="24"/>
        </w:rPr>
        <w:t xml:space="preserve">Members of the </w:t>
      </w:r>
      <w:r w:rsidR="00DA427D" w:rsidRPr="001B39F4">
        <w:rPr>
          <w:rFonts w:cs="Arial"/>
          <w:szCs w:val="24"/>
        </w:rPr>
        <w:t xml:space="preserve">Senate </w:t>
      </w:r>
      <w:r w:rsidR="000E1E75" w:rsidRPr="001B39F4">
        <w:rPr>
          <w:rFonts w:cs="Arial"/>
          <w:szCs w:val="24"/>
        </w:rPr>
        <w:t xml:space="preserve">Education </w:t>
      </w:r>
      <w:r w:rsidR="00DA427D" w:rsidRPr="001B39F4">
        <w:rPr>
          <w:rFonts w:cs="Arial"/>
          <w:szCs w:val="24"/>
        </w:rPr>
        <w:t>Committee</w:t>
      </w:r>
    </w:p>
    <w:p w14:paraId="665B721E" w14:textId="5B05A558" w:rsidR="00AD7C56" w:rsidRPr="001B39F4" w:rsidRDefault="00D41CEB" w:rsidP="00FC3D39">
      <w:pPr>
        <w:pStyle w:val="InsideAddress"/>
        <w:spacing w:line="240" w:lineRule="auto"/>
        <w:rPr>
          <w:rFonts w:cs="Arial"/>
          <w:szCs w:val="24"/>
        </w:rPr>
      </w:pPr>
      <w:r>
        <w:rPr>
          <w:rFonts w:cs="Arial"/>
          <w:szCs w:val="24"/>
        </w:rPr>
        <w:t>RE: SB111</w:t>
      </w:r>
    </w:p>
    <w:p w14:paraId="5D35D82A" w14:textId="77777777" w:rsidR="00AD7C56" w:rsidRPr="001B39F4" w:rsidRDefault="00AD7C56" w:rsidP="00FC3D39">
      <w:pPr>
        <w:pStyle w:val="InsideAddress"/>
        <w:spacing w:line="240" w:lineRule="auto"/>
        <w:rPr>
          <w:rFonts w:cs="Arial"/>
          <w:szCs w:val="24"/>
        </w:rPr>
      </w:pPr>
    </w:p>
    <w:p w14:paraId="75B2B958" w14:textId="5161E58E" w:rsidR="003B4B7F" w:rsidRPr="001B39F4" w:rsidRDefault="00AD7C56" w:rsidP="00FC3D39">
      <w:pPr>
        <w:ind w:firstLine="720"/>
        <w:rPr>
          <w:rFonts w:cs="Arial"/>
          <w:sz w:val="24"/>
          <w:szCs w:val="24"/>
        </w:rPr>
      </w:pPr>
      <w:r w:rsidRPr="001B39F4">
        <w:rPr>
          <w:rFonts w:cs="Arial"/>
          <w:sz w:val="24"/>
          <w:szCs w:val="24"/>
        </w:rPr>
        <w:t>This l</w:t>
      </w:r>
      <w:r w:rsidR="003414A9">
        <w:rPr>
          <w:rFonts w:cs="Arial"/>
          <w:sz w:val="24"/>
          <w:szCs w:val="24"/>
        </w:rPr>
        <w:t>etter is to provide input on SB111</w:t>
      </w:r>
      <w:r w:rsidRPr="001B39F4">
        <w:rPr>
          <w:rFonts w:cs="Arial"/>
          <w:sz w:val="24"/>
          <w:szCs w:val="24"/>
        </w:rPr>
        <w:t xml:space="preserve">, the Alaska </w:t>
      </w:r>
      <w:r w:rsidR="003414A9">
        <w:rPr>
          <w:rFonts w:cs="Arial"/>
          <w:sz w:val="24"/>
          <w:szCs w:val="24"/>
        </w:rPr>
        <w:t>Academic Improvement and Modernization (AIM) Act</w:t>
      </w:r>
      <w:r w:rsidRPr="001B39F4">
        <w:rPr>
          <w:rFonts w:cs="Arial"/>
          <w:sz w:val="24"/>
          <w:szCs w:val="24"/>
        </w:rPr>
        <w:t>. My name is Elli</w:t>
      </w:r>
      <w:r w:rsidR="000C6124" w:rsidRPr="001B39F4">
        <w:rPr>
          <w:rFonts w:cs="Arial"/>
          <w:sz w:val="24"/>
          <w:szCs w:val="24"/>
        </w:rPr>
        <w:t xml:space="preserve">s Ott, Ph.D. and I am </w:t>
      </w:r>
      <w:r w:rsidRPr="001B39F4">
        <w:rPr>
          <w:rFonts w:cs="Arial"/>
          <w:sz w:val="24"/>
          <w:szCs w:val="24"/>
        </w:rPr>
        <w:t>the statistician for the Fairbanks North Star Borough School District</w:t>
      </w:r>
      <w:r w:rsidR="003B4B7F" w:rsidRPr="001B39F4">
        <w:rPr>
          <w:rFonts w:cs="Arial"/>
          <w:sz w:val="24"/>
          <w:szCs w:val="24"/>
        </w:rPr>
        <w:t>.</w:t>
      </w:r>
    </w:p>
    <w:p w14:paraId="0E45BFB2" w14:textId="2D7B073E" w:rsidR="003414A9" w:rsidRDefault="003B4B7F" w:rsidP="00FC3D39">
      <w:pPr>
        <w:pStyle w:val="NormalWeb"/>
        <w:shd w:val="clear" w:color="auto" w:fill="FFFFFF"/>
        <w:spacing w:before="240" w:beforeAutospacing="0" w:after="240" w:afterAutospacing="0"/>
        <w:ind w:firstLine="720"/>
        <w:rPr>
          <w:rFonts w:ascii="Arial" w:hAnsi="Arial" w:cs="Arial"/>
        </w:rPr>
      </w:pPr>
      <w:r w:rsidRPr="001B39F4">
        <w:rPr>
          <w:rFonts w:ascii="Arial" w:hAnsi="Arial" w:cs="Arial"/>
        </w:rPr>
        <w:t xml:space="preserve">I </w:t>
      </w:r>
      <w:r w:rsidR="00930E36">
        <w:rPr>
          <w:rFonts w:ascii="Arial" w:hAnsi="Arial" w:cs="Arial"/>
        </w:rPr>
        <w:t xml:space="preserve">fully support </w:t>
      </w:r>
      <w:r w:rsidR="003414A9">
        <w:rPr>
          <w:rFonts w:ascii="Arial" w:hAnsi="Arial" w:cs="Arial"/>
        </w:rPr>
        <w:t xml:space="preserve">universal preschool and </w:t>
      </w:r>
      <w:r w:rsidRPr="001B39F4">
        <w:rPr>
          <w:rFonts w:ascii="Arial" w:hAnsi="Arial" w:cs="Arial"/>
        </w:rPr>
        <w:t>e</w:t>
      </w:r>
      <w:r w:rsidR="003414A9">
        <w:rPr>
          <w:rFonts w:ascii="Arial" w:hAnsi="Arial" w:cs="Arial"/>
        </w:rPr>
        <w:t xml:space="preserve">vidence-based </w:t>
      </w:r>
      <w:r w:rsidR="00D77E52">
        <w:rPr>
          <w:rFonts w:ascii="Arial" w:hAnsi="Arial" w:cs="Arial"/>
        </w:rPr>
        <w:t xml:space="preserve">reading </w:t>
      </w:r>
      <w:r w:rsidR="003414A9">
        <w:rPr>
          <w:rFonts w:ascii="Arial" w:hAnsi="Arial" w:cs="Arial"/>
        </w:rPr>
        <w:t>interventions utilizing</w:t>
      </w:r>
      <w:r w:rsidRPr="001B39F4">
        <w:rPr>
          <w:rFonts w:ascii="Arial" w:hAnsi="Arial" w:cs="Arial"/>
        </w:rPr>
        <w:t xml:space="preserve"> periodic assessments </w:t>
      </w:r>
      <w:r w:rsidR="00D41CEB">
        <w:rPr>
          <w:rFonts w:ascii="Arial" w:hAnsi="Arial" w:cs="Arial"/>
        </w:rPr>
        <w:t>during the</w:t>
      </w:r>
      <w:r w:rsidRPr="001B39F4">
        <w:rPr>
          <w:rFonts w:ascii="Arial" w:hAnsi="Arial" w:cs="Arial"/>
        </w:rPr>
        <w:t xml:space="preserve"> </w:t>
      </w:r>
      <w:r w:rsidR="00D41CEB">
        <w:rPr>
          <w:rFonts w:ascii="Arial" w:hAnsi="Arial" w:cs="Arial"/>
        </w:rPr>
        <w:t xml:space="preserve">school </w:t>
      </w:r>
      <w:r w:rsidRPr="001B39F4">
        <w:rPr>
          <w:rFonts w:ascii="Arial" w:hAnsi="Arial" w:cs="Arial"/>
        </w:rPr>
        <w:t>year to inform intervention decisions</w:t>
      </w:r>
      <w:r w:rsidR="008E4AC1">
        <w:rPr>
          <w:rFonts w:ascii="Arial" w:hAnsi="Arial" w:cs="Arial"/>
        </w:rPr>
        <w:t>. As such, I support the m</w:t>
      </w:r>
      <w:r w:rsidR="0052130A">
        <w:rPr>
          <w:rFonts w:ascii="Arial" w:hAnsi="Arial" w:cs="Arial"/>
        </w:rPr>
        <w:t xml:space="preserve">ajority of this bill, but have one </w:t>
      </w:r>
      <w:r w:rsidR="008E4AC1">
        <w:rPr>
          <w:rFonts w:ascii="Arial" w:hAnsi="Arial" w:cs="Arial"/>
        </w:rPr>
        <w:t>central concern around the 3</w:t>
      </w:r>
      <w:r w:rsidR="008E4AC1" w:rsidRPr="008E4AC1">
        <w:rPr>
          <w:rFonts w:ascii="Arial" w:hAnsi="Arial" w:cs="Arial"/>
          <w:vertAlign w:val="superscript"/>
        </w:rPr>
        <w:t>rd</w:t>
      </w:r>
      <w:r w:rsidR="00AE01AE">
        <w:rPr>
          <w:rFonts w:ascii="Arial" w:hAnsi="Arial" w:cs="Arial"/>
        </w:rPr>
        <w:t xml:space="preserve"> </w:t>
      </w:r>
      <w:r w:rsidR="008E4AC1">
        <w:rPr>
          <w:rFonts w:ascii="Arial" w:hAnsi="Arial" w:cs="Arial"/>
        </w:rPr>
        <w:t>to 4</w:t>
      </w:r>
      <w:r w:rsidR="008E4AC1" w:rsidRPr="008E4AC1">
        <w:rPr>
          <w:rFonts w:ascii="Arial" w:hAnsi="Arial" w:cs="Arial"/>
          <w:vertAlign w:val="superscript"/>
        </w:rPr>
        <w:t>th</w:t>
      </w:r>
      <w:r w:rsidR="008E4AC1">
        <w:rPr>
          <w:rFonts w:ascii="Arial" w:hAnsi="Arial" w:cs="Arial"/>
        </w:rPr>
        <w:t xml:space="preserve"> grade promotion policy.</w:t>
      </w:r>
    </w:p>
    <w:p w14:paraId="7E3B771E" w14:textId="598912ED" w:rsidR="003414A9" w:rsidRDefault="003414A9" w:rsidP="00FC3D39">
      <w:pPr>
        <w:pStyle w:val="NormalWeb"/>
        <w:shd w:val="clear" w:color="auto" w:fill="FFFFFF"/>
        <w:spacing w:before="240" w:beforeAutospacing="0" w:after="240" w:afterAutospacing="0"/>
        <w:ind w:firstLine="720"/>
        <w:rPr>
          <w:rFonts w:ascii="Arial" w:hAnsi="Arial" w:cs="Arial"/>
        </w:rPr>
      </w:pPr>
      <w:r>
        <w:rPr>
          <w:rFonts w:ascii="Arial" w:hAnsi="Arial" w:cs="Arial"/>
        </w:rPr>
        <w:t>In reference to recent testimony on the current Senate Bill</w:t>
      </w:r>
      <w:r w:rsidR="008E4AC1">
        <w:rPr>
          <w:rFonts w:ascii="Arial" w:hAnsi="Arial" w:cs="Arial"/>
        </w:rPr>
        <w:t xml:space="preserve"> asking about retention rates for other states (namely Florida and Mississippi)</w:t>
      </w:r>
      <w:r>
        <w:rPr>
          <w:rFonts w:ascii="Arial" w:hAnsi="Arial" w:cs="Arial"/>
        </w:rPr>
        <w:t>, here are some analyses:</w:t>
      </w:r>
    </w:p>
    <w:p w14:paraId="6F9B0C1C" w14:textId="12ED404A" w:rsidR="003414A9" w:rsidRDefault="003414A9" w:rsidP="003414A9">
      <w:pPr>
        <w:pStyle w:val="NormalWeb"/>
        <w:numPr>
          <w:ilvl w:val="0"/>
          <w:numId w:val="4"/>
        </w:numPr>
        <w:shd w:val="clear" w:color="auto" w:fill="FFFFFF"/>
        <w:spacing w:before="240" w:beforeAutospacing="0" w:after="240" w:afterAutospacing="0"/>
        <w:rPr>
          <w:rFonts w:ascii="Arial" w:hAnsi="Arial" w:cs="Arial"/>
        </w:rPr>
      </w:pPr>
      <w:r>
        <w:rPr>
          <w:rFonts w:ascii="Arial" w:hAnsi="Arial" w:cs="Arial"/>
        </w:rPr>
        <w:t>In 2018-2019, 7.9% of 3</w:t>
      </w:r>
      <w:r w:rsidRPr="003414A9">
        <w:rPr>
          <w:rFonts w:ascii="Arial" w:hAnsi="Arial" w:cs="Arial"/>
          <w:vertAlign w:val="superscript"/>
        </w:rPr>
        <w:t>rd</w:t>
      </w:r>
      <w:r>
        <w:rPr>
          <w:rFonts w:ascii="Arial" w:hAnsi="Arial" w:cs="Arial"/>
        </w:rPr>
        <w:t xml:space="preserve"> grade students </w:t>
      </w:r>
      <w:r w:rsidR="008E4AC1">
        <w:rPr>
          <w:rFonts w:ascii="Arial" w:hAnsi="Arial" w:cs="Arial"/>
        </w:rPr>
        <w:t xml:space="preserve">in Florida </w:t>
      </w:r>
      <w:r>
        <w:rPr>
          <w:rFonts w:ascii="Arial" w:hAnsi="Arial" w:cs="Arial"/>
        </w:rPr>
        <w:t>were retained (</w:t>
      </w:r>
      <w:hyperlink r:id="rId6" w:history="1">
        <w:r>
          <w:rPr>
            <w:rStyle w:val="Hyperlink"/>
            <w:rFonts w:ascii="Arial" w:hAnsi="Arial" w:cs="Arial"/>
          </w:rPr>
          <w:t>Flor</w:t>
        </w:r>
        <w:r w:rsidRPr="003414A9">
          <w:rPr>
            <w:rStyle w:val="Hyperlink"/>
            <w:rFonts w:ascii="Arial" w:hAnsi="Arial" w:cs="Arial"/>
          </w:rPr>
          <w:t>i</w:t>
        </w:r>
        <w:r>
          <w:rPr>
            <w:rStyle w:val="Hyperlink"/>
            <w:rFonts w:ascii="Arial" w:hAnsi="Arial" w:cs="Arial"/>
          </w:rPr>
          <w:t>d</w:t>
        </w:r>
        <w:r w:rsidRPr="003414A9">
          <w:rPr>
            <w:rStyle w:val="Hyperlink"/>
            <w:rFonts w:ascii="Arial" w:hAnsi="Arial" w:cs="Arial"/>
          </w:rPr>
          <w:t>a Dept of Education Data</w:t>
        </w:r>
      </w:hyperlink>
      <w:r>
        <w:rPr>
          <w:rFonts w:ascii="Arial" w:hAnsi="Arial" w:cs="Arial"/>
        </w:rPr>
        <w:t xml:space="preserve">). Also note that 13% of African American students were retained in grade 3 (similarly for Alaska Native/American Indian students). In comparison with Fairbanks’ third grade retention </w:t>
      </w:r>
      <w:r w:rsidR="00D41CEB">
        <w:rPr>
          <w:rFonts w:ascii="Arial" w:hAnsi="Arial" w:cs="Arial"/>
        </w:rPr>
        <w:t xml:space="preserve">rate </w:t>
      </w:r>
      <w:r>
        <w:rPr>
          <w:rFonts w:ascii="Arial" w:hAnsi="Arial" w:cs="Arial"/>
        </w:rPr>
        <w:t>(2 per 1,000), Florida’s retention rate</w:t>
      </w:r>
      <w:r w:rsidR="008E4AC1">
        <w:rPr>
          <w:rFonts w:ascii="Arial" w:hAnsi="Arial" w:cs="Arial"/>
        </w:rPr>
        <w:t xml:space="preserve"> of 7.9% is a 38.5</w:t>
      </w:r>
      <w:r>
        <w:rPr>
          <w:rFonts w:ascii="Arial" w:hAnsi="Arial" w:cs="Arial"/>
        </w:rPr>
        <w:t>-fold increase</w:t>
      </w:r>
      <w:r w:rsidR="008E4AC1">
        <w:rPr>
          <w:rFonts w:ascii="Arial" w:hAnsi="Arial" w:cs="Arial"/>
        </w:rPr>
        <w:t xml:space="preserve"> (+3,850%)</w:t>
      </w:r>
      <w:r>
        <w:rPr>
          <w:rFonts w:ascii="Arial" w:hAnsi="Arial" w:cs="Arial"/>
        </w:rPr>
        <w:t>.</w:t>
      </w:r>
    </w:p>
    <w:p w14:paraId="4790F06C" w14:textId="302DAFB8" w:rsidR="003414A9" w:rsidRDefault="003414A9" w:rsidP="003414A9">
      <w:pPr>
        <w:pStyle w:val="NormalWeb"/>
        <w:numPr>
          <w:ilvl w:val="0"/>
          <w:numId w:val="4"/>
        </w:numPr>
        <w:shd w:val="clear" w:color="auto" w:fill="FFFFFF"/>
        <w:spacing w:before="240" w:beforeAutospacing="0" w:after="240" w:afterAutospacing="0"/>
        <w:rPr>
          <w:rFonts w:ascii="Arial" w:hAnsi="Arial" w:cs="Arial"/>
        </w:rPr>
      </w:pPr>
      <w:r>
        <w:rPr>
          <w:rFonts w:ascii="Arial" w:hAnsi="Arial" w:cs="Arial"/>
        </w:rPr>
        <w:t>In 2017-2018, the 3</w:t>
      </w:r>
      <w:r w:rsidRPr="003414A9">
        <w:rPr>
          <w:rFonts w:ascii="Arial" w:hAnsi="Arial" w:cs="Arial"/>
          <w:vertAlign w:val="superscript"/>
        </w:rPr>
        <w:t>rd</w:t>
      </w:r>
      <w:r>
        <w:rPr>
          <w:rFonts w:ascii="Arial" w:hAnsi="Arial" w:cs="Arial"/>
        </w:rPr>
        <w:t xml:space="preserve"> grade retention rate </w:t>
      </w:r>
      <w:r w:rsidR="00A7295B">
        <w:rPr>
          <w:rFonts w:ascii="Arial" w:hAnsi="Arial" w:cs="Arial"/>
        </w:rPr>
        <w:t xml:space="preserve">in Mississippi </w:t>
      </w:r>
      <w:r>
        <w:rPr>
          <w:rFonts w:ascii="Arial" w:hAnsi="Arial" w:cs="Arial"/>
        </w:rPr>
        <w:t>was</w:t>
      </w:r>
      <w:r w:rsidR="008E4AC1">
        <w:rPr>
          <w:rFonts w:ascii="Arial" w:hAnsi="Arial" w:cs="Arial"/>
        </w:rPr>
        <w:t xml:space="preserve"> 4.2%, and skyrocketed to 9.6% in 2018-2019 due to an increase in the cut-score for promotion from 3</w:t>
      </w:r>
      <w:r w:rsidR="008E4AC1" w:rsidRPr="008E4AC1">
        <w:rPr>
          <w:rFonts w:ascii="Arial" w:hAnsi="Arial" w:cs="Arial"/>
          <w:vertAlign w:val="superscript"/>
        </w:rPr>
        <w:t>rd</w:t>
      </w:r>
      <w:r w:rsidR="008E4AC1">
        <w:rPr>
          <w:rFonts w:ascii="Arial" w:hAnsi="Arial" w:cs="Arial"/>
        </w:rPr>
        <w:t xml:space="preserve"> grade to 4</w:t>
      </w:r>
      <w:r w:rsidR="008E4AC1" w:rsidRPr="008E4AC1">
        <w:rPr>
          <w:rFonts w:ascii="Arial" w:hAnsi="Arial" w:cs="Arial"/>
          <w:vertAlign w:val="superscript"/>
        </w:rPr>
        <w:t>th</w:t>
      </w:r>
      <w:r w:rsidR="008E4AC1">
        <w:rPr>
          <w:rFonts w:ascii="Arial" w:hAnsi="Arial" w:cs="Arial"/>
        </w:rPr>
        <w:t xml:space="preserve"> grade (</w:t>
      </w:r>
      <w:hyperlink r:id="rId7" w:history="1">
        <w:r>
          <w:rPr>
            <w:rStyle w:val="Hyperlink"/>
            <w:rFonts w:ascii="Arial" w:hAnsi="Arial" w:cs="Arial"/>
          </w:rPr>
          <w:t>Mississippi Literacy based Promotion Act Annual Report</w:t>
        </w:r>
      </w:hyperlink>
      <w:r w:rsidR="008E4AC1">
        <w:rPr>
          <w:rFonts w:ascii="Arial" w:hAnsi="Arial" w:cs="Arial"/>
        </w:rPr>
        <w:t>). Mississippi’s 3</w:t>
      </w:r>
      <w:r w:rsidR="008E4AC1" w:rsidRPr="008E4AC1">
        <w:rPr>
          <w:rFonts w:ascii="Arial" w:hAnsi="Arial" w:cs="Arial"/>
          <w:vertAlign w:val="superscript"/>
        </w:rPr>
        <w:t>rd</w:t>
      </w:r>
      <w:r w:rsidR="008E4AC1">
        <w:rPr>
          <w:rFonts w:ascii="Arial" w:hAnsi="Arial" w:cs="Arial"/>
        </w:rPr>
        <w:t xml:space="preserve"> grade retention rate is a 47-fold increase compared with Fairbanks.</w:t>
      </w:r>
    </w:p>
    <w:p w14:paraId="51389D98" w14:textId="77777777" w:rsidR="00AE01AE" w:rsidRDefault="008E4AC1" w:rsidP="008E4AC1">
      <w:pPr>
        <w:pStyle w:val="NormalWeb"/>
        <w:shd w:val="clear" w:color="auto" w:fill="FFFFFF"/>
        <w:spacing w:before="240" w:beforeAutospacing="0" w:after="240" w:afterAutospacing="0"/>
        <w:ind w:firstLine="720"/>
        <w:rPr>
          <w:rFonts w:ascii="Arial" w:hAnsi="Arial" w:cs="Arial"/>
        </w:rPr>
      </w:pPr>
      <w:r>
        <w:rPr>
          <w:rFonts w:ascii="Arial" w:hAnsi="Arial" w:cs="Arial"/>
        </w:rPr>
        <w:t xml:space="preserve">I would not describe these figures as “small” and insignificant. </w:t>
      </w:r>
    </w:p>
    <w:p w14:paraId="5A89BD8A" w14:textId="5F9134E1" w:rsidR="009F7A2B" w:rsidRDefault="008E4AC1" w:rsidP="008E4AC1">
      <w:pPr>
        <w:pStyle w:val="NormalWeb"/>
        <w:shd w:val="clear" w:color="auto" w:fill="FFFFFF"/>
        <w:spacing w:before="240" w:beforeAutospacing="0" w:after="240" w:afterAutospacing="0"/>
        <w:ind w:firstLine="720"/>
        <w:rPr>
          <w:rFonts w:ascii="Arial" w:hAnsi="Arial" w:cs="Arial"/>
        </w:rPr>
      </w:pPr>
      <w:r>
        <w:rPr>
          <w:rFonts w:ascii="Arial" w:hAnsi="Arial" w:cs="Arial"/>
        </w:rPr>
        <w:t>Information was provided both by Senators and invited testimony arguing that ‘strong promotion’ states were showing greater increases in 4</w:t>
      </w:r>
      <w:r w:rsidRPr="008E4AC1">
        <w:rPr>
          <w:rFonts w:ascii="Arial" w:hAnsi="Arial" w:cs="Arial"/>
          <w:vertAlign w:val="superscript"/>
        </w:rPr>
        <w:t>th</w:t>
      </w:r>
      <w:r>
        <w:rPr>
          <w:rFonts w:ascii="Arial" w:hAnsi="Arial" w:cs="Arial"/>
        </w:rPr>
        <w:t xml:space="preserve"> grade NAEP scores</w:t>
      </w:r>
      <w:r w:rsidR="00D77E52">
        <w:rPr>
          <w:rFonts w:ascii="Arial" w:hAnsi="Arial" w:cs="Arial"/>
        </w:rPr>
        <w:t xml:space="preserve"> than “weak promotion” states</w:t>
      </w:r>
      <w:r>
        <w:rPr>
          <w:rFonts w:ascii="Arial" w:hAnsi="Arial" w:cs="Arial"/>
        </w:rPr>
        <w:t xml:space="preserve">. </w:t>
      </w:r>
      <w:r w:rsidR="00D41CEB">
        <w:rPr>
          <w:rFonts w:ascii="Arial" w:hAnsi="Arial" w:cs="Arial"/>
        </w:rPr>
        <w:t>With more than doubling their 3</w:t>
      </w:r>
      <w:r w:rsidR="00D41CEB" w:rsidRPr="00D41CEB">
        <w:rPr>
          <w:rFonts w:ascii="Arial" w:hAnsi="Arial" w:cs="Arial"/>
          <w:vertAlign w:val="superscript"/>
        </w:rPr>
        <w:t>rd</w:t>
      </w:r>
      <w:r w:rsidR="00D41CEB">
        <w:rPr>
          <w:rFonts w:ascii="Arial" w:hAnsi="Arial" w:cs="Arial"/>
        </w:rPr>
        <w:t xml:space="preserve"> grade retentio</w:t>
      </w:r>
      <w:r w:rsidR="0052130A">
        <w:rPr>
          <w:rFonts w:ascii="Arial" w:hAnsi="Arial" w:cs="Arial"/>
        </w:rPr>
        <w:t xml:space="preserve">n rate, Mississippi </w:t>
      </w:r>
      <w:r w:rsidR="00D41CEB" w:rsidRPr="003C5E74">
        <w:rPr>
          <w:rFonts w:ascii="Arial" w:hAnsi="Arial" w:cs="Arial"/>
        </w:rPr>
        <w:t>artificially increase</w:t>
      </w:r>
      <w:r w:rsidR="0052130A">
        <w:rPr>
          <w:rFonts w:ascii="Arial" w:hAnsi="Arial" w:cs="Arial"/>
        </w:rPr>
        <w:t>d</w:t>
      </w:r>
      <w:r w:rsidR="00D41CEB" w:rsidRPr="003C5E74">
        <w:rPr>
          <w:rFonts w:ascii="Arial" w:hAnsi="Arial" w:cs="Arial"/>
        </w:rPr>
        <w:t xml:space="preserve"> their 4</w:t>
      </w:r>
      <w:r w:rsidR="00D41CEB" w:rsidRPr="003C5E74">
        <w:rPr>
          <w:rFonts w:ascii="Arial" w:hAnsi="Arial" w:cs="Arial"/>
          <w:vertAlign w:val="superscript"/>
        </w:rPr>
        <w:t>th</w:t>
      </w:r>
      <w:r w:rsidR="00D41CEB" w:rsidRPr="003C5E74">
        <w:rPr>
          <w:rFonts w:ascii="Arial" w:hAnsi="Arial" w:cs="Arial"/>
        </w:rPr>
        <w:t xml:space="preserve"> grade NAEP scores. </w:t>
      </w:r>
      <w:r w:rsidR="0052130A">
        <w:rPr>
          <w:rFonts w:ascii="Arial" w:hAnsi="Arial" w:cs="Arial"/>
        </w:rPr>
        <w:t>They were the</w:t>
      </w:r>
      <w:r w:rsidR="00D41CEB" w:rsidRPr="003C5E74">
        <w:rPr>
          <w:rFonts w:ascii="Arial" w:hAnsi="Arial" w:cs="Arial"/>
        </w:rPr>
        <w:t xml:space="preserve"> only state in the entire nation to show an increase in 4</w:t>
      </w:r>
      <w:r w:rsidR="00D41CEB" w:rsidRPr="003C5E74">
        <w:rPr>
          <w:rFonts w:ascii="Arial" w:hAnsi="Arial" w:cs="Arial"/>
          <w:vertAlign w:val="superscript"/>
        </w:rPr>
        <w:t>th</w:t>
      </w:r>
      <w:r w:rsidR="00D41CEB" w:rsidRPr="003C5E74">
        <w:rPr>
          <w:rFonts w:ascii="Arial" w:hAnsi="Arial" w:cs="Arial"/>
        </w:rPr>
        <w:t xml:space="preserve"> grade </w:t>
      </w:r>
      <w:r w:rsidR="003C1AC2">
        <w:rPr>
          <w:rFonts w:ascii="Arial" w:hAnsi="Arial" w:cs="Arial"/>
        </w:rPr>
        <w:t xml:space="preserve">NAEP </w:t>
      </w:r>
      <w:r w:rsidR="00D41CEB" w:rsidRPr="003C5E74">
        <w:rPr>
          <w:rFonts w:ascii="Arial" w:hAnsi="Arial" w:cs="Arial"/>
        </w:rPr>
        <w:t>R</w:t>
      </w:r>
      <w:r w:rsidR="0052130A">
        <w:rPr>
          <w:rFonts w:ascii="Arial" w:hAnsi="Arial" w:cs="Arial"/>
        </w:rPr>
        <w:t>eading</w:t>
      </w:r>
      <w:r w:rsidR="00D77E52">
        <w:rPr>
          <w:rFonts w:ascii="Arial" w:hAnsi="Arial" w:cs="Arial"/>
        </w:rPr>
        <w:t xml:space="preserve"> in 2019 as</w:t>
      </w:r>
      <w:r w:rsidR="003C1AC2">
        <w:rPr>
          <w:rFonts w:ascii="Arial" w:hAnsi="Arial" w:cs="Arial"/>
        </w:rPr>
        <w:t xml:space="preserve"> much of the increase would be</w:t>
      </w:r>
      <w:r w:rsidR="0052130A">
        <w:rPr>
          <w:rFonts w:ascii="Arial" w:hAnsi="Arial" w:cs="Arial"/>
        </w:rPr>
        <w:t xml:space="preserve"> specific</w:t>
      </w:r>
      <w:r w:rsidR="003C1AC2">
        <w:rPr>
          <w:rFonts w:ascii="Arial" w:hAnsi="Arial" w:cs="Arial"/>
        </w:rPr>
        <w:t>ally due to a more limited group of students taking the 4</w:t>
      </w:r>
      <w:r w:rsidR="003C1AC2" w:rsidRPr="003C1AC2">
        <w:rPr>
          <w:rFonts w:ascii="Arial" w:hAnsi="Arial" w:cs="Arial"/>
          <w:vertAlign w:val="superscript"/>
        </w:rPr>
        <w:t>th</w:t>
      </w:r>
      <w:r w:rsidR="003C1AC2">
        <w:rPr>
          <w:rFonts w:ascii="Arial" w:hAnsi="Arial" w:cs="Arial"/>
        </w:rPr>
        <w:t xml:space="preserve"> grade NAEP (those that were exempt or met the assessment score threshold in grade 3 the previous year)</w:t>
      </w:r>
      <w:r w:rsidR="00D41CEB" w:rsidRPr="003C5E74">
        <w:rPr>
          <w:rFonts w:ascii="Arial" w:hAnsi="Arial" w:cs="Arial"/>
        </w:rPr>
        <w:t>.</w:t>
      </w:r>
      <w:r w:rsidR="003C1AC2">
        <w:rPr>
          <w:rFonts w:ascii="Arial" w:hAnsi="Arial" w:cs="Arial"/>
        </w:rPr>
        <w:t xml:space="preserve"> All states that use this method are artificially increasing their 4</w:t>
      </w:r>
      <w:r w:rsidR="003C1AC2" w:rsidRPr="003C1AC2">
        <w:rPr>
          <w:rFonts w:ascii="Arial" w:hAnsi="Arial" w:cs="Arial"/>
          <w:vertAlign w:val="superscript"/>
        </w:rPr>
        <w:t>th</w:t>
      </w:r>
      <w:r w:rsidR="003C1AC2">
        <w:rPr>
          <w:rFonts w:ascii="Arial" w:hAnsi="Arial" w:cs="Arial"/>
        </w:rPr>
        <w:t xml:space="preserve"> grade NAEP scores</w:t>
      </w:r>
      <w:r w:rsidR="009F7A2B">
        <w:rPr>
          <w:rFonts w:ascii="Arial" w:hAnsi="Arial" w:cs="Arial"/>
        </w:rPr>
        <w:t>.</w:t>
      </w:r>
      <w:r w:rsidR="003C1AC2">
        <w:rPr>
          <w:rFonts w:ascii="Arial" w:hAnsi="Arial" w:cs="Arial"/>
        </w:rPr>
        <w:t xml:space="preserve"> </w:t>
      </w:r>
      <w:r w:rsidR="009F7A2B">
        <w:rPr>
          <w:rFonts w:ascii="Arial" w:hAnsi="Arial" w:cs="Arial"/>
        </w:rPr>
        <w:t>Thus comparing</w:t>
      </w:r>
      <w:r w:rsidR="003C1AC2">
        <w:rPr>
          <w:rFonts w:ascii="Arial" w:hAnsi="Arial" w:cs="Arial"/>
        </w:rPr>
        <w:t xml:space="preserve"> “strong promotion” </w:t>
      </w:r>
      <w:r w:rsidR="009F7A2B">
        <w:rPr>
          <w:rFonts w:ascii="Arial" w:hAnsi="Arial" w:cs="Arial"/>
        </w:rPr>
        <w:t xml:space="preserve">states </w:t>
      </w:r>
      <w:r w:rsidR="003C1AC2">
        <w:rPr>
          <w:rFonts w:ascii="Arial" w:hAnsi="Arial" w:cs="Arial"/>
        </w:rPr>
        <w:t xml:space="preserve">with proclaimed “weak promotion” states </w:t>
      </w:r>
      <w:r w:rsidR="009F7A2B">
        <w:rPr>
          <w:rFonts w:ascii="Arial" w:hAnsi="Arial" w:cs="Arial"/>
        </w:rPr>
        <w:t xml:space="preserve">carries substantial </w:t>
      </w:r>
      <w:r w:rsidR="003C1AC2">
        <w:rPr>
          <w:rFonts w:ascii="Arial" w:hAnsi="Arial" w:cs="Arial"/>
        </w:rPr>
        <w:t>bias in favor of the “strong promotion” states because they aren’</w:t>
      </w:r>
      <w:r w:rsidR="009F7A2B">
        <w:rPr>
          <w:rFonts w:ascii="Arial" w:hAnsi="Arial" w:cs="Arial"/>
        </w:rPr>
        <w:t>t testing the retained students</w:t>
      </w:r>
      <w:r w:rsidR="003C1AC2">
        <w:rPr>
          <w:rFonts w:ascii="Arial" w:hAnsi="Arial" w:cs="Arial"/>
        </w:rPr>
        <w:t>.</w:t>
      </w:r>
      <w:r w:rsidR="009F7A2B">
        <w:rPr>
          <w:rFonts w:ascii="Arial" w:hAnsi="Arial" w:cs="Arial"/>
        </w:rPr>
        <w:t xml:space="preserve"> What would the data show if at least 95% of students in the 4</w:t>
      </w:r>
      <w:r w:rsidR="009F7A2B" w:rsidRPr="009F7A2B">
        <w:rPr>
          <w:rFonts w:ascii="Arial" w:hAnsi="Arial" w:cs="Arial"/>
          <w:vertAlign w:val="superscript"/>
        </w:rPr>
        <w:t>th</w:t>
      </w:r>
      <w:r w:rsidR="009F7A2B">
        <w:rPr>
          <w:rFonts w:ascii="Arial" w:hAnsi="Arial" w:cs="Arial"/>
        </w:rPr>
        <w:t xml:space="preserve"> grade based on age were tested on the NAEP? The only way to have comparable ‘apples to apples’ data is for there to be consistency. High retention rates cause the data to be incomparable.</w:t>
      </w:r>
      <w:r w:rsidR="003C1AC2">
        <w:rPr>
          <w:rFonts w:ascii="Arial" w:hAnsi="Arial" w:cs="Arial"/>
        </w:rPr>
        <w:t xml:space="preserve"> </w:t>
      </w:r>
    </w:p>
    <w:p w14:paraId="7F05BF14" w14:textId="7B08A732" w:rsidR="00D41CEB" w:rsidRDefault="00D41CEB" w:rsidP="008E4AC1">
      <w:pPr>
        <w:pStyle w:val="NormalWeb"/>
        <w:shd w:val="clear" w:color="auto" w:fill="FFFFFF"/>
        <w:spacing w:before="240" w:beforeAutospacing="0" w:after="240" w:afterAutospacing="0"/>
        <w:ind w:firstLine="720"/>
        <w:rPr>
          <w:rFonts w:ascii="Arial" w:hAnsi="Arial" w:cs="Arial"/>
        </w:rPr>
      </w:pPr>
      <w:r w:rsidRPr="003C5E74">
        <w:rPr>
          <w:rFonts w:ascii="Arial" w:hAnsi="Arial" w:cs="Arial"/>
        </w:rPr>
        <w:lastRenderedPageBreak/>
        <w:t>I want there to be</w:t>
      </w:r>
      <w:r w:rsidR="003C5E74" w:rsidRPr="003C5E74">
        <w:rPr>
          <w:rFonts w:ascii="Arial" w:hAnsi="Arial" w:cs="Arial"/>
        </w:rPr>
        <w:t xml:space="preserve"> an actual change in achievement</w:t>
      </w:r>
      <w:r w:rsidR="0052130A">
        <w:rPr>
          <w:rFonts w:ascii="Arial" w:hAnsi="Arial" w:cs="Arial"/>
        </w:rPr>
        <w:t xml:space="preserve"> for students in Alaska</w:t>
      </w:r>
      <w:r w:rsidR="00AE01AE" w:rsidRPr="003C5E74">
        <w:rPr>
          <w:rFonts w:ascii="Arial" w:hAnsi="Arial" w:cs="Arial"/>
        </w:rPr>
        <w:t xml:space="preserve">. Universal preschool and evidence-based interventions are the path to success and </w:t>
      </w:r>
      <w:r w:rsidR="00AE01AE" w:rsidRPr="0052130A">
        <w:rPr>
          <w:rFonts w:ascii="Arial" w:hAnsi="Arial" w:cs="Arial"/>
          <w:b/>
          <w:u w:val="single"/>
        </w:rPr>
        <w:t>real</w:t>
      </w:r>
      <w:r w:rsidR="00AE01AE" w:rsidRPr="003C5E74">
        <w:rPr>
          <w:rFonts w:ascii="Arial" w:hAnsi="Arial" w:cs="Arial"/>
        </w:rPr>
        <w:t xml:space="preserve"> success. </w:t>
      </w:r>
      <w:r w:rsidR="003C5E74" w:rsidRPr="003C5E74">
        <w:rPr>
          <w:rFonts w:ascii="Arial" w:hAnsi="Arial" w:cs="Arial"/>
        </w:rPr>
        <w:t>Don’t use a false impression of improved student literacy as a basis for legislation w</w:t>
      </w:r>
      <w:r w:rsidR="003C5E74">
        <w:rPr>
          <w:rFonts w:ascii="Arial" w:hAnsi="Arial" w:cs="Arial"/>
        </w:rPr>
        <w:t>hen real improvement is needed.</w:t>
      </w:r>
      <w:r w:rsidR="001037C5">
        <w:rPr>
          <w:rFonts w:ascii="Arial" w:hAnsi="Arial" w:cs="Arial"/>
        </w:rPr>
        <w:t xml:space="preserve"> The data provided for 4</w:t>
      </w:r>
      <w:r w:rsidR="001037C5" w:rsidRPr="001037C5">
        <w:rPr>
          <w:rFonts w:ascii="Arial" w:hAnsi="Arial" w:cs="Arial"/>
          <w:vertAlign w:val="superscript"/>
        </w:rPr>
        <w:t>th</w:t>
      </w:r>
      <w:r w:rsidR="001037C5">
        <w:rPr>
          <w:rFonts w:ascii="Arial" w:hAnsi="Arial" w:cs="Arial"/>
        </w:rPr>
        <w:t xml:space="preserve"> grade NAEP increases in “strong promotion” states are wildly overestimated in relation to real improvement in achievement.</w:t>
      </w:r>
    </w:p>
    <w:p w14:paraId="13ADF932" w14:textId="01A45FDA" w:rsidR="00AE01AE" w:rsidRDefault="00D41CEB" w:rsidP="008E4AC1">
      <w:pPr>
        <w:pStyle w:val="NormalWeb"/>
        <w:shd w:val="clear" w:color="auto" w:fill="FFFFFF"/>
        <w:spacing w:before="240" w:beforeAutospacing="0" w:after="240" w:afterAutospacing="0"/>
        <w:ind w:firstLine="720"/>
        <w:rPr>
          <w:rFonts w:ascii="Arial" w:hAnsi="Arial" w:cs="Arial"/>
        </w:rPr>
      </w:pPr>
      <w:r>
        <w:rPr>
          <w:rFonts w:ascii="Arial" w:hAnsi="Arial" w:cs="Arial"/>
        </w:rPr>
        <w:t>I appreciate the addition of a ‘waiver’</w:t>
      </w:r>
      <w:r w:rsidR="004040E5">
        <w:rPr>
          <w:rFonts w:ascii="Arial" w:hAnsi="Arial" w:cs="Arial"/>
        </w:rPr>
        <w:t xml:space="preserve"> for parents. With that provision, my efforts </w:t>
      </w:r>
      <w:r>
        <w:rPr>
          <w:rFonts w:ascii="Arial" w:hAnsi="Arial" w:cs="Arial"/>
        </w:rPr>
        <w:t xml:space="preserve">will be to </w:t>
      </w:r>
      <w:r w:rsidR="004040E5">
        <w:rPr>
          <w:rFonts w:ascii="Arial" w:hAnsi="Arial" w:cs="Arial"/>
        </w:rPr>
        <w:t xml:space="preserve">fully </w:t>
      </w:r>
      <w:r>
        <w:rPr>
          <w:rFonts w:ascii="Arial" w:hAnsi="Arial" w:cs="Arial"/>
        </w:rPr>
        <w:t>inform parents</w:t>
      </w:r>
      <w:r w:rsidR="004040E5">
        <w:rPr>
          <w:rFonts w:ascii="Arial" w:hAnsi="Arial" w:cs="Arial"/>
        </w:rPr>
        <w:t xml:space="preserve"> about the necessary</w:t>
      </w:r>
      <w:r>
        <w:rPr>
          <w:rFonts w:ascii="Arial" w:hAnsi="Arial" w:cs="Arial"/>
        </w:rPr>
        <w:t xml:space="preserve"> substantial evidence showing a student is well behind grade level</w:t>
      </w:r>
      <w:r w:rsidR="004040E5">
        <w:rPr>
          <w:rFonts w:ascii="Arial" w:hAnsi="Arial" w:cs="Arial"/>
        </w:rPr>
        <w:t xml:space="preserve"> before we would recommend retention (and in alignment with current school board policy)</w:t>
      </w:r>
      <w:r>
        <w:rPr>
          <w:rFonts w:ascii="Arial" w:hAnsi="Arial" w:cs="Arial"/>
        </w:rPr>
        <w:t xml:space="preserve">. My previous comment noted that proficiency on the state’s current test </w:t>
      </w:r>
      <w:r w:rsidR="009F7A2B">
        <w:rPr>
          <w:rFonts w:ascii="Arial" w:hAnsi="Arial" w:cs="Arial"/>
        </w:rPr>
        <w:t>in 3</w:t>
      </w:r>
      <w:r w:rsidR="009F7A2B" w:rsidRPr="009F7A2B">
        <w:rPr>
          <w:rFonts w:ascii="Arial" w:hAnsi="Arial" w:cs="Arial"/>
          <w:vertAlign w:val="superscript"/>
        </w:rPr>
        <w:t>rd</w:t>
      </w:r>
      <w:r w:rsidR="009F7A2B">
        <w:rPr>
          <w:rFonts w:ascii="Arial" w:hAnsi="Arial" w:cs="Arial"/>
        </w:rPr>
        <w:t xml:space="preserve"> grade </w:t>
      </w:r>
      <w:r>
        <w:rPr>
          <w:rFonts w:ascii="Arial" w:hAnsi="Arial" w:cs="Arial"/>
        </w:rPr>
        <w:t xml:space="preserve">had an accuracy of a mere 55% for predicting graduation. Therefore, arguing that </w:t>
      </w:r>
      <w:r w:rsidR="00AE01AE">
        <w:rPr>
          <w:rFonts w:ascii="Arial" w:hAnsi="Arial" w:cs="Arial"/>
        </w:rPr>
        <w:t>students are doomed to failure or to become illiterate</w:t>
      </w:r>
      <w:r w:rsidR="004040E5">
        <w:rPr>
          <w:rFonts w:ascii="Arial" w:hAnsi="Arial" w:cs="Arial"/>
        </w:rPr>
        <w:t xml:space="preserve"> if they don’t achieve ‘proficient’ on the 3</w:t>
      </w:r>
      <w:r w:rsidR="004040E5" w:rsidRPr="004040E5">
        <w:rPr>
          <w:rFonts w:ascii="Arial" w:hAnsi="Arial" w:cs="Arial"/>
          <w:vertAlign w:val="superscript"/>
        </w:rPr>
        <w:t>rd</w:t>
      </w:r>
      <w:r w:rsidR="004040E5">
        <w:rPr>
          <w:rFonts w:ascii="Arial" w:hAnsi="Arial" w:cs="Arial"/>
        </w:rPr>
        <w:t xml:space="preserve"> grade assessment in reading</w:t>
      </w:r>
      <w:r w:rsidR="00AE01AE">
        <w:rPr>
          <w:rFonts w:ascii="Arial" w:hAnsi="Arial" w:cs="Arial"/>
        </w:rPr>
        <w:t xml:space="preserve"> is a complete fallacy. </w:t>
      </w:r>
      <w:r w:rsidR="003C5E74">
        <w:rPr>
          <w:rFonts w:ascii="Arial" w:hAnsi="Arial" w:cs="Arial"/>
        </w:rPr>
        <w:t>Lack of proficiency</w:t>
      </w:r>
      <w:r w:rsidR="00AE01AE">
        <w:rPr>
          <w:rFonts w:ascii="Arial" w:hAnsi="Arial" w:cs="Arial"/>
        </w:rPr>
        <w:t xml:space="preserve"> on the state assessment </w:t>
      </w:r>
      <w:r w:rsidR="004040E5">
        <w:rPr>
          <w:rFonts w:ascii="Arial" w:hAnsi="Arial" w:cs="Arial"/>
        </w:rPr>
        <w:t xml:space="preserve">in </w:t>
      </w:r>
      <w:r w:rsidR="003C5E74">
        <w:rPr>
          <w:rFonts w:ascii="Arial" w:hAnsi="Arial" w:cs="Arial"/>
        </w:rPr>
        <w:t xml:space="preserve">grade level </w:t>
      </w:r>
      <w:r w:rsidR="004040E5">
        <w:rPr>
          <w:rFonts w:ascii="Arial" w:hAnsi="Arial" w:cs="Arial"/>
        </w:rPr>
        <w:t xml:space="preserve">reading </w:t>
      </w:r>
      <w:r w:rsidR="00AE01AE">
        <w:rPr>
          <w:rFonts w:ascii="Arial" w:hAnsi="Arial" w:cs="Arial"/>
        </w:rPr>
        <w:t xml:space="preserve">and </w:t>
      </w:r>
      <w:r w:rsidR="003C5E74">
        <w:rPr>
          <w:rFonts w:ascii="Arial" w:hAnsi="Arial" w:cs="Arial"/>
        </w:rPr>
        <w:t>il</w:t>
      </w:r>
      <w:r w:rsidR="00AE01AE">
        <w:rPr>
          <w:rFonts w:ascii="Arial" w:hAnsi="Arial" w:cs="Arial"/>
        </w:rPr>
        <w:t>literacy are not equivalent. To illustrate, I’ve analyzed the a</w:t>
      </w:r>
      <w:r w:rsidR="004040E5">
        <w:rPr>
          <w:rFonts w:ascii="Arial" w:hAnsi="Arial" w:cs="Arial"/>
        </w:rPr>
        <w:t xml:space="preserve">verage GPA, </w:t>
      </w:r>
      <w:r w:rsidR="00F97AF1">
        <w:rPr>
          <w:rFonts w:ascii="Arial" w:hAnsi="Arial" w:cs="Arial"/>
        </w:rPr>
        <w:t>achievement level in 2016-17</w:t>
      </w:r>
      <w:r w:rsidR="004040E5">
        <w:rPr>
          <w:rFonts w:ascii="Arial" w:hAnsi="Arial" w:cs="Arial"/>
        </w:rPr>
        <w:t>,</w:t>
      </w:r>
      <w:r w:rsidR="00F97AF1">
        <w:rPr>
          <w:rFonts w:ascii="Arial" w:hAnsi="Arial" w:cs="Arial"/>
        </w:rPr>
        <w:t xml:space="preserve"> and </w:t>
      </w:r>
      <w:r w:rsidR="004040E5">
        <w:rPr>
          <w:rFonts w:ascii="Arial" w:hAnsi="Arial" w:cs="Arial"/>
        </w:rPr>
        <w:t>g</w:t>
      </w:r>
      <w:r w:rsidR="00F97AF1">
        <w:rPr>
          <w:rFonts w:ascii="Arial" w:hAnsi="Arial" w:cs="Arial"/>
        </w:rPr>
        <w:t>raduation rate</w:t>
      </w:r>
      <w:r w:rsidR="004040E5">
        <w:rPr>
          <w:rFonts w:ascii="Arial" w:hAnsi="Arial" w:cs="Arial"/>
        </w:rPr>
        <w:t xml:space="preserve"> of the 19-20 student cohort</w:t>
      </w:r>
      <w:r w:rsidR="00AE01AE">
        <w:rPr>
          <w:rFonts w:ascii="Arial" w:hAnsi="Arial" w:cs="Arial"/>
        </w:rPr>
        <w:t xml:space="preserve">: </w:t>
      </w:r>
    </w:p>
    <w:tbl>
      <w:tblPr>
        <w:tblStyle w:val="TableGrid"/>
        <w:tblW w:w="0" w:type="auto"/>
        <w:tblLook w:val="04A0" w:firstRow="1" w:lastRow="0" w:firstColumn="1" w:lastColumn="0" w:noHBand="0" w:noVBand="1"/>
      </w:tblPr>
      <w:tblGrid>
        <w:gridCol w:w="2365"/>
        <w:gridCol w:w="1850"/>
        <w:gridCol w:w="2122"/>
        <w:gridCol w:w="2266"/>
        <w:gridCol w:w="2050"/>
      </w:tblGrid>
      <w:tr w:rsidR="004040E5" w14:paraId="3720DE62" w14:textId="0D15D456" w:rsidTr="004040E5">
        <w:trPr>
          <w:trHeight w:val="801"/>
        </w:trPr>
        <w:tc>
          <w:tcPr>
            <w:tcW w:w="2365" w:type="dxa"/>
          </w:tcPr>
          <w:p w14:paraId="0913118C" w14:textId="78D640C1" w:rsidR="004040E5" w:rsidRDefault="004040E5" w:rsidP="004040E5">
            <w:pPr>
              <w:jc w:val="center"/>
            </w:pPr>
            <w:r>
              <w:t>State Assessment Achievement Level in 2016-17</w:t>
            </w:r>
            <w:r w:rsidR="00D77E52">
              <w:t xml:space="preserve"> (grade 9)</w:t>
            </w:r>
          </w:p>
        </w:tc>
        <w:tc>
          <w:tcPr>
            <w:tcW w:w="1850" w:type="dxa"/>
          </w:tcPr>
          <w:p w14:paraId="06D728E9" w14:textId="4B9DAF03" w:rsidR="004040E5" w:rsidRDefault="004040E5" w:rsidP="004040E5">
            <w:pPr>
              <w:jc w:val="center"/>
            </w:pPr>
            <w:r>
              <w:t xml:space="preserve">% </w:t>
            </w:r>
            <w:r w:rsidR="00AA6136">
              <w:t xml:space="preserve">of </w:t>
            </w:r>
            <w:r>
              <w:t>students</w:t>
            </w:r>
          </w:p>
        </w:tc>
        <w:tc>
          <w:tcPr>
            <w:tcW w:w="2122" w:type="dxa"/>
          </w:tcPr>
          <w:p w14:paraId="75541A4E" w14:textId="446C3918" w:rsidR="004040E5" w:rsidRDefault="004040E5" w:rsidP="004040E5">
            <w:pPr>
              <w:jc w:val="center"/>
            </w:pPr>
            <w:r>
              <w:t>Average GPA</w:t>
            </w:r>
          </w:p>
          <w:p w14:paraId="3B94D33E" w14:textId="6759385A" w:rsidR="004040E5" w:rsidRDefault="004040E5" w:rsidP="004040E5">
            <w:pPr>
              <w:jc w:val="center"/>
            </w:pPr>
            <w:r>
              <w:t>(in 2016-17)</w:t>
            </w:r>
          </w:p>
        </w:tc>
        <w:tc>
          <w:tcPr>
            <w:tcW w:w="2266" w:type="dxa"/>
          </w:tcPr>
          <w:p w14:paraId="00C977CC" w14:textId="4C0589E0" w:rsidR="004040E5" w:rsidRDefault="004040E5" w:rsidP="004040E5">
            <w:pPr>
              <w:jc w:val="center"/>
            </w:pPr>
            <w:r>
              <w:t>Graduation Rate</w:t>
            </w:r>
          </w:p>
          <w:p w14:paraId="5778D1E1" w14:textId="5E1A968D" w:rsidR="004040E5" w:rsidRDefault="004040E5" w:rsidP="004040E5">
            <w:pPr>
              <w:jc w:val="center"/>
            </w:pPr>
            <w:r>
              <w:t>(in 2019-2020)</w:t>
            </w:r>
          </w:p>
        </w:tc>
        <w:tc>
          <w:tcPr>
            <w:tcW w:w="2050" w:type="dxa"/>
          </w:tcPr>
          <w:p w14:paraId="197F9EB1" w14:textId="7AF1C727" w:rsidR="004040E5" w:rsidRDefault="004040E5" w:rsidP="004040E5">
            <w:pPr>
              <w:jc w:val="center"/>
            </w:pPr>
            <w:r>
              <w:t>Predicting Graduation Accuracy</w:t>
            </w:r>
            <w:r w:rsidR="00A21CF3">
              <w:t xml:space="preserve"> Using Achievement level as Threshold</w:t>
            </w:r>
          </w:p>
        </w:tc>
      </w:tr>
      <w:tr w:rsidR="004040E5" w14:paraId="26E4B78F" w14:textId="4FF7AFA9" w:rsidTr="004040E5">
        <w:trPr>
          <w:trHeight w:val="791"/>
        </w:trPr>
        <w:tc>
          <w:tcPr>
            <w:tcW w:w="2365" w:type="dxa"/>
          </w:tcPr>
          <w:p w14:paraId="4BA105D2" w14:textId="4E221227" w:rsidR="004040E5" w:rsidRDefault="004040E5" w:rsidP="008E4AC1">
            <w:pPr>
              <w:pStyle w:val="NormalWeb"/>
              <w:spacing w:before="240" w:beforeAutospacing="0" w:after="240" w:afterAutospacing="0"/>
              <w:rPr>
                <w:rFonts w:ascii="Arial" w:hAnsi="Arial" w:cs="Arial"/>
              </w:rPr>
            </w:pPr>
            <w:r>
              <w:rPr>
                <w:rFonts w:ascii="Arial" w:hAnsi="Arial" w:cs="Arial"/>
              </w:rPr>
              <w:t>Far Below Proficient</w:t>
            </w:r>
          </w:p>
        </w:tc>
        <w:tc>
          <w:tcPr>
            <w:tcW w:w="1850" w:type="dxa"/>
          </w:tcPr>
          <w:p w14:paraId="1C9BA130" w14:textId="3CB193CA" w:rsidR="004040E5" w:rsidRDefault="004040E5" w:rsidP="00AE01AE">
            <w:pPr>
              <w:pStyle w:val="NormalWeb"/>
              <w:spacing w:before="240" w:beforeAutospacing="0" w:after="240" w:afterAutospacing="0"/>
              <w:jc w:val="center"/>
              <w:rPr>
                <w:rFonts w:ascii="Arial" w:hAnsi="Arial" w:cs="Arial"/>
              </w:rPr>
            </w:pPr>
            <w:r>
              <w:rPr>
                <w:rFonts w:ascii="Arial" w:hAnsi="Arial" w:cs="Arial"/>
              </w:rPr>
              <w:t>33.3%</w:t>
            </w:r>
          </w:p>
        </w:tc>
        <w:tc>
          <w:tcPr>
            <w:tcW w:w="2122" w:type="dxa"/>
          </w:tcPr>
          <w:p w14:paraId="7B691EDB" w14:textId="0749284C" w:rsidR="004040E5" w:rsidRDefault="004040E5" w:rsidP="00AE01AE">
            <w:pPr>
              <w:pStyle w:val="NormalWeb"/>
              <w:spacing w:before="240" w:beforeAutospacing="0" w:after="240" w:afterAutospacing="0"/>
              <w:jc w:val="center"/>
              <w:rPr>
                <w:rFonts w:ascii="Arial" w:hAnsi="Arial" w:cs="Arial"/>
              </w:rPr>
            </w:pPr>
            <w:r>
              <w:rPr>
                <w:rFonts w:ascii="Arial" w:hAnsi="Arial" w:cs="Arial"/>
              </w:rPr>
              <w:t>2.57</w:t>
            </w:r>
          </w:p>
        </w:tc>
        <w:tc>
          <w:tcPr>
            <w:tcW w:w="2266" w:type="dxa"/>
          </w:tcPr>
          <w:p w14:paraId="0AD1A209" w14:textId="1C7950B3" w:rsidR="004040E5" w:rsidRDefault="004040E5" w:rsidP="00AE01AE">
            <w:pPr>
              <w:pStyle w:val="NormalWeb"/>
              <w:spacing w:before="240" w:beforeAutospacing="0" w:after="240" w:afterAutospacing="0"/>
              <w:jc w:val="center"/>
              <w:rPr>
                <w:rFonts w:ascii="Arial" w:hAnsi="Arial" w:cs="Arial"/>
              </w:rPr>
            </w:pPr>
            <w:r>
              <w:rPr>
                <w:rFonts w:ascii="Arial" w:hAnsi="Arial" w:cs="Arial"/>
              </w:rPr>
              <w:t>69%</w:t>
            </w:r>
          </w:p>
        </w:tc>
        <w:tc>
          <w:tcPr>
            <w:tcW w:w="2050" w:type="dxa"/>
          </w:tcPr>
          <w:p w14:paraId="6C1ACB8C" w14:textId="21B1C3B8" w:rsidR="004040E5" w:rsidRDefault="004040E5" w:rsidP="00AE01AE">
            <w:pPr>
              <w:pStyle w:val="NormalWeb"/>
              <w:spacing w:before="240" w:beforeAutospacing="0" w:after="240" w:afterAutospacing="0"/>
              <w:jc w:val="center"/>
              <w:rPr>
                <w:rFonts w:ascii="Arial" w:hAnsi="Arial" w:cs="Arial"/>
              </w:rPr>
            </w:pPr>
            <w:r>
              <w:rPr>
                <w:rFonts w:ascii="Arial" w:hAnsi="Arial" w:cs="Arial"/>
              </w:rPr>
              <w:t>71%</w:t>
            </w:r>
          </w:p>
        </w:tc>
      </w:tr>
      <w:tr w:rsidR="004040E5" w14:paraId="04AF29BB" w14:textId="5AFF9BF0" w:rsidTr="004040E5">
        <w:trPr>
          <w:trHeight w:val="801"/>
        </w:trPr>
        <w:tc>
          <w:tcPr>
            <w:tcW w:w="2365" w:type="dxa"/>
          </w:tcPr>
          <w:p w14:paraId="2F62B980" w14:textId="66718CA5" w:rsidR="004040E5" w:rsidRDefault="004040E5" w:rsidP="008E4AC1">
            <w:pPr>
              <w:pStyle w:val="NormalWeb"/>
              <w:spacing w:before="240" w:beforeAutospacing="0" w:after="240" w:afterAutospacing="0"/>
              <w:rPr>
                <w:rFonts w:ascii="Arial" w:hAnsi="Arial" w:cs="Arial"/>
              </w:rPr>
            </w:pPr>
            <w:r>
              <w:rPr>
                <w:rFonts w:ascii="Arial" w:hAnsi="Arial" w:cs="Arial"/>
              </w:rPr>
              <w:t>Below Proficient</w:t>
            </w:r>
          </w:p>
        </w:tc>
        <w:tc>
          <w:tcPr>
            <w:tcW w:w="1850" w:type="dxa"/>
          </w:tcPr>
          <w:p w14:paraId="5F954816" w14:textId="7D60F6DF" w:rsidR="004040E5" w:rsidRDefault="004040E5" w:rsidP="00AE01AE">
            <w:pPr>
              <w:pStyle w:val="NormalWeb"/>
              <w:spacing w:before="240" w:beforeAutospacing="0" w:after="240" w:afterAutospacing="0"/>
              <w:jc w:val="center"/>
              <w:rPr>
                <w:rFonts w:ascii="Arial" w:hAnsi="Arial" w:cs="Arial"/>
              </w:rPr>
            </w:pPr>
            <w:r>
              <w:rPr>
                <w:rFonts w:ascii="Arial" w:hAnsi="Arial" w:cs="Arial"/>
              </w:rPr>
              <w:t>25.6%</w:t>
            </w:r>
          </w:p>
        </w:tc>
        <w:tc>
          <w:tcPr>
            <w:tcW w:w="2122" w:type="dxa"/>
          </w:tcPr>
          <w:p w14:paraId="79732116" w14:textId="19835D0C" w:rsidR="004040E5" w:rsidRDefault="004040E5" w:rsidP="00AE01AE">
            <w:pPr>
              <w:pStyle w:val="NormalWeb"/>
              <w:spacing w:before="240" w:beforeAutospacing="0" w:after="240" w:afterAutospacing="0"/>
              <w:jc w:val="center"/>
              <w:rPr>
                <w:rFonts w:ascii="Arial" w:hAnsi="Arial" w:cs="Arial"/>
              </w:rPr>
            </w:pPr>
            <w:r>
              <w:rPr>
                <w:rFonts w:ascii="Arial" w:hAnsi="Arial" w:cs="Arial"/>
              </w:rPr>
              <w:t>3.07</w:t>
            </w:r>
          </w:p>
        </w:tc>
        <w:tc>
          <w:tcPr>
            <w:tcW w:w="2266" w:type="dxa"/>
          </w:tcPr>
          <w:p w14:paraId="50C95508" w14:textId="37699855" w:rsidR="004040E5" w:rsidRDefault="004040E5" w:rsidP="00AE01AE">
            <w:pPr>
              <w:pStyle w:val="NormalWeb"/>
              <w:spacing w:before="240" w:beforeAutospacing="0" w:after="240" w:afterAutospacing="0"/>
              <w:jc w:val="center"/>
              <w:rPr>
                <w:rFonts w:ascii="Arial" w:hAnsi="Arial" w:cs="Arial"/>
              </w:rPr>
            </w:pPr>
            <w:r>
              <w:rPr>
                <w:rFonts w:ascii="Arial" w:hAnsi="Arial" w:cs="Arial"/>
              </w:rPr>
              <w:t>87%</w:t>
            </w:r>
          </w:p>
        </w:tc>
        <w:tc>
          <w:tcPr>
            <w:tcW w:w="2050" w:type="dxa"/>
          </w:tcPr>
          <w:p w14:paraId="1B0E3D8D" w14:textId="0F233F0F" w:rsidR="004040E5" w:rsidRDefault="004040E5" w:rsidP="00AE01AE">
            <w:pPr>
              <w:pStyle w:val="NormalWeb"/>
              <w:spacing w:before="240" w:beforeAutospacing="0" w:after="240" w:afterAutospacing="0"/>
              <w:jc w:val="center"/>
              <w:rPr>
                <w:rFonts w:ascii="Arial" w:hAnsi="Arial" w:cs="Arial"/>
              </w:rPr>
            </w:pPr>
            <w:r>
              <w:rPr>
                <w:rFonts w:ascii="Arial" w:hAnsi="Arial" w:cs="Arial"/>
              </w:rPr>
              <w:t>52%</w:t>
            </w:r>
          </w:p>
        </w:tc>
      </w:tr>
      <w:tr w:rsidR="004040E5" w14:paraId="01CB1684" w14:textId="0C5C0B44" w:rsidTr="004040E5">
        <w:trPr>
          <w:trHeight w:val="801"/>
        </w:trPr>
        <w:tc>
          <w:tcPr>
            <w:tcW w:w="2365" w:type="dxa"/>
          </w:tcPr>
          <w:p w14:paraId="4EE0A381" w14:textId="0C3D1CA0" w:rsidR="004040E5" w:rsidRDefault="004040E5" w:rsidP="008E4AC1">
            <w:pPr>
              <w:pStyle w:val="NormalWeb"/>
              <w:spacing w:before="240" w:beforeAutospacing="0" w:after="240" w:afterAutospacing="0"/>
              <w:rPr>
                <w:rFonts w:ascii="Arial" w:hAnsi="Arial" w:cs="Arial"/>
              </w:rPr>
            </w:pPr>
            <w:r>
              <w:rPr>
                <w:rFonts w:ascii="Arial" w:hAnsi="Arial" w:cs="Arial"/>
              </w:rPr>
              <w:t>Proficient</w:t>
            </w:r>
          </w:p>
        </w:tc>
        <w:tc>
          <w:tcPr>
            <w:tcW w:w="1850" w:type="dxa"/>
          </w:tcPr>
          <w:p w14:paraId="4FBA97FD" w14:textId="40C1D6CF" w:rsidR="004040E5" w:rsidRDefault="004040E5" w:rsidP="00AE01AE">
            <w:pPr>
              <w:pStyle w:val="NormalWeb"/>
              <w:spacing w:before="240" w:beforeAutospacing="0" w:after="240" w:afterAutospacing="0"/>
              <w:jc w:val="center"/>
              <w:rPr>
                <w:rFonts w:ascii="Arial" w:hAnsi="Arial" w:cs="Arial"/>
              </w:rPr>
            </w:pPr>
            <w:r>
              <w:rPr>
                <w:rFonts w:ascii="Arial" w:hAnsi="Arial" w:cs="Arial"/>
              </w:rPr>
              <w:t>29.7%</w:t>
            </w:r>
          </w:p>
        </w:tc>
        <w:tc>
          <w:tcPr>
            <w:tcW w:w="2122" w:type="dxa"/>
          </w:tcPr>
          <w:p w14:paraId="1AED6B06" w14:textId="7CFB4CB4" w:rsidR="004040E5" w:rsidRDefault="004040E5" w:rsidP="00AE01AE">
            <w:pPr>
              <w:pStyle w:val="NormalWeb"/>
              <w:spacing w:before="240" w:beforeAutospacing="0" w:after="240" w:afterAutospacing="0"/>
              <w:jc w:val="center"/>
              <w:rPr>
                <w:rFonts w:ascii="Arial" w:hAnsi="Arial" w:cs="Arial"/>
              </w:rPr>
            </w:pPr>
            <w:r>
              <w:rPr>
                <w:rFonts w:ascii="Arial" w:hAnsi="Arial" w:cs="Arial"/>
              </w:rPr>
              <w:t>3.42</w:t>
            </w:r>
          </w:p>
        </w:tc>
        <w:tc>
          <w:tcPr>
            <w:tcW w:w="2266" w:type="dxa"/>
          </w:tcPr>
          <w:p w14:paraId="212F92E2" w14:textId="08677549" w:rsidR="004040E5" w:rsidRDefault="004040E5" w:rsidP="00AE01AE">
            <w:pPr>
              <w:pStyle w:val="NormalWeb"/>
              <w:spacing w:before="240" w:beforeAutospacing="0" w:after="240" w:afterAutospacing="0"/>
              <w:jc w:val="center"/>
              <w:rPr>
                <w:rFonts w:ascii="Arial" w:hAnsi="Arial" w:cs="Arial"/>
              </w:rPr>
            </w:pPr>
            <w:r>
              <w:rPr>
                <w:rFonts w:ascii="Arial" w:hAnsi="Arial" w:cs="Arial"/>
              </w:rPr>
              <w:t>92%</w:t>
            </w:r>
          </w:p>
        </w:tc>
        <w:tc>
          <w:tcPr>
            <w:tcW w:w="2050" w:type="dxa"/>
          </w:tcPr>
          <w:p w14:paraId="4228D64B" w14:textId="36D2DA9B" w:rsidR="004040E5" w:rsidRDefault="004040E5" w:rsidP="00AE01AE">
            <w:pPr>
              <w:pStyle w:val="NormalWeb"/>
              <w:spacing w:before="240" w:beforeAutospacing="0" w:after="240" w:afterAutospacing="0"/>
              <w:jc w:val="center"/>
              <w:rPr>
                <w:rFonts w:ascii="Arial" w:hAnsi="Arial" w:cs="Arial"/>
              </w:rPr>
            </w:pPr>
            <w:r>
              <w:rPr>
                <w:rFonts w:ascii="Arial" w:hAnsi="Arial" w:cs="Arial"/>
              </w:rPr>
              <w:t>27%</w:t>
            </w:r>
          </w:p>
        </w:tc>
      </w:tr>
      <w:tr w:rsidR="004040E5" w14:paraId="52F052B5" w14:textId="33B1C3A1" w:rsidTr="004040E5">
        <w:trPr>
          <w:trHeight w:val="791"/>
        </w:trPr>
        <w:tc>
          <w:tcPr>
            <w:tcW w:w="2365" w:type="dxa"/>
          </w:tcPr>
          <w:p w14:paraId="672B7DD9" w14:textId="670ED396" w:rsidR="004040E5" w:rsidRDefault="004040E5" w:rsidP="008E4AC1">
            <w:pPr>
              <w:pStyle w:val="NormalWeb"/>
              <w:spacing w:before="240" w:beforeAutospacing="0" w:after="240" w:afterAutospacing="0"/>
              <w:rPr>
                <w:rFonts w:ascii="Arial" w:hAnsi="Arial" w:cs="Arial"/>
              </w:rPr>
            </w:pPr>
            <w:r>
              <w:rPr>
                <w:rFonts w:ascii="Arial" w:hAnsi="Arial" w:cs="Arial"/>
              </w:rPr>
              <w:t>Advanced</w:t>
            </w:r>
          </w:p>
        </w:tc>
        <w:tc>
          <w:tcPr>
            <w:tcW w:w="1850" w:type="dxa"/>
          </w:tcPr>
          <w:p w14:paraId="0CFD5598" w14:textId="3377AB7E" w:rsidR="004040E5" w:rsidRDefault="004040E5" w:rsidP="00AE01AE">
            <w:pPr>
              <w:pStyle w:val="NormalWeb"/>
              <w:spacing w:before="240" w:beforeAutospacing="0" w:after="240" w:afterAutospacing="0"/>
              <w:jc w:val="center"/>
              <w:rPr>
                <w:rFonts w:ascii="Arial" w:hAnsi="Arial" w:cs="Arial"/>
              </w:rPr>
            </w:pPr>
            <w:r>
              <w:rPr>
                <w:rFonts w:ascii="Arial" w:hAnsi="Arial" w:cs="Arial"/>
              </w:rPr>
              <w:t>11.3%</w:t>
            </w:r>
          </w:p>
        </w:tc>
        <w:tc>
          <w:tcPr>
            <w:tcW w:w="2122" w:type="dxa"/>
          </w:tcPr>
          <w:p w14:paraId="0A87DB02" w14:textId="4465B5D4" w:rsidR="004040E5" w:rsidRDefault="004040E5" w:rsidP="00AE01AE">
            <w:pPr>
              <w:pStyle w:val="NormalWeb"/>
              <w:spacing w:before="240" w:beforeAutospacing="0" w:after="240" w:afterAutospacing="0"/>
              <w:jc w:val="center"/>
              <w:rPr>
                <w:rFonts w:ascii="Arial" w:hAnsi="Arial" w:cs="Arial"/>
              </w:rPr>
            </w:pPr>
            <w:r>
              <w:rPr>
                <w:rFonts w:ascii="Arial" w:hAnsi="Arial" w:cs="Arial"/>
              </w:rPr>
              <w:t>3.74</w:t>
            </w:r>
          </w:p>
        </w:tc>
        <w:tc>
          <w:tcPr>
            <w:tcW w:w="2266" w:type="dxa"/>
          </w:tcPr>
          <w:p w14:paraId="18E998CC" w14:textId="281B3419" w:rsidR="004040E5" w:rsidRDefault="004040E5" w:rsidP="00AE01AE">
            <w:pPr>
              <w:pStyle w:val="NormalWeb"/>
              <w:spacing w:before="240" w:beforeAutospacing="0" w:after="240" w:afterAutospacing="0"/>
              <w:jc w:val="center"/>
              <w:rPr>
                <w:rFonts w:ascii="Arial" w:hAnsi="Arial" w:cs="Arial"/>
              </w:rPr>
            </w:pPr>
            <w:r>
              <w:rPr>
                <w:rFonts w:ascii="Arial" w:hAnsi="Arial" w:cs="Arial"/>
              </w:rPr>
              <w:t>96%</w:t>
            </w:r>
          </w:p>
        </w:tc>
        <w:tc>
          <w:tcPr>
            <w:tcW w:w="2050" w:type="dxa"/>
          </w:tcPr>
          <w:p w14:paraId="45AABCCC" w14:textId="47EBE7FE" w:rsidR="004040E5" w:rsidRDefault="004040E5" w:rsidP="00AE01AE">
            <w:pPr>
              <w:pStyle w:val="NormalWeb"/>
              <w:spacing w:before="240" w:beforeAutospacing="0" w:after="240" w:afterAutospacing="0"/>
              <w:jc w:val="center"/>
              <w:rPr>
                <w:rFonts w:ascii="Arial" w:hAnsi="Arial" w:cs="Arial"/>
              </w:rPr>
            </w:pPr>
            <w:r>
              <w:rPr>
                <w:rFonts w:ascii="Arial" w:hAnsi="Arial" w:cs="Arial"/>
              </w:rPr>
              <w:t>17%</w:t>
            </w:r>
          </w:p>
        </w:tc>
      </w:tr>
    </w:tbl>
    <w:p w14:paraId="5350279F" w14:textId="0D868AE5" w:rsidR="008E4AC1" w:rsidRDefault="00AE01AE" w:rsidP="008E4AC1">
      <w:pPr>
        <w:pStyle w:val="NormalWeb"/>
        <w:shd w:val="clear" w:color="auto" w:fill="FFFFFF"/>
        <w:spacing w:before="240" w:beforeAutospacing="0" w:after="240" w:afterAutospacing="0"/>
        <w:ind w:firstLine="720"/>
        <w:rPr>
          <w:rFonts w:ascii="Arial" w:hAnsi="Arial" w:cs="Arial"/>
        </w:rPr>
      </w:pPr>
      <w:r>
        <w:rPr>
          <w:rFonts w:ascii="Arial" w:hAnsi="Arial" w:cs="Arial"/>
        </w:rPr>
        <w:t xml:space="preserve"> </w:t>
      </w:r>
      <w:r w:rsidR="00D41CEB">
        <w:rPr>
          <w:rFonts w:ascii="Arial" w:hAnsi="Arial" w:cs="Arial"/>
        </w:rPr>
        <w:t xml:space="preserve"> </w:t>
      </w:r>
      <w:r w:rsidR="008E4AC1">
        <w:rPr>
          <w:rFonts w:ascii="Arial" w:hAnsi="Arial" w:cs="Arial"/>
        </w:rPr>
        <w:t xml:space="preserve">  </w:t>
      </w:r>
      <w:r w:rsidR="009F7A2B">
        <w:rPr>
          <w:rFonts w:ascii="Arial" w:hAnsi="Arial" w:cs="Arial"/>
        </w:rPr>
        <w:t xml:space="preserve">To clarify, “below proficient” scoring students had a graduation rate of 87% and the average student in the group was a “B” student. Scoring “below proficient” is not an indication of illiteracy or even a reason for concern for the student’s academic future. Thus, </w:t>
      </w:r>
      <w:r w:rsidR="00F97AF1">
        <w:rPr>
          <w:rFonts w:ascii="Arial" w:hAnsi="Arial" w:cs="Arial"/>
        </w:rPr>
        <w:t xml:space="preserve">I partially agree with Mr. King’s </w:t>
      </w:r>
      <w:r w:rsidR="004040E5">
        <w:rPr>
          <w:rFonts w:ascii="Arial" w:hAnsi="Arial" w:cs="Arial"/>
        </w:rPr>
        <w:t>comment</w:t>
      </w:r>
      <w:r w:rsidR="00F97AF1">
        <w:rPr>
          <w:rFonts w:ascii="Arial" w:hAnsi="Arial" w:cs="Arial"/>
        </w:rPr>
        <w:t xml:space="preserve"> </w:t>
      </w:r>
      <w:r w:rsidR="004040E5">
        <w:rPr>
          <w:rFonts w:ascii="Arial" w:hAnsi="Arial" w:cs="Arial"/>
        </w:rPr>
        <w:t xml:space="preserve">with </w:t>
      </w:r>
      <w:r w:rsidR="00F97AF1">
        <w:rPr>
          <w:rFonts w:ascii="Arial" w:hAnsi="Arial" w:cs="Arial"/>
        </w:rPr>
        <w:t>this Senate Bill to change the promotion threshold from “NAEP proficient” to “on grade level” as a step in the right direction. However, the threshold should be much lower.</w:t>
      </w:r>
      <w:r w:rsidR="009C026D">
        <w:rPr>
          <w:rFonts w:ascii="Arial" w:hAnsi="Arial" w:cs="Arial"/>
        </w:rPr>
        <w:t xml:space="preserve"> </w:t>
      </w:r>
      <w:r w:rsidR="004040E5">
        <w:rPr>
          <w:rFonts w:ascii="Arial" w:hAnsi="Arial" w:cs="Arial"/>
        </w:rPr>
        <w:t>Florida’s threshold is “level 2 or higher” amongst 5 achievement levels where levels 4 and 5 coincide with Florida’s definition of “proficient.”</w:t>
      </w:r>
      <w:r w:rsidR="00F97AF1">
        <w:rPr>
          <w:rFonts w:ascii="Arial" w:hAnsi="Arial" w:cs="Arial"/>
        </w:rPr>
        <w:t xml:space="preserve">   </w:t>
      </w:r>
      <w:r w:rsidR="004040E5">
        <w:rPr>
          <w:rFonts w:ascii="Arial" w:hAnsi="Arial" w:cs="Arial"/>
        </w:rPr>
        <w:t xml:space="preserve">Florida describes Level 1 as “Inadequate: Highly likely to need substantial support for the next grade” and </w:t>
      </w:r>
      <w:r w:rsidR="00A21CF3">
        <w:rPr>
          <w:rFonts w:ascii="Arial" w:hAnsi="Arial" w:cs="Arial"/>
        </w:rPr>
        <w:t xml:space="preserve">that 20% of students in grade 3 received a Level 1 in English Language Arts in the Spring of 2019. Thus, </w:t>
      </w:r>
      <w:r w:rsidR="009F7A2B">
        <w:rPr>
          <w:rFonts w:ascii="Arial" w:hAnsi="Arial" w:cs="Arial"/>
        </w:rPr>
        <w:t>if there’s intention to align wi</w:t>
      </w:r>
      <w:r w:rsidR="00D04714">
        <w:rPr>
          <w:rFonts w:ascii="Arial" w:hAnsi="Arial" w:cs="Arial"/>
        </w:rPr>
        <w:t>th Florida’s policy – why is Alaska’s</w:t>
      </w:r>
      <w:r w:rsidR="009F7A2B">
        <w:rPr>
          <w:rFonts w:ascii="Arial" w:hAnsi="Arial" w:cs="Arial"/>
        </w:rPr>
        <w:t xml:space="preserve"> threshold so drastically different? I recommend that you </w:t>
      </w:r>
      <w:r w:rsidR="00A21CF3">
        <w:rPr>
          <w:rFonts w:ascii="Arial" w:hAnsi="Arial" w:cs="Arial"/>
        </w:rPr>
        <w:t>seriously consider this data when defining your thre</w:t>
      </w:r>
      <w:r w:rsidR="003D3808">
        <w:rPr>
          <w:rFonts w:ascii="Arial" w:hAnsi="Arial" w:cs="Arial"/>
        </w:rPr>
        <w:t>shold</w:t>
      </w:r>
      <w:r w:rsidR="00D04714">
        <w:rPr>
          <w:rFonts w:ascii="Arial" w:hAnsi="Arial" w:cs="Arial"/>
        </w:rPr>
        <w:t>/cut-score</w:t>
      </w:r>
      <w:r w:rsidR="003D3808">
        <w:rPr>
          <w:rFonts w:ascii="Arial" w:hAnsi="Arial" w:cs="Arial"/>
        </w:rPr>
        <w:t xml:space="preserve"> for “reading deficiency” </w:t>
      </w:r>
      <w:r w:rsidR="009C026D">
        <w:rPr>
          <w:rFonts w:ascii="Arial" w:hAnsi="Arial" w:cs="Arial"/>
        </w:rPr>
        <w:t>(</w:t>
      </w:r>
      <w:r w:rsidR="00A21CF3">
        <w:rPr>
          <w:rFonts w:ascii="Arial" w:hAnsi="Arial" w:cs="Arial"/>
        </w:rPr>
        <w:t>9</w:t>
      </w:r>
      <w:r w:rsidR="00A21CF3" w:rsidRPr="00A21CF3">
        <w:rPr>
          <w:rFonts w:ascii="Arial" w:hAnsi="Arial" w:cs="Arial"/>
          <w:vertAlign w:val="superscript"/>
        </w:rPr>
        <w:t>th</w:t>
      </w:r>
      <w:r w:rsidR="00A21CF3">
        <w:rPr>
          <w:rFonts w:ascii="Arial" w:hAnsi="Arial" w:cs="Arial"/>
        </w:rPr>
        <w:t xml:space="preserve"> grade achievement levels </w:t>
      </w:r>
      <w:r w:rsidR="009C026D">
        <w:rPr>
          <w:rFonts w:ascii="Arial" w:hAnsi="Arial" w:cs="Arial"/>
        </w:rPr>
        <w:t xml:space="preserve">are used </w:t>
      </w:r>
      <w:r w:rsidR="00A21CF3">
        <w:rPr>
          <w:rFonts w:ascii="Arial" w:hAnsi="Arial" w:cs="Arial"/>
        </w:rPr>
        <w:t>to connect the state assessment with graduation rates – the current state assessment started in 2016-17)</w:t>
      </w:r>
    </w:p>
    <w:p w14:paraId="4F5A0502" w14:textId="3DFE2E82" w:rsidR="00AD7C56" w:rsidRDefault="009C026D" w:rsidP="009C026D">
      <w:pPr>
        <w:pStyle w:val="NormalWeb"/>
        <w:shd w:val="clear" w:color="auto" w:fill="FFFFFF"/>
        <w:spacing w:before="240" w:beforeAutospacing="0" w:after="240" w:afterAutospacing="0"/>
        <w:ind w:firstLine="720"/>
        <w:rPr>
          <w:rFonts w:ascii="Arial" w:hAnsi="Arial" w:cs="Arial"/>
        </w:rPr>
      </w:pPr>
      <w:r>
        <w:rPr>
          <w:rFonts w:ascii="Arial" w:hAnsi="Arial" w:cs="Arial"/>
        </w:rPr>
        <w:t xml:space="preserve">I believe </w:t>
      </w:r>
      <w:r w:rsidR="00A21CF3">
        <w:rPr>
          <w:rFonts w:ascii="Arial" w:hAnsi="Arial" w:cs="Arial"/>
        </w:rPr>
        <w:t xml:space="preserve">the retention piece is the Achilles heel of this entire bill. The evidence provided to exemplify a need for </w:t>
      </w:r>
      <w:r w:rsidR="003C5E74">
        <w:rPr>
          <w:rFonts w:ascii="Arial" w:hAnsi="Arial" w:cs="Arial"/>
        </w:rPr>
        <w:t>universal preschool and evidence-based interventions</w:t>
      </w:r>
      <w:r w:rsidR="00071E53">
        <w:rPr>
          <w:rFonts w:ascii="Arial" w:hAnsi="Arial" w:cs="Arial"/>
        </w:rPr>
        <w:t xml:space="preserve"> is sufficient, but not for retention</w:t>
      </w:r>
      <w:r w:rsidR="00A21CF3">
        <w:rPr>
          <w:rFonts w:ascii="Arial" w:hAnsi="Arial" w:cs="Arial"/>
        </w:rPr>
        <w:t xml:space="preserve">. Substantial evidence should be used for making the retention decision and one assessment score </w:t>
      </w:r>
      <w:r>
        <w:rPr>
          <w:rFonts w:ascii="Arial" w:hAnsi="Arial" w:cs="Arial"/>
        </w:rPr>
        <w:t>is inappropriate and insufficient.</w:t>
      </w:r>
      <w:r w:rsidR="00A21CF3">
        <w:rPr>
          <w:rFonts w:ascii="Arial" w:hAnsi="Arial" w:cs="Arial"/>
        </w:rPr>
        <w:t xml:space="preserve"> </w:t>
      </w:r>
      <w:r>
        <w:rPr>
          <w:rFonts w:ascii="Arial" w:hAnsi="Arial" w:cs="Arial"/>
        </w:rPr>
        <w:t xml:space="preserve">The reform should be focused on universal </w:t>
      </w:r>
      <w:r>
        <w:rPr>
          <w:rFonts w:ascii="Arial" w:hAnsi="Arial" w:cs="Arial"/>
        </w:rPr>
        <w:lastRenderedPageBreak/>
        <w:t>preschool and evidence-based interventions and less on the poor evidence of retention.</w:t>
      </w:r>
      <w:r w:rsidR="003C5E74">
        <w:rPr>
          <w:rFonts w:ascii="Arial" w:hAnsi="Arial" w:cs="Arial"/>
        </w:rPr>
        <w:t xml:space="preserve"> </w:t>
      </w:r>
      <w:r w:rsidR="004E11B9">
        <w:rPr>
          <w:rFonts w:ascii="Arial" w:hAnsi="Arial" w:cs="Arial"/>
        </w:rPr>
        <w:t>Although requirement of the promotion policy is</w:t>
      </w:r>
      <w:r w:rsidR="003C5E74">
        <w:rPr>
          <w:rFonts w:ascii="Arial" w:hAnsi="Arial" w:cs="Arial"/>
        </w:rPr>
        <w:t xml:space="preserve"> not preferred, the addition of a “waiver” for parents may be a reasonable compromise between complete school district discretion and </w:t>
      </w:r>
      <w:r w:rsidR="004E11B9">
        <w:rPr>
          <w:rFonts w:ascii="Arial" w:hAnsi="Arial" w:cs="Arial"/>
        </w:rPr>
        <w:t>a strict</w:t>
      </w:r>
      <w:r w:rsidR="003D3808">
        <w:rPr>
          <w:rFonts w:ascii="Arial" w:hAnsi="Arial" w:cs="Arial"/>
        </w:rPr>
        <w:t xml:space="preserve"> </w:t>
      </w:r>
      <w:r w:rsidR="00D77E52">
        <w:rPr>
          <w:rFonts w:ascii="Arial" w:hAnsi="Arial" w:cs="Arial"/>
        </w:rPr>
        <w:t xml:space="preserve">on-grade level </w:t>
      </w:r>
      <w:r w:rsidR="004E11B9">
        <w:rPr>
          <w:rFonts w:ascii="Arial" w:hAnsi="Arial" w:cs="Arial"/>
        </w:rPr>
        <w:t xml:space="preserve">based promotion for non-exempt students. In other words, the parental waiver to retention may be vital to patching the Achilles heel of this bill.  </w:t>
      </w:r>
    </w:p>
    <w:p w14:paraId="140C94A7" w14:textId="78B245F0" w:rsidR="000B6D03" w:rsidRDefault="000B6D03" w:rsidP="004E11B9">
      <w:pPr>
        <w:pStyle w:val="NormalWeb"/>
        <w:shd w:val="clear" w:color="auto" w:fill="FFFFFF"/>
        <w:spacing w:before="240" w:beforeAutospacing="0" w:after="240" w:afterAutospacing="0"/>
        <w:ind w:firstLine="720"/>
        <w:rPr>
          <w:rFonts w:ascii="Arial" w:hAnsi="Arial" w:cs="Arial"/>
        </w:rPr>
      </w:pPr>
      <w:r>
        <w:rPr>
          <w:rFonts w:ascii="Arial" w:hAnsi="Arial" w:cs="Arial"/>
        </w:rPr>
        <w:t>Senators have asked about local analysis of preschool impacts – I have some for the Fairbanks North Star Borough School District. This analyses mostly pertains to students with disabilities that have access to a preschool program in Fairbanks</w:t>
      </w:r>
      <w:r w:rsidR="00D77E52">
        <w:rPr>
          <w:rFonts w:ascii="Arial" w:hAnsi="Arial" w:cs="Arial"/>
        </w:rPr>
        <w:t xml:space="preserve">. </w:t>
      </w:r>
      <w:bookmarkStart w:id="0" w:name="_GoBack"/>
      <w:bookmarkEnd w:id="0"/>
      <w:r>
        <w:rPr>
          <w:rFonts w:ascii="Arial" w:hAnsi="Arial" w:cs="Arial"/>
        </w:rPr>
        <w:t>I reviewed the graduation rates of students that attended Fairbanks preschool vs. statistically matched students that did not attend Fairbanks preschool. The 2018-2019 graduation rate for preschool attendees (back in 04-05 or 05-06) was 77% as compared to 57% for statistically matched non-attendees! To summarize, “students that do not attend Fairbanks preschool are almost twice as likely not to graduate as students that do attend Fairbanks preschool.”</w:t>
      </w:r>
    </w:p>
    <w:p w14:paraId="6A31AEFD" w14:textId="2982A54F" w:rsidR="000B6D03" w:rsidRPr="00FC3D39" w:rsidRDefault="000B6D03" w:rsidP="000B6D03">
      <w:pPr>
        <w:pStyle w:val="NormalWeb"/>
        <w:shd w:val="clear" w:color="auto" w:fill="FFFFFF"/>
        <w:spacing w:before="240" w:beforeAutospacing="0" w:after="240" w:afterAutospacing="0"/>
        <w:rPr>
          <w:rFonts w:ascii="Arial" w:hAnsi="Arial" w:cs="Arial"/>
        </w:rPr>
      </w:pPr>
      <w:r>
        <w:rPr>
          <w:rFonts w:ascii="Arial" w:hAnsi="Arial" w:cs="Arial"/>
        </w:rPr>
        <w:t xml:space="preserve">I believe that universal preschool and evidence-based interventions </w:t>
      </w:r>
      <w:r w:rsidRPr="001B39F4">
        <w:rPr>
          <w:rFonts w:ascii="Arial" w:hAnsi="Arial" w:cs="Arial"/>
        </w:rPr>
        <w:t>are exciting opportunities to support our students!</w:t>
      </w:r>
    </w:p>
    <w:p w14:paraId="721E68EB" w14:textId="180BD3AB" w:rsidR="003B63DE" w:rsidRPr="00FC3D39" w:rsidRDefault="00AD7C56" w:rsidP="00FC3D39">
      <w:pPr>
        <w:rPr>
          <w:rFonts w:cs="Arial"/>
          <w:sz w:val="24"/>
          <w:szCs w:val="24"/>
        </w:rPr>
      </w:pPr>
      <w:r w:rsidRPr="001B39F4">
        <w:rPr>
          <w:rFonts w:cs="Arial"/>
          <w:sz w:val="24"/>
          <w:szCs w:val="24"/>
        </w:rPr>
        <w:t>Respectfully,</w:t>
      </w:r>
    </w:p>
    <w:p w14:paraId="18122FDF" w14:textId="77777777" w:rsidR="003F6E9A" w:rsidRDefault="003F6E9A" w:rsidP="00FC3D39">
      <w:pPr>
        <w:rPr>
          <w:rFonts w:cs="Arial"/>
          <w:sz w:val="24"/>
          <w:szCs w:val="24"/>
        </w:rPr>
      </w:pPr>
    </w:p>
    <w:p w14:paraId="15F20A66" w14:textId="7826FE1D" w:rsidR="003F6E9A" w:rsidRDefault="00AD7C56" w:rsidP="00FC3D39">
      <w:pPr>
        <w:rPr>
          <w:rFonts w:cs="Arial"/>
          <w:i/>
          <w:sz w:val="24"/>
          <w:szCs w:val="24"/>
        </w:rPr>
      </w:pPr>
      <w:r w:rsidRPr="003F6E9A">
        <w:rPr>
          <w:rFonts w:cs="Arial"/>
          <w:i/>
          <w:sz w:val="24"/>
          <w:szCs w:val="24"/>
        </w:rPr>
        <w:t>Ellis Michael Ott, Ph.D.</w:t>
      </w:r>
    </w:p>
    <w:p w14:paraId="0AEF9A65" w14:textId="77777777" w:rsidR="00930E36" w:rsidRPr="003F6E9A" w:rsidRDefault="00930E36" w:rsidP="00FC3D39">
      <w:pPr>
        <w:rPr>
          <w:rFonts w:cs="Arial"/>
          <w:i/>
          <w:sz w:val="24"/>
          <w:szCs w:val="24"/>
        </w:rPr>
      </w:pPr>
    </w:p>
    <w:p w14:paraId="61CD120D" w14:textId="35C54A24" w:rsidR="00021379" w:rsidRPr="008B3A8B" w:rsidRDefault="00021379" w:rsidP="00FC3D39">
      <w:pPr>
        <w:rPr>
          <w:rFonts w:cs="Arial"/>
          <w:sz w:val="24"/>
          <w:szCs w:val="24"/>
        </w:rPr>
      </w:pPr>
      <w:r w:rsidRPr="008B3A8B">
        <w:rPr>
          <w:rFonts w:cs="Arial"/>
          <w:sz w:val="24"/>
          <w:szCs w:val="24"/>
        </w:rPr>
        <w:t>Senior Research Analyst</w:t>
      </w:r>
    </w:p>
    <w:p w14:paraId="2E0D1B08" w14:textId="071593A0" w:rsidR="00AD7C56" w:rsidRPr="008B3A8B" w:rsidRDefault="00AD7C56" w:rsidP="00FC3D39">
      <w:pPr>
        <w:rPr>
          <w:rFonts w:cs="Arial"/>
          <w:sz w:val="24"/>
          <w:szCs w:val="24"/>
        </w:rPr>
      </w:pPr>
      <w:r w:rsidRPr="008B3A8B">
        <w:rPr>
          <w:rFonts w:cs="Arial"/>
          <w:sz w:val="24"/>
          <w:szCs w:val="24"/>
        </w:rPr>
        <w:t>Fairbanks North Star Borough School District</w:t>
      </w:r>
      <w:r w:rsidRPr="008B3A8B">
        <w:rPr>
          <w:rFonts w:cs="Arial"/>
          <w:sz w:val="24"/>
          <w:szCs w:val="24"/>
        </w:rPr>
        <w:br/>
      </w:r>
    </w:p>
    <w:p w14:paraId="47D2CC89" w14:textId="77777777" w:rsidR="00AD7C56" w:rsidRPr="008B3A8B" w:rsidRDefault="00AD7C56" w:rsidP="00FC3D39">
      <w:pPr>
        <w:rPr>
          <w:rFonts w:cs="Arial"/>
          <w:sz w:val="24"/>
          <w:szCs w:val="24"/>
        </w:rPr>
      </w:pPr>
      <w:r w:rsidRPr="008B3A8B">
        <w:rPr>
          <w:rFonts w:cs="Arial"/>
          <w:sz w:val="24"/>
          <w:szCs w:val="24"/>
        </w:rPr>
        <w:t>Cc: Dr. Karen Gaborik, Superintendent</w:t>
      </w:r>
    </w:p>
    <w:p w14:paraId="7CFD7A4F" w14:textId="77777777" w:rsidR="00AD7C56" w:rsidRPr="008B3A8B" w:rsidRDefault="00AD7C56" w:rsidP="00FC3D39">
      <w:pPr>
        <w:rPr>
          <w:rFonts w:cs="Arial"/>
          <w:sz w:val="24"/>
          <w:szCs w:val="24"/>
        </w:rPr>
      </w:pPr>
      <w:r w:rsidRPr="008B3A8B">
        <w:rPr>
          <w:rFonts w:cs="Arial"/>
          <w:sz w:val="24"/>
          <w:szCs w:val="24"/>
        </w:rPr>
        <w:t xml:space="preserve">       Melanie Hadaway, Executive Director of Teaching &amp; Learning</w:t>
      </w:r>
    </w:p>
    <w:p w14:paraId="03396EC2" w14:textId="0C306757" w:rsidR="008F3D71" w:rsidRPr="008B3A8B" w:rsidRDefault="00AD7C56" w:rsidP="00FC3D39">
      <w:pPr>
        <w:rPr>
          <w:rFonts w:cs="Arial"/>
          <w:sz w:val="24"/>
          <w:szCs w:val="24"/>
        </w:rPr>
      </w:pPr>
      <w:r w:rsidRPr="008B3A8B">
        <w:rPr>
          <w:rFonts w:cs="Arial"/>
          <w:sz w:val="24"/>
          <w:szCs w:val="24"/>
        </w:rPr>
        <w:t xml:space="preserve">       Katherine Laplaunt, Assistant Superintendent, Elementary</w:t>
      </w:r>
    </w:p>
    <w:sectPr w:rsidR="008F3D71" w:rsidRPr="008B3A8B">
      <w:type w:val="continuous"/>
      <w:pgSz w:w="12240" w:h="15840"/>
      <w:pgMar w:top="630" w:right="900" w:bottom="630" w:left="677" w:header="720" w:footer="720" w:gutter="0"/>
      <w:cols w:space="720" w:equalWidth="0">
        <w:col w:w="10663" w:space="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0E6"/>
    <w:multiLevelType w:val="hybridMultilevel"/>
    <w:tmpl w:val="16DE962C"/>
    <w:lvl w:ilvl="0" w:tplc="6168347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D568E"/>
    <w:multiLevelType w:val="hybridMultilevel"/>
    <w:tmpl w:val="7E46D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1364BF"/>
    <w:multiLevelType w:val="hybridMultilevel"/>
    <w:tmpl w:val="4D646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2315F"/>
    <w:multiLevelType w:val="hybridMultilevel"/>
    <w:tmpl w:val="1B025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11"/>
    <w:rsid w:val="00021379"/>
    <w:rsid w:val="00071E53"/>
    <w:rsid w:val="00090D8D"/>
    <w:rsid w:val="000A64E8"/>
    <w:rsid w:val="000B26AE"/>
    <w:rsid w:val="000B6D03"/>
    <w:rsid w:val="000C6124"/>
    <w:rsid w:val="000E1E75"/>
    <w:rsid w:val="001037C5"/>
    <w:rsid w:val="0011685D"/>
    <w:rsid w:val="00132911"/>
    <w:rsid w:val="00147D71"/>
    <w:rsid w:val="00194F7A"/>
    <w:rsid w:val="001B39F4"/>
    <w:rsid w:val="002323F6"/>
    <w:rsid w:val="002C2D9E"/>
    <w:rsid w:val="003414A9"/>
    <w:rsid w:val="003B4B7F"/>
    <w:rsid w:val="003B63DE"/>
    <w:rsid w:val="003C1AC2"/>
    <w:rsid w:val="003C5E74"/>
    <w:rsid w:val="003C7672"/>
    <w:rsid w:val="003D3808"/>
    <w:rsid w:val="003F6E9A"/>
    <w:rsid w:val="004040E5"/>
    <w:rsid w:val="00455398"/>
    <w:rsid w:val="004E11B9"/>
    <w:rsid w:val="0052130A"/>
    <w:rsid w:val="005C7BB9"/>
    <w:rsid w:val="00655C7A"/>
    <w:rsid w:val="006B2A59"/>
    <w:rsid w:val="00826230"/>
    <w:rsid w:val="008B3A8B"/>
    <w:rsid w:val="008B49DF"/>
    <w:rsid w:val="008E4AC1"/>
    <w:rsid w:val="008E7D7A"/>
    <w:rsid w:val="008F3D71"/>
    <w:rsid w:val="00930E36"/>
    <w:rsid w:val="00940F0C"/>
    <w:rsid w:val="009C026D"/>
    <w:rsid w:val="009C6F85"/>
    <w:rsid w:val="009E7143"/>
    <w:rsid w:val="009F4959"/>
    <w:rsid w:val="009F7A2B"/>
    <w:rsid w:val="00A21A9C"/>
    <w:rsid w:val="00A21CF3"/>
    <w:rsid w:val="00A52F42"/>
    <w:rsid w:val="00A7295B"/>
    <w:rsid w:val="00AA6136"/>
    <w:rsid w:val="00AD7C56"/>
    <w:rsid w:val="00AE01AE"/>
    <w:rsid w:val="00B0150D"/>
    <w:rsid w:val="00B35DC9"/>
    <w:rsid w:val="00B75D56"/>
    <w:rsid w:val="00BB73F3"/>
    <w:rsid w:val="00C6689C"/>
    <w:rsid w:val="00D0254B"/>
    <w:rsid w:val="00D04714"/>
    <w:rsid w:val="00D41CEB"/>
    <w:rsid w:val="00D76C3D"/>
    <w:rsid w:val="00D77E52"/>
    <w:rsid w:val="00DA427D"/>
    <w:rsid w:val="00DF0A85"/>
    <w:rsid w:val="00E056E3"/>
    <w:rsid w:val="00E1481C"/>
    <w:rsid w:val="00E14DFD"/>
    <w:rsid w:val="00E83264"/>
    <w:rsid w:val="00EF2598"/>
    <w:rsid w:val="00F97AF1"/>
    <w:rsid w:val="00FC3D39"/>
    <w:rsid w:val="00FC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4FA0F"/>
  <w15:chartTrackingRefBased/>
  <w15:docId w15:val="{38EB6A87-8D8D-45CD-9FFD-7F930716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InsideAddress">
    <w:name w:val="Inside Address"/>
    <w:basedOn w:val="Normal"/>
    <w:rsid w:val="00AD7C56"/>
    <w:pPr>
      <w:spacing w:line="220" w:lineRule="atLeast"/>
      <w:jc w:val="both"/>
    </w:pPr>
    <w:rPr>
      <w:spacing w:val="-5"/>
      <w:sz w:val="24"/>
    </w:rPr>
  </w:style>
  <w:style w:type="paragraph" w:styleId="NormalWeb">
    <w:name w:val="Normal (Web)"/>
    <w:basedOn w:val="Normal"/>
    <w:uiPriority w:val="99"/>
    <w:unhideWhenUsed/>
    <w:rsid w:val="00AD7C5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D7C56"/>
    <w:pPr>
      <w:ind w:left="720"/>
      <w:contextualSpacing/>
    </w:pPr>
    <w:rPr>
      <w:rFonts w:ascii="Calibri" w:eastAsia="Calibri" w:hAnsi="Calibri" w:cs="Calibri"/>
      <w:sz w:val="24"/>
      <w:szCs w:val="24"/>
    </w:rPr>
  </w:style>
  <w:style w:type="table" w:styleId="TableGrid">
    <w:name w:val="Table Grid"/>
    <w:basedOn w:val="TableNormal"/>
    <w:uiPriority w:val="59"/>
    <w:rsid w:val="00AE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ek12.org/OPR/Reporting/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accountability/data-sys/edu-info-accountability-services/pk-12-public-school-data-pubs-reports/archive.stml%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Bart LeBon</vt:lpstr>
    </vt:vector>
  </TitlesOfParts>
  <Company>FNSBSD</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 LeBon</dc:title>
  <dc:subject/>
  <dc:creator>SBessette</dc:creator>
  <cp:keywords/>
  <cp:lastModifiedBy>Ott, Ellis M.</cp:lastModifiedBy>
  <cp:revision>2</cp:revision>
  <cp:lastPrinted>2002-09-17T19:33:00Z</cp:lastPrinted>
  <dcterms:created xsi:type="dcterms:W3CDTF">2021-04-09T17:15:00Z</dcterms:created>
  <dcterms:modified xsi:type="dcterms:W3CDTF">2021-04-09T17:15:00Z</dcterms:modified>
</cp:coreProperties>
</file>