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A" w:rsidRPr="006012FA" w:rsidRDefault="006012FA" w:rsidP="006012FA">
      <w:pPr>
        <w:pBdr>
          <w:top w:val="dotted" w:sz="6" w:space="6" w:color="000000"/>
          <w:bottom w:val="dotted" w:sz="6" w:space="6" w:color="000000"/>
        </w:pBdr>
        <w:spacing w:after="150" w:line="240" w:lineRule="auto"/>
        <w:jc w:val="center"/>
        <w:outlineLvl w:val="1"/>
        <w:rPr>
          <w:rFonts w:ascii="Georgia" w:eastAsia="Times New Roman" w:hAnsi="Georgia" w:cs="Times New Roman"/>
          <w:color w:val="000000"/>
          <w:spacing w:val="15"/>
          <w:kern w:val="36"/>
          <w:sz w:val="36"/>
          <w:szCs w:val="36"/>
          <w:lang w:val="en"/>
        </w:rPr>
      </w:pPr>
      <w:r w:rsidRPr="006012FA">
        <w:rPr>
          <w:rFonts w:ascii="Georgia" w:eastAsia="Times New Roman" w:hAnsi="Georgia" w:cs="Times New Roman"/>
          <w:color w:val="000000"/>
          <w:spacing w:val="15"/>
          <w:kern w:val="36"/>
          <w:sz w:val="36"/>
          <w:szCs w:val="36"/>
          <w:lang w:val="en"/>
        </w:rPr>
        <w:t>Notes from the Field: Electronic Cigarette Use Among Middle and High School Students — United States, 2011–2012</w:t>
      </w:r>
    </w:p>
    <w:p w:rsidR="006012FA" w:rsidRPr="006012FA" w:rsidRDefault="006012FA" w:rsidP="006012FA">
      <w:pPr>
        <w:spacing w:after="60" w:line="240" w:lineRule="auto"/>
        <w:outlineLvl w:val="2"/>
        <w:rPr>
          <w:rFonts w:ascii="Georgia" w:eastAsia="Times New Roman" w:hAnsi="Georgia" w:cs="Times New Roman"/>
          <w:i/>
          <w:iCs/>
          <w:color w:val="000000"/>
          <w:spacing w:val="15"/>
          <w:sz w:val="38"/>
          <w:szCs w:val="38"/>
          <w:lang w:val="en"/>
        </w:rPr>
      </w:pPr>
      <w:r w:rsidRPr="006012FA">
        <w:rPr>
          <w:rFonts w:ascii="Georgia" w:eastAsia="Times New Roman" w:hAnsi="Georgia" w:cs="Times New Roman"/>
          <w:color w:val="000000"/>
          <w:spacing w:val="15"/>
          <w:kern w:val="36"/>
          <w:sz w:val="36"/>
          <w:szCs w:val="36"/>
          <w:lang w:val="en"/>
        </w:rPr>
        <w:pict/>
      </w:r>
      <w:r w:rsidRPr="006012FA">
        <w:rPr>
          <w:rFonts w:ascii="Georgia" w:eastAsia="Times New Roman" w:hAnsi="Georgia" w:cs="Times New Roman"/>
          <w:i/>
          <w:iCs/>
          <w:color w:val="000000"/>
          <w:spacing w:val="15"/>
          <w:sz w:val="38"/>
          <w:szCs w:val="38"/>
          <w:lang w:val="en"/>
        </w:rPr>
        <w:t>Weekly</w:t>
      </w:r>
    </w:p>
    <w:p w:rsidR="006012FA" w:rsidRPr="006012FA" w:rsidRDefault="006012FA" w:rsidP="006012FA">
      <w:pPr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September 6, 2013 / 62(35)</w:t>
      </w:r>
      <w:proofErr w:type="gramStart"/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;729</w:t>
      </w:r>
      <w:proofErr w:type="gramEnd"/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-730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Electronic cigarettes, or e-cigarettes, are battery-powered devices that provide doses of nicotine and other additives to the user in an aerosol. Depending on the brand, e-cigarette cartridges typically contain nicotine, a component to produce the aerosol (e.g., propylene glycol or glycerol), and flavorings (e.g., fruit, mint, or chocolate) (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1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). Potentially harmful constituents also have been documented in some e-cigarette cartridges, including irritants,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genotoxins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, and animal carcinogens (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1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). E-cigarettes that are not marketed for therapeutic purposes are currently unregulated by the Food and Drug Administration, and in most states there are no restrictions on the sale of e-cigarettes to minors. Use of e-cigarettes has increased among U.S. adult current and former smokers in recent years (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2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); however, the extent of use among youths is uncertain.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Data from the 2011 and 2012 National Youth Tobacco Survey (NYTS), a school-based, pencil-and-paper questionnaire given to U.S. middle school (grades 6–8) and high school (grades 9–12) students, were used to estimate the prevalence of ever and current (≥1 day in the past 30 days) use of e-cigarettes, ever and current (≥1 day in the past 30 days) use of conventional cigarettes, and use of both. NYTS consists of a cross-sectional, nationally representative sample of students in grades 6–12 from all 50 states and the District of Columbia (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3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). 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During 2011–2012, among all students in grades 6–12, ever e-cigarette use increased from 3.3% to 6.8% (p&lt;0.05) (</w:t>
      </w:r>
      <w:hyperlink r:id="rId6" w:anchor="fig" w:history="1">
        <w:r w:rsidRPr="006012FA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val="en"/>
          </w:rPr>
          <w:t>Figure</w:t>
        </w:r>
      </w:hyperlink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); current e-cigarette use increased from 1.1% to 2.1% (p&lt;0.05), and current use of both e-cigarettes and conventional cigarettes increased from 0.8% to 1.6% (p&lt;0.05). In 2012, among ever e-cigarette users, 9.3% reported never smoking conventional cigarettes; among current e-cigarette users, 76.3% reported current conventional cigarette smoking.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Among middle school students, ever e-cigarette use increased from 1.4% to 2.7% during 2011–2012 (p&lt;0.05) (</w:t>
      </w:r>
      <w:hyperlink r:id="rId7" w:anchor="fig" w:history="1">
        <w:r w:rsidRPr="006012FA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val="en"/>
          </w:rPr>
          <w:t>Figure</w:t>
        </w:r>
      </w:hyperlink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); current e-cigarette use increased from 0.6% to 1.1% (p&lt;0.05), and current use of both e-cigarettes and conventional cigarettes increased from 0.3% to 0.7% (p&lt;0.05). In 2012, among middle school ever e-cigarette users, 20.3% reported never smoking conventional cigarettes; among middle school current e-cigarette users, 61.1% reported current conventional cigarette smoking.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lastRenderedPageBreak/>
        <w:t>Among high school students, ever e-cigarette use increased from 4.7% to 10.0% during 2011–2012 (p&lt;0.05) (</w:t>
      </w:r>
      <w:hyperlink r:id="rId8" w:anchor="fig" w:history="1">
        <w:r w:rsidRPr="006012FA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val="en"/>
          </w:rPr>
          <w:t>Figure</w:t>
        </w:r>
      </w:hyperlink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); current e-cigarette use increased from 1.5% to 2.8% (p&lt;0.05), and current use of both e-cigarettes and conventional cigarettes increased from 1.2% to 2.2% (p&lt;0.05). In 2012, among high school ever e-cigarette users, 7.2% reported never smoking conventional cigarettes; among high school current e-cigarette users, 80.5% reported current conventional cigarette smoking.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E-cigarette experimentation and recent use doubled among U.S. middle and high school students during 2011–2012, resulting in an estimated 1.78 million students having ever used e-cigarettes as of 2012. Moreover, in 2012, an estimated 160,000 students who reported ever using e-cigarettes had never used conventional cigarettes. This is a serious concern because the overall impact of e-cigarette use on public health remains uncertain. In youths, concerns include the potential negative impact of nicotine on adolescent brain development (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4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), as well as the risk for nicotine addiction and initiation of the use of conventional cigarettes or other tobacco products. 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CDC and the Food and Drug Administration will continue to explore ways to increase surveillance and research on e-cigarettes. Given the rapid increase in use and youths' susceptibility to social and environmental influences to use tobacco, developing strategies to prevent marketing, sales, and use of e-cigarettes among youths is critical. </w:t>
      </w:r>
    </w:p>
    <w:p w:rsidR="006012FA" w:rsidRPr="006012FA" w:rsidRDefault="006012FA" w:rsidP="006012FA">
      <w:pPr>
        <w:spacing w:after="60" w:line="240" w:lineRule="auto"/>
        <w:outlineLvl w:val="3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val="en"/>
        </w:rPr>
      </w:pPr>
      <w:r w:rsidRPr="006012FA">
        <w:rPr>
          <w:rFonts w:ascii="Georgia" w:eastAsia="Times New Roman" w:hAnsi="Georgia" w:cs="Times New Roman"/>
          <w:color w:val="000000"/>
          <w:spacing w:val="15"/>
          <w:sz w:val="36"/>
          <w:szCs w:val="36"/>
          <w:lang w:val="en"/>
        </w:rPr>
        <w:t>Reported by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Catherine Corey, MSPH,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Baoguang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 Wang, MD, Sarah E. Johnson, PhD, Benjamin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Apelberg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, PhD, Corinne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Husten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, MD, Center for Tobacco Products, Food and Drug Administration. Brian A. King, PhD, Tim A. McAfee, MD, Rebecca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Bunnell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, PhD, René A.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Arrazola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, MPH,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Shanta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 R. </w:t>
      </w:r>
      <w:proofErr w:type="spellStart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Dube</w:t>
      </w:r>
      <w:proofErr w:type="spellEnd"/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, PhD, Office on Smoking and Health, National Center for Chronic Disease Prevention and Health Promotion, CDC. </w:t>
      </w:r>
      <w:r w:rsidRPr="006012F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en"/>
        </w:rPr>
        <w:t>Corresponding contributor:</w:t>
      </w:r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 xml:space="preserve"> Brian A. King, </w:t>
      </w:r>
      <w:hyperlink r:id="rId9" w:history="1">
        <w:r w:rsidRPr="006012FA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val="en"/>
          </w:rPr>
          <w:t>baking@cdc.gov</w:t>
        </w:r>
      </w:hyperlink>
      <w:r w:rsidRPr="006012F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/>
        </w:rPr>
        <w:t>, 770-488-5107.</w:t>
      </w:r>
    </w:p>
    <w:p w:rsidR="006012FA" w:rsidRPr="006012FA" w:rsidRDefault="006012FA" w:rsidP="006012FA">
      <w:pPr>
        <w:spacing w:after="60" w:line="240" w:lineRule="auto"/>
        <w:outlineLvl w:val="3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val="en"/>
        </w:rPr>
      </w:pPr>
      <w:r w:rsidRPr="006012FA">
        <w:rPr>
          <w:rFonts w:ascii="Georgia" w:eastAsia="Times New Roman" w:hAnsi="Georgia" w:cs="Times New Roman"/>
          <w:color w:val="000000"/>
          <w:spacing w:val="15"/>
          <w:sz w:val="36"/>
          <w:szCs w:val="36"/>
          <w:lang w:val="en"/>
        </w:rPr>
        <w:t>References</w:t>
      </w:r>
    </w:p>
    <w:p w:rsidR="006012FA" w:rsidRPr="006012FA" w:rsidRDefault="006012FA" w:rsidP="006012FA">
      <w:pPr>
        <w:numPr>
          <w:ilvl w:val="0"/>
          <w:numId w:val="1"/>
        </w:numPr>
        <w:spacing w:before="30" w:after="30" w:line="240" w:lineRule="atLeast"/>
        <w:ind w:left="4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Cobb NK, Byron MJ, Abrams DB, Shields PG. Novel nicotine delivery systems and public health: the rise of the "e-cigarette." Am J Public Health 2010</w:t>
      </w:r>
      <w:proofErr w:type="gram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;100:2340</w:t>
      </w:r>
      <w:proofErr w:type="gram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–2.</w:t>
      </w:r>
    </w:p>
    <w:p w:rsidR="006012FA" w:rsidRPr="006012FA" w:rsidRDefault="006012FA" w:rsidP="006012FA">
      <w:pPr>
        <w:numPr>
          <w:ilvl w:val="0"/>
          <w:numId w:val="1"/>
        </w:numPr>
        <w:spacing w:before="30" w:after="30" w:line="240" w:lineRule="atLeast"/>
        <w:ind w:left="4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King BA,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Alam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S,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Promoff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G,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Arrazola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R,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Dube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SR. Awareness and ever use of electronic cigarettes among U.S. adults, 2010–2011. Nicotine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Tob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Res 2013</w:t>
      </w:r>
      <w:proofErr w:type="gram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;15:1623</w:t>
      </w:r>
      <w:proofErr w:type="gram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–7.</w:t>
      </w:r>
    </w:p>
    <w:p w:rsidR="006012FA" w:rsidRPr="006012FA" w:rsidRDefault="006012FA" w:rsidP="006012FA">
      <w:pPr>
        <w:numPr>
          <w:ilvl w:val="0"/>
          <w:numId w:val="1"/>
        </w:numPr>
        <w:spacing w:before="30" w:after="30" w:line="240" w:lineRule="atLeast"/>
        <w:ind w:left="4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CDC. National Youth Tobacco Survey. Atlanta, GA: US Department of Health and Human Services, CDC; 2013. Available at </w:t>
      </w:r>
      <w:hyperlink r:id="rId10" w:history="1">
        <w:r w:rsidRPr="006012FA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val="en"/>
          </w:rPr>
          <w:t>http://www.cdc.gov/tobacco/data_statistics/surveys/nyts</w:t>
        </w:r>
      </w:hyperlink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.</w:t>
      </w:r>
    </w:p>
    <w:p w:rsidR="006012FA" w:rsidRPr="006012FA" w:rsidRDefault="006012FA" w:rsidP="006012FA">
      <w:pPr>
        <w:numPr>
          <w:ilvl w:val="0"/>
          <w:numId w:val="1"/>
        </w:numPr>
        <w:spacing w:before="30" w:after="30" w:line="240" w:lineRule="atLeast"/>
        <w:ind w:left="4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Dwyer JB,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McQuown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SC, Leslie FM. The dynamic effects of nicotine on the developing brain.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Pharmacol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Ther</w:t>
      </w:r>
      <w:proofErr w:type="spell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2009</w:t>
      </w:r>
      <w:proofErr w:type="gramStart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;122:125</w:t>
      </w:r>
      <w:proofErr w:type="gramEnd"/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–39.</w:t>
      </w:r>
    </w:p>
    <w:p w:rsidR="006012FA" w:rsidRPr="006012FA" w:rsidRDefault="006012FA" w:rsidP="006012F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16"/>
          <w:szCs w:val="16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16"/>
          <w:szCs w:val="16"/>
          <w:lang w:val="en"/>
        </w:rPr>
        <w:t>* Ever electronic cigarette use defined as having ever used electronic cigarettes, even just one time.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16"/>
          <w:szCs w:val="16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14"/>
          <w:szCs w:val="14"/>
          <w:vertAlign w:val="superscript"/>
          <w:lang w:val="en"/>
        </w:rPr>
        <w:lastRenderedPageBreak/>
        <w:t>†</w:t>
      </w:r>
      <w:r w:rsidRPr="006012FA">
        <w:rPr>
          <w:rFonts w:ascii="Georgia" w:eastAsia="Times New Roman" w:hAnsi="Georgia" w:cs="Times New Roman"/>
          <w:color w:val="000000"/>
          <w:sz w:val="16"/>
          <w:szCs w:val="16"/>
          <w:lang w:val="en"/>
        </w:rPr>
        <w:t xml:space="preserve"> 95% confidence interval.</w:t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16"/>
          <w:szCs w:val="16"/>
          <w:lang w:val="en"/>
        </w:rPr>
      </w:pPr>
      <w:r w:rsidRPr="006012FA">
        <w:rPr>
          <w:rFonts w:ascii="Georgia" w:eastAsia="Times New Roman" w:hAnsi="Georgia" w:cs="Times New Roman"/>
          <w:color w:val="000000"/>
          <w:sz w:val="14"/>
          <w:szCs w:val="14"/>
          <w:vertAlign w:val="superscript"/>
          <w:lang w:val="en"/>
        </w:rPr>
        <w:t>§</w:t>
      </w:r>
      <w:r w:rsidRPr="006012FA">
        <w:rPr>
          <w:rFonts w:ascii="Georgia" w:eastAsia="Times New Roman" w:hAnsi="Georgia" w:cs="Times New Roman"/>
          <w:color w:val="000000"/>
          <w:sz w:val="16"/>
          <w:szCs w:val="16"/>
          <w:lang w:val="en"/>
        </w:rPr>
        <w:t xml:space="preserve"> Statistically significant difference between 2011 and 2012 (chi-square, p&lt;0.05).</w:t>
      </w:r>
    </w:p>
    <w:p w:rsidR="006012FA" w:rsidRPr="006012FA" w:rsidRDefault="006012FA" w:rsidP="006012F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bookmarkStart w:id="0" w:name="fig"/>
      <w:bookmarkEnd w:id="0"/>
      <w:proofErr w:type="gramStart"/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FIGURE.</w:t>
      </w:r>
      <w:proofErr w:type="gramEnd"/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 xml:space="preserve"> Ever electronic cigarette use* among middle and high school students, by year — National Youth Tobacco Survey, United States, 2011–2012</w:t>
      </w:r>
    </w:p>
    <w:p w:rsidR="006012FA" w:rsidRPr="006012FA" w:rsidRDefault="006012FA" w:rsidP="006012F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4905375" cy="3086100"/>
            <wp:effectExtent l="0" t="0" r="9525" b="0"/>
            <wp:docPr id="1" name="Picture 1" descr="The figure shows ever electronic cigarette (e-cigarette) use among middle and high school students, by year, in the United States during 2011-2012. During 2011-2012, among all students in grades 6-12, ever e-cigarette use increased from 3.3% to 6.8% (p&lt;0.05); current e-cigarette use increased from 1.1% to 2.1% (p&lt;0.05), and current use of both e-cigarettes and conventional cigarettes increased from 0.8% to 1.6% (p&lt;0.05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igure shows ever electronic cigarette (e-cigarette) use among middle and high school students, by year, in the United States during 2011-2012. During 2011-2012, among all students in grades 6-12, ever e-cigarette use increased from 3.3% to 6.8% (p&lt;0.05); current e-cigarette use increased from 1.1% to 2.1% (p&lt;0.05), and current use of both e-cigarettes and conventional cigarettes increased from 0.8% to 1.6% (p&lt;0.05)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FA" w:rsidRPr="006012FA" w:rsidRDefault="006012FA" w:rsidP="006012FA">
      <w:pPr>
        <w:spacing w:after="180" w:line="319" w:lineRule="atLeast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6012F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Alternate Text:</w:t>
      </w:r>
      <w:r w:rsidRPr="006012FA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The figure above shows ever electronic cigarette (e-cigarette) use among middle and high school students, by year, in the United States during 2011-2012. During 2011-2012, among all students in grades 6-12, ever e-cigarette use increased from 3.3% to 6.8% (p&lt;0.05); current e-cigarette use increased from 1.1% to 2.1% (p&lt;0.05), and current use of both e-cigarettes and conventional cigarettes increased from 0.8% to 1.6% (p&lt;0.05). </w:t>
      </w:r>
    </w:p>
    <w:p w:rsidR="004133D9" w:rsidRDefault="006012FA"/>
    <w:p w:rsidR="006012FA" w:rsidRDefault="006012FA">
      <w:r>
        <w:rPr>
          <w:rFonts w:ascii="Georgia" w:hAnsi="Georgia"/>
          <w:color w:val="000000"/>
          <w:sz w:val="20"/>
          <w:szCs w:val="20"/>
          <w:lang w:val="en"/>
        </w:rPr>
        <w:t>Centers for Disease Control and Prevention 1600 Clifton Rd. Atlanta, GA 30333, USA</w:t>
      </w:r>
      <w:r>
        <w:rPr>
          <w:rFonts w:ascii="Georgia" w:hAnsi="Georgia"/>
          <w:color w:val="000000"/>
          <w:sz w:val="20"/>
          <w:szCs w:val="20"/>
          <w:lang w:val="en"/>
        </w:rPr>
        <w:br/>
        <w:t xml:space="preserve">800-CDC-INFO (800-232-4636) TTY: (888) 232-6348 - </w:t>
      </w:r>
      <w:hyperlink r:id="rId12" w:history="1">
        <w:r>
          <w:rPr>
            <w:rFonts w:ascii="Georgia" w:hAnsi="Georgia"/>
            <w:color w:val="000000"/>
            <w:sz w:val="20"/>
            <w:szCs w:val="20"/>
            <w:u w:val="single"/>
            <w:lang w:val="en"/>
          </w:rPr>
          <w:t>Contact CDC–INFO</w:t>
        </w:r>
      </w:hyperlink>
      <w:bookmarkStart w:id="1" w:name="_GoBack"/>
      <w:bookmarkEnd w:id="1"/>
    </w:p>
    <w:sectPr w:rsidR="0060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203"/>
    <w:multiLevelType w:val="multilevel"/>
    <w:tmpl w:val="7090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A"/>
    <w:rsid w:val="00241923"/>
    <w:rsid w:val="006012FA"/>
    <w:rsid w:val="006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FA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pt-footnote-supports-indent-1">
    <w:name w:val="x8pt-footnote-supports-indent-1"/>
    <w:basedOn w:val="Normal"/>
    <w:rsid w:val="006012FA"/>
    <w:pPr>
      <w:spacing w:after="180" w:line="319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perscript">
    <w:name w:val="superscript"/>
    <w:basedOn w:val="DefaultParagraphFont"/>
    <w:rsid w:val="006012FA"/>
    <w:rPr>
      <w:b w:val="0"/>
      <w:bCs w:val="0"/>
      <w:sz w:val="14"/>
      <w:szCs w:val="14"/>
      <w:vertAlign w:val="superscript"/>
    </w:rPr>
  </w:style>
  <w:style w:type="character" w:styleId="Strong">
    <w:name w:val="Strong"/>
    <w:basedOn w:val="DefaultParagraphFont"/>
    <w:uiPriority w:val="22"/>
    <w:qFormat/>
    <w:rsid w:val="006012FA"/>
    <w:rPr>
      <w:b/>
      <w:bCs/>
    </w:rPr>
  </w:style>
  <w:style w:type="paragraph" w:customStyle="1" w:styleId="title">
    <w:name w:val="title"/>
    <w:basedOn w:val="Normal"/>
    <w:rsid w:val="006012FA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FA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pt-footnote-supports-indent-1">
    <w:name w:val="x8pt-footnote-supports-indent-1"/>
    <w:basedOn w:val="Normal"/>
    <w:rsid w:val="006012FA"/>
    <w:pPr>
      <w:spacing w:after="180" w:line="319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perscript">
    <w:name w:val="superscript"/>
    <w:basedOn w:val="DefaultParagraphFont"/>
    <w:rsid w:val="006012FA"/>
    <w:rPr>
      <w:b w:val="0"/>
      <w:bCs w:val="0"/>
      <w:sz w:val="14"/>
      <w:szCs w:val="14"/>
      <w:vertAlign w:val="superscript"/>
    </w:rPr>
  </w:style>
  <w:style w:type="character" w:styleId="Strong">
    <w:name w:val="Strong"/>
    <w:basedOn w:val="DefaultParagraphFont"/>
    <w:uiPriority w:val="22"/>
    <w:qFormat/>
    <w:rsid w:val="006012FA"/>
    <w:rPr>
      <w:b/>
      <w:bCs/>
    </w:rPr>
  </w:style>
  <w:style w:type="paragraph" w:customStyle="1" w:styleId="title">
    <w:name w:val="title"/>
    <w:basedOn w:val="Normal"/>
    <w:rsid w:val="006012FA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10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9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6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mm6235a6.htm?mobile=nocont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mmwr/preview/mmwrhtml/mm6235a6.htm?mobile=nocontent" TargetMode="External"/><Relationship Id="rId12" Type="http://schemas.openxmlformats.org/officeDocument/2006/relationships/hyperlink" Target="http://www.cdc.gov/cdc-info/request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mmwr/preview/mmwrhtml/mm6235a6.htm?mobile=nocontent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cdc.gov/tobacco/data_statistics/surveys/ny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ing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2014-04-10T00:38:00Z</dcterms:created>
  <dcterms:modified xsi:type="dcterms:W3CDTF">2014-04-10T00:40:00Z</dcterms:modified>
</cp:coreProperties>
</file>