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D8" w:rsidRDefault="005941AF">
      <w:pPr>
        <w:rPr>
          <w:b/>
          <w:sz w:val="52"/>
          <w:szCs w:val="52"/>
        </w:rPr>
      </w:pPr>
      <w:r w:rsidRPr="001432D8">
        <w:rPr>
          <w:b/>
          <w:sz w:val="52"/>
          <w:szCs w:val="52"/>
        </w:rPr>
        <w:t>Moore vs. State</w:t>
      </w:r>
    </w:p>
    <w:p w:rsidR="005941AF" w:rsidRPr="001432D8" w:rsidRDefault="005941AF">
      <w:pPr>
        <w:rPr>
          <w:b/>
          <w:sz w:val="52"/>
          <w:szCs w:val="52"/>
        </w:rPr>
      </w:pPr>
      <w:r w:rsidRPr="001432D8">
        <w:rPr>
          <w:b/>
          <w:i/>
          <w:sz w:val="32"/>
          <w:szCs w:val="32"/>
        </w:rPr>
        <w:t>Brief Synopsis</w:t>
      </w:r>
    </w:p>
    <w:p w:rsidR="005941AF" w:rsidRPr="00AE3281" w:rsidRDefault="005941AF">
      <w:pPr>
        <w:rPr>
          <w:b/>
        </w:rPr>
      </w:pPr>
      <w:r w:rsidRPr="00AE3281">
        <w:rPr>
          <w:b/>
        </w:rPr>
        <w:t xml:space="preserve">Three </w:t>
      </w:r>
      <w:r w:rsidR="001432D8" w:rsidRPr="00AE3281">
        <w:rPr>
          <w:b/>
        </w:rPr>
        <w:t xml:space="preserve">Rulings </w:t>
      </w:r>
      <w:r w:rsidRPr="00AE3281">
        <w:rPr>
          <w:b/>
        </w:rPr>
        <w:t xml:space="preserve"> </w:t>
      </w:r>
    </w:p>
    <w:p w:rsidR="005941AF" w:rsidRDefault="005941AF" w:rsidP="005941AF">
      <w:pPr>
        <w:pStyle w:val="ListParagraph"/>
        <w:numPr>
          <w:ilvl w:val="0"/>
          <w:numId w:val="2"/>
        </w:numPr>
      </w:pPr>
      <w:r>
        <w:t>June 2007</w:t>
      </w:r>
    </w:p>
    <w:p w:rsidR="005941AF" w:rsidRDefault="005941AF" w:rsidP="005941AF">
      <w:pPr>
        <w:pStyle w:val="ListParagraph"/>
        <w:numPr>
          <w:ilvl w:val="0"/>
          <w:numId w:val="2"/>
        </w:numPr>
      </w:pPr>
      <w:r>
        <w:t>February 2009</w:t>
      </w:r>
    </w:p>
    <w:p w:rsidR="005941AF" w:rsidRDefault="005941AF" w:rsidP="005941AF">
      <w:pPr>
        <w:pStyle w:val="ListParagraph"/>
        <w:numPr>
          <w:ilvl w:val="0"/>
          <w:numId w:val="2"/>
        </w:numPr>
      </w:pPr>
      <w:r>
        <w:t xml:space="preserve">March 2010 </w:t>
      </w:r>
    </w:p>
    <w:p w:rsidR="005941AF" w:rsidRPr="00571B17" w:rsidRDefault="005941AF">
      <w:pPr>
        <w:rPr>
          <w:b/>
          <w:sz w:val="32"/>
          <w:szCs w:val="32"/>
        </w:rPr>
      </w:pPr>
      <w:r w:rsidRPr="00571B17">
        <w:rPr>
          <w:b/>
          <w:sz w:val="32"/>
          <w:szCs w:val="32"/>
        </w:rPr>
        <w:t>June 2007</w:t>
      </w:r>
    </w:p>
    <w:p w:rsidR="00AD37FF" w:rsidRDefault="00AE3281">
      <w:r>
        <w:t>The plaintiffs’</w:t>
      </w:r>
      <w:r w:rsidR="005941AF">
        <w:t xml:space="preserve"> claims of inadequate funding were dismissed</w:t>
      </w:r>
      <w:r>
        <w:t xml:space="preserve">, but the </w:t>
      </w:r>
      <w:r w:rsidR="00AD37FF">
        <w:t xml:space="preserve">State was found to be delinquent </w:t>
      </w:r>
      <w:r>
        <w:t xml:space="preserve">in the constitutional duty of maintaining a system of education for all children in the State. The court ruled that the due process of the students in underperforming districts in the State was denied in respect to the High School Graduation Qualifying Exams (HSGQE).  </w:t>
      </w:r>
    </w:p>
    <w:p w:rsidR="005941AF" w:rsidRDefault="00AE3281">
      <w:r>
        <w:t xml:space="preserve"> </w:t>
      </w:r>
    </w:p>
    <w:p w:rsidR="00B64325" w:rsidRPr="00084C4B" w:rsidRDefault="00B64325">
      <w:pPr>
        <w:rPr>
          <w:b/>
          <w:sz w:val="32"/>
          <w:szCs w:val="32"/>
        </w:rPr>
      </w:pPr>
      <w:r w:rsidRPr="00084C4B">
        <w:rPr>
          <w:b/>
          <w:sz w:val="32"/>
          <w:szCs w:val="32"/>
        </w:rPr>
        <w:t>February 2009</w:t>
      </w:r>
    </w:p>
    <w:p w:rsidR="00B64325" w:rsidRPr="00825588" w:rsidRDefault="00B64325">
      <w:pPr>
        <w:rPr>
          <w:i/>
        </w:rPr>
      </w:pPr>
      <w:r>
        <w:tab/>
      </w:r>
      <w:r w:rsidRPr="00825588">
        <w:rPr>
          <w:i/>
        </w:rPr>
        <w:t>Conclusions</w:t>
      </w:r>
    </w:p>
    <w:p w:rsidR="00B64325" w:rsidRDefault="00B64325" w:rsidP="00B64325">
      <w:pPr>
        <w:pStyle w:val="ListParagraph"/>
        <w:numPr>
          <w:ilvl w:val="0"/>
          <w:numId w:val="3"/>
        </w:numPr>
      </w:pPr>
      <w:r>
        <w:t xml:space="preserve">In 2007 the department was ordered to take measures to bring the schools into compliance. </w:t>
      </w:r>
      <w:r w:rsidR="004F4B2A">
        <w:t xml:space="preserve">The State argued those measures had been taken. The plaintiffs argued that the efforts failed to comply with the requirements of the 2007 order. </w:t>
      </w:r>
    </w:p>
    <w:p w:rsidR="00825588" w:rsidRDefault="00825588" w:rsidP="00825588">
      <w:pPr>
        <w:pStyle w:val="ListParagraph"/>
      </w:pPr>
    </w:p>
    <w:p w:rsidR="00825588" w:rsidRDefault="004F4B2A" w:rsidP="00825588">
      <w:pPr>
        <w:pStyle w:val="ListParagraph"/>
        <w:numPr>
          <w:ilvl w:val="0"/>
          <w:numId w:val="3"/>
        </w:numPr>
      </w:pPr>
      <w:r>
        <w:t xml:space="preserve">The question the court chooses to ask the </w:t>
      </w:r>
      <w:proofErr w:type="gramStart"/>
      <w:r>
        <w:t>question,</w:t>
      </w:r>
      <w:proofErr w:type="gramEnd"/>
      <w:r>
        <w:t xml:space="preserve"> “Is the State fulfilling its constitution responsibility to ‘maintain </w:t>
      </w:r>
      <w:r w:rsidR="001432D8">
        <w:t xml:space="preserve">a system of public schools’?” </w:t>
      </w:r>
    </w:p>
    <w:p w:rsidR="00825588" w:rsidRDefault="00825588" w:rsidP="00825588">
      <w:pPr>
        <w:pStyle w:val="ListParagraph"/>
      </w:pPr>
    </w:p>
    <w:p w:rsidR="001432D8" w:rsidRDefault="005A042C" w:rsidP="00B64325">
      <w:pPr>
        <w:pStyle w:val="ListParagraph"/>
        <w:numPr>
          <w:ilvl w:val="0"/>
          <w:numId w:val="3"/>
        </w:numPr>
      </w:pPr>
      <w:r>
        <w:t xml:space="preserve">The first “prong”: The court required the State to set “clear standards” for the local districts, so they can know what would have to happen for them to maintain local control. </w:t>
      </w:r>
    </w:p>
    <w:p w:rsidR="005A042C" w:rsidRDefault="005A042C" w:rsidP="005A042C">
      <w:pPr>
        <w:pStyle w:val="ListParagraph"/>
        <w:numPr>
          <w:ilvl w:val="0"/>
          <w:numId w:val="4"/>
        </w:numPr>
      </w:pPr>
      <w:r>
        <w:t>The Department has set standards</w:t>
      </w:r>
    </w:p>
    <w:p w:rsidR="005A042C" w:rsidRDefault="005A042C" w:rsidP="005A042C">
      <w:pPr>
        <w:pStyle w:val="ListParagraph"/>
        <w:numPr>
          <w:ilvl w:val="0"/>
          <w:numId w:val="4"/>
        </w:numPr>
      </w:pPr>
      <w:r>
        <w:t xml:space="preserve">But the Department has not provided “clear guidance” as to how those standards will insure that students receive an adequate education. </w:t>
      </w:r>
    </w:p>
    <w:p w:rsidR="006B770E" w:rsidRDefault="006B770E" w:rsidP="005A042C">
      <w:pPr>
        <w:pStyle w:val="ListParagraph"/>
        <w:numPr>
          <w:ilvl w:val="0"/>
          <w:numId w:val="4"/>
        </w:numPr>
      </w:pPr>
      <w:r>
        <w:t xml:space="preserve">The State has not met the responsibility to “maintain a system of public schools” with respect to this. </w:t>
      </w:r>
    </w:p>
    <w:p w:rsidR="00825588" w:rsidRDefault="00825588" w:rsidP="00825588">
      <w:pPr>
        <w:pStyle w:val="ListParagraph"/>
      </w:pPr>
    </w:p>
    <w:p w:rsidR="00EE3AF0" w:rsidRDefault="006B770E" w:rsidP="00825588">
      <w:pPr>
        <w:pStyle w:val="ListParagraph"/>
        <w:numPr>
          <w:ilvl w:val="0"/>
          <w:numId w:val="3"/>
        </w:numPr>
      </w:pPr>
      <w:r>
        <w:t>The second “prong” was oversight</w:t>
      </w:r>
      <w:r w:rsidR="00EE3AF0">
        <w:t xml:space="preserve"> of chronically underperforming districts</w:t>
      </w:r>
      <w:r>
        <w:t xml:space="preserve">. </w:t>
      </w:r>
      <w:r w:rsidR="00EE3AF0">
        <w:t xml:space="preserve"> </w:t>
      </w:r>
      <w:r w:rsidR="00571B17">
        <w:t>The court ruled that t</w:t>
      </w:r>
      <w:r w:rsidR="00EE3AF0">
        <w:t xml:space="preserve">he State has fallen “considerably short” of complying with the oversight requirement in two areas. </w:t>
      </w:r>
    </w:p>
    <w:p w:rsidR="00EE3AF0" w:rsidRDefault="00EE3AF0" w:rsidP="00EE3AF0">
      <w:pPr>
        <w:pStyle w:val="ListParagraph"/>
        <w:numPr>
          <w:ilvl w:val="1"/>
          <w:numId w:val="3"/>
        </w:numPr>
      </w:pPr>
      <w:r>
        <w:lastRenderedPageBreak/>
        <w:t>Remedial measures were not effectively implemented, nor did they meet the needs they were intended to serve.</w:t>
      </w:r>
    </w:p>
    <w:p w:rsidR="00EE3AF0" w:rsidRDefault="00EE3AF0" w:rsidP="00EE3AF0">
      <w:pPr>
        <w:pStyle w:val="ListParagraph"/>
        <w:numPr>
          <w:ilvl w:val="1"/>
          <w:numId w:val="3"/>
        </w:numPr>
      </w:pPr>
      <w:r>
        <w:t>The interventions targeted “an unjustifiably narrow range of problems</w:t>
      </w:r>
      <w:r w:rsidR="007972D0">
        <w:t xml:space="preserve">” while ignoring other problems the local districts have not addressed. </w:t>
      </w:r>
    </w:p>
    <w:p w:rsidR="00825588" w:rsidRDefault="00825588" w:rsidP="00825588">
      <w:pPr>
        <w:pStyle w:val="ListParagraph"/>
      </w:pPr>
    </w:p>
    <w:p w:rsidR="007972D0" w:rsidRDefault="007972D0" w:rsidP="007972D0">
      <w:pPr>
        <w:pStyle w:val="ListParagraph"/>
        <w:numPr>
          <w:ilvl w:val="0"/>
          <w:numId w:val="3"/>
        </w:numPr>
      </w:pPr>
      <w:r>
        <w:t xml:space="preserve">The State provided </w:t>
      </w:r>
      <w:proofErr w:type="gramStart"/>
      <w:r>
        <w:t>tools,</w:t>
      </w:r>
      <w:proofErr w:type="gramEnd"/>
      <w:r>
        <w:t xml:space="preserve"> however those tools were not supported vigorously, nor were the districts able to utilize the tools effectively. </w:t>
      </w:r>
    </w:p>
    <w:p w:rsidR="00825588" w:rsidRDefault="00825588" w:rsidP="00825588">
      <w:pPr>
        <w:pStyle w:val="ListParagraph"/>
      </w:pPr>
    </w:p>
    <w:p w:rsidR="007972D0" w:rsidRDefault="007972D0" w:rsidP="007972D0">
      <w:pPr>
        <w:pStyle w:val="ListParagraph"/>
        <w:numPr>
          <w:ilvl w:val="0"/>
          <w:numId w:val="3"/>
        </w:numPr>
      </w:pPr>
      <w:r>
        <w:t>The State did not tailor the tools to the specific needs of the districts, nor did they adjust</w:t>
      </w:r>
      <w:r w:rsidR="00F27E49">
        <w:t xml:space="preserve"> the use of the tools when specific conditions seemed to warrant changes</w:t>
      </w:r>
      <w:r>
        <w:t xml:space="preserve">. </w:t>
      </w:r>
    </w:p>
    <w:p w:rsidR="00825588" w:rsidRDefault="00825588" w:rsidP="00825588">
      <w:pPr>
        <w:pStyle w:val="ListParagraph"/>
      </w:pPr>
    </w:p>
    <w:p w:rsidR="007972D0" w:rsidRDefault="007972D0" w:rsidP="007972D0">
      <w:pPr>
        <w:pStyle w:val="ListParagraph"/>
        <w:numPr>
          <w:ilvl w:val="0"/>
          <w:numId w:val="3"/>
        </w:numPr>
      </w:pPr>
      <w:r>
        <w:t xml:space="preserve"> </w:t>
      </w:r>
      <w:r w:rsidR="00F27E49">
        <w:t xml:space="preserve">The State set up intervention components which could take up to seven years to reach fruition, which the court held to be insufficient. </w:t>
      </w:r>
    </w:p>
    <w:p w:rsidR="00825588" w:rsidRDefault="00825588" w:rsidP="00825588">
      <w:pPr>
        <w:pStyle w:val="ListParagraph"/>
      </w:pPr>
    </w:p>
    <w:p w:rsidR="00F27E49" w:rsidRDefault="00F27E49" w:rsidP="007972D0">
      <w:pPr>
        <w:pStyle w:val="ListParagraph"/>
        <w:numPr>
          <w:ilvl w:val="0"/>
          <w:numId w:val="3"/>
        </w:numPr>
      </w:pPr>
      <w:r>
        <w:t xml:space="preserve">The state is not actively pursuing an aligned curriculum, which standardizes required learning for the state. </w:t>
      </w:r>
    </w:p>
    <w:p w:rsidR="00F27E49" w:rsidRDefault="00F27E49" w:rsidP="00F27E49">
      <w:pPr>
        <w:pStyle w:val="ListParagraph"/>
        <w:numPr>
          <w:ilvl w:val="1"/>
          <w:numId w:val="3"/>
        </w:numPr>
      </w:pPr>
      <w:r>
        <w:t xml:space="preserve">The State has chosen to focus the intervention on “changing the delivery of instruction” and then dealing with curriculum issues. </w:t>
      </w:r>
    </w:p>
    <w:p w:rsidR="001543C6" w:rsidRDefault="00F27E49" w:rsidP="00391139">
      <w:pPr>
        <w:pStyle w:val="ListParagraph"/>
        <w:numPr>
          <w:ilvl w:val="1"/>
          <w:numId w:val="3"/>
        </w:numPr>
      </w:pPr>
      <w:r>
        <w:t xml:space="preserve">The court held that all schools </w:t>
      </w:r>
      <w:r w:rsidR="001543C6">
        <w:t xml:space="preserve">should teach a curriculum aligned with the State’s standards. </w:t>
      </w:r>
      <w:proofErr w:type="gramStart"/>
      <w:r w:rsidR="001543C6">
        <w:t>“…[</w:t>
      </w:r>
      <w:proofErr w:type="gramEnd"/>
      <w:r w:rsidR="001543C6">
        <w:t xml:space="preserve">A]n incremental, minimalist initial approach that is only now beginning to address the curriculum is constitutionally inadequate.” </w:t>
      </w:r>
    </w:p>
    <w:p w:rsidR="00825588" w:rsidRDefault="00825588" w:rsidP="00825588">
      <w:pPr>
        <w:pStyle w:val="ListParagraph"/>
      </w:pPr>
    </w:p>
    <w:p w:rsidR="00391139" w:rsidRDefault="00391139" w:rsidP="00391139">
      <w:pPr>
        <w:pStyle w:val="ListParagraph"/>
        <w:numPr>
          <w:ilvl w:val="0"/>
          <w:numId w:val="3"/>
        </w:numPr>
      </w:pPr>
      <w:r>
        <w:t>The court acknowledged that geographic, cultural, environment and cultural influences were a factor in the interventions, however the court also held that:</w:t>
      </w:r>
    </w:p>
    <w:p w:rsidR="009B6762" w:rsidRDefault="00391139" w:rsidP="009B6762">
      <w:pPr>
        <w:pStyle w:val="ListParagraph"/>
        <w:numPr>
          <w:ilvl w:val="1"/>
          <w:numId w:val="3"/>
        </w:numPr>
      </w:pPr>
      <w:r>
        <w:t>“a array of promising, researched back remedial measures”</w:t>
      </w:r>
      <w:r w:rsidR="009B6762">
        <w:t xml:space="preserve"> were not successfully implemented, including a pre-K program, and </w:t>
      </w:r>
    </w:p>
    <w:p w:rsidR="009B6762" w:rsidRDefault="009B6762" w:rsidP="009B6762">
      <w:pPr>
        <w:pStyle w:val="ListParagraph"/>
        <w:numPr>
          <w:ilvl w:val="1"/>
          <w:numId w:val="3"/>
        </w:numPr>
      </w:pPr>
      <w:r>
        <w:t>“Conditions within a community do not diminish the State’s constitutional duty to ‘maintain a system of public schools open to all children in the state.’”</w:t>
      </w:r>
    </w:p>
    <w:p w:rsidR="00825588" w:rsidRDefault="00825588" w:rsidP="00825588">
      <w:pPr>
        <w:pStyle w:val="ListParagraph"/>
      </w:pPr>
    </w:p>
    <w:p w:rsidR="009B6762" w:rsidRDefault="009B6762" w:rsidP="009B6762">
      <w:pPr>
        <w:pStyle w:val="ListParagraph"/>
        <w:numPr>
          <w:ilvl w:val="0"/>
          <w:numId w:val="3"/>
        </w:numPr>
      </w:pPr>
      <w:r>
        <w:t xml:space="preserve">It was noted that especially the department has “categorically declined” to consider a Pre-K program as an intervention. </w:t>
      </w:r>
    </w:p>
    <w:p w:rsidR="00825588" w:rsidRDefault="00825588" w:rsidP="00825588">
      <w:pPr>
        <w:pStyle w:val="ListParagraph"/>
      </w:pPr>
    </w:p>
    <w:p w:rsidR="009B6762" w:rsidRDefault="009B6762" w:rsidP="009B6762">
      <w:pPr>
        <w:pStyle w:val="ListParagraph"/>
        <w:numPr>
          <w:ilvl w:val="0"/>
          <w:numId w:val="3"/>
        </w:numPr>
      </w:pPr>
      <w:r>
        <w:t>As to the High School Graduate Qualifying Exam, the court ruled that:</w:t>
      </w:r>
      <w:r>
        <w:tab/>
      </w:r>
    </w:p>
    <w:p w:rsidR="009B6762" w:rsidRDefault="009B6762" w:rsidP="009B6762">
      <w:pPr>
        <w:pStyle w:val="ListParagraph"/>
        <w:numPr>
          <w:ilvl w:val="1"/>
          <w:numId w:val="3"/>
        </w:numPr>
      </w:pPr>
      <w:r>
        <w:t xml:space="preserve">Due process is denied if children in underperforming areas are not given diplomas because they have not passed the exam; and </w:t>
      </w:r>
    </w:p>
    <w:p w:rsidR="009B6762" w:rsidRDefault="009B6762" w:rsidP="009B6762">
      <w:pPr>
        <w:pStyle w:val="ListParagraph"/>
        <w:numPr>
          <w:ilvl w:val="1"/>
          <w:numId w:val="3"/>
        </w:numPr>
      </w:pPr>
      <w:r>
        <w:t xml:space="preserve"> The interventions designed to help children in the underperforming areas have not been implemented. </w:t>
      </w:r>
    </w:p>
    <w:p w:rsidR="00871242" w:rsidRDefault="009B6762" w:rsidP="009B6762">
      <w:pPr>
        <w:rPr>
          <w:i/>
        </w:rPr>
      </w:pPr>
      <w:r w:rsidRPr="00871242">
        <w:rPr>
          <w:i/>
        </w:rPr>
        <w:t>Essentially the court found that, “the Department, through delegation from the Legislature, is not currently meeting the State’s constitutional responsibility to ‘</w:t>
      </w:r>
      <w:r w:rsidR="00871242" w:rsidRPr="00871242">
        <w:rPr>
          <w:i/>
        </w:rPr>
        <w:t xml:space="preserve">maintain a system of public schools open to all children of the State.’” </w:t>
      </w:r>
    </w:p>
    <w:p w:rsidR="00871242" w:rsidRDefault="00871242" w:rsidP="009B6762">
      <w:r>
        <w:lastRenderedPageBreak/>
        <w:t xml:space="preserve">The court concluded that the Department has acted in good faith, and the deficiencies may stem from “uncertainty about the extent of the requirements.” The dedication of the Department to presenting meaningful change was also noted, and the Department was accorded additional opportunities to comply. </w:t>
      </w:r>
    </w:p>
    <w:p w:rsidR="00871242" w:rsidRDefault="00871242" w:rsidP="009B6762"/>
    <w:p w:rsidR="00871242" w:rsidRDefault="00871242" w:rsidP="009B6762">
      <w:r>
        <w:t xml:space="preserve">The Department was ordered to: </w:t>
      </w:r>
    </w:p>
    <w:p w:rsidR="00871242" w:rsidRDefault="00A12CC8" w:rsidP="00A12CC8">
      <w:pPr>
        <w:pStyle w:val="ListParagraph"/>
        <w:numPr>
          <w:ilvl w:val="0"/>
          <w:numId w:val="5"/>
        </w:numPr>
      </w:pPr>
      <w:r>
        <w:t xml:space="preserve">Prepare and file with the court a draft of standards that address the State’s responsibility to insure that chronically performing school districts have “meaningful exposure to the State’s content standards.” </w:t>
      </w:r>
    </w:p>
    <w:p w:rsidR="00A12CC8" w:rsidRDefault="00A12CC8" w:rsidP="00A12CC8">
      <w:pPr>
        <w:pStyle w:val="ListParagraph"/>
        <w:numPr>
          <w:ilvl w:val="0"/>
          <w:numId w:val="5"/>
        </w:numPr>
      </w:pPr>
      <w:r>
        <w:t xml:space="preserve">Review and reconsider district intervention plans that address the particularities of the various districts. </w:t>
      </w:r>
    </w:p>
    <w:p w:rsidR="00A12CC8" w:rsidRDefault="00A12CC8" w:rsidP="00A12CC8">
      <w:pPr>
        <w:pStyle w:val="ListParagraph"/>
        <w:numPr>
          <w:ilvl w:val="0"/>
          <w:numId w:val="5"/>
        </w:numPr>
      </w:pPr>
      <w:r>
        <w:t>File with the court</w:t>
      </w:r>
      <w:r w:rsidR="005A20B8">
        <w:t xml:space="preserve"> a plan of action that addresses the concerns identified with respect to the adequacy of the remediation plans in the intervention districts for the HSGQE. </w:t>
      </w:r>
    </w:p>
    <w:p w:rsidR="005A20B8" w:rsidRDefault="005A20B8" w:rsidP="005A20B8">
      <w:r>
        <w:t xml:space="preserve">The State was given sixty days to comply with the above three items. </w:t>
      </w:r>
    </w:p>
    <w:p w:rsidR="00084C4B" w:rsidRDefault="00084C4B" w:rsidP="005A20B8"/>
    <w:p w:rsidR="00084C4B" w:rsidRPr="00084C4B" w:rsidRDefault="00084C4B" w:rsidP="005A20B8">
      <w:pPr>
        <w:rPr>
          <w:b/>
          <w:sz w:val="32"/>
          <w:szCs w:val="32"/>
        </w:rPr>
      </w:pPr>
      <w:r w:rsidRPr="00084C4B">
        <w:rPr>
          <w:b/>
          <w:sz w:val="32"/>
          <w:szCs w:val="32"/>
        </w:rPr>
        <w:t>March 2010</w:t>
      </w:r>
    </w:p>
    <w:p w:rsidR="00084C4B" w:rsidRDefault="00571B17" w:rsidP="00571B17">
      <w:pPr>
        <w:pStyle w:val="ListParagraph"/>
        <w:numPr>
          <w:ilvl w:val="0"/>
          <w:numId w:val="6"/>
        </w:numPr>
      </w:pPr>
      <w:r>
        <w:t xml:space="preserve">Five districts were identified as underperforming: </w:t>
      </w:r>
      <w:proofErr w:type="spellStart"/>
      <w:r>
        <w:t>Yupiit</w:t>
      </w:r>
      <w:proofErr w:type="spellEnd"/>
      <w:r>
        <w:t xml:space="preserve">, Lower Yukon, Yukon Flats, Yukon Koyukuk, and Northwest Arctic Borough School District. </w:t>
      </w:r>
      <w:r w:rsidR="00AA4809">
        <w:t xml:space="preserve">The court noted that the interventions were all performed in the proper districts. </w:t>
      </w:r>
    </w:p>
    <w:p w:rsidR="00AA4809" w:rsidRDefault="00AA4809" w:rsidP="00571B17">
      <w:pPr>
        <w:pStyle w:val="ListParagraph"/>
        <w:numPr>
          <w:ilvl w:val="0"/>
          <w:numId w:val="6"/>
        </w:numPr>
      </w:pPr>
      <w:r>
        <w:t xml:space="preserve">The State asserted that significant progress had taken place, and it had fully complied with the 2009 order.  The plaintiffs urged the court to find the state in “continued noncompliance” and requested a Special Master to bring the State into compliance. </w:t>
      </w:r>
    </w:p>
    <w:p w:rsidR="00AA4809" w:rsidRDefault="00AA4809" w:rsidP="00571B17">
      <w:pPr>
        <w:pStyle w:val="ListParagraph"/>
        <w:numPr>
          <w:ilvl w:val="0"/>
          <w:numId w:val="6"/>
        </w:numPr>
      </w:pPr>
      <w:r>
        <w:t xml:space="preserve">The court ruled that: </w:t>
      </w:r>
    </w:p>
    <w:p w:rsidR="00AA4809" w:rsidRDefault="00AA4809" w:rsidP="00AA4809">
      <w:pPr>
        <w:pStyle w:val="ListParagraph"/>
        <w:numPr>
          <w:ilvl w:val="1"/>
          <w:numId w:val="6"/>
        </w:numPr>
      </w:pPr>
      <w:r>
        <w:t xml:space="preserve">The State has not demonstrated it is in full compliance; and </w:t>
      </w:r>
    </w:p>
    <w:p w:rsidR="00AA4809" w:rsidRDefault="00AA4809" w:rsidP="00AA4809">
      <w:pPr>
        <w:pStyle w:val="ListParagraph"/>
        <w:numPr>
          <w:ilvl w:val="1"/>
          <w:numId w:val="6"/>
        </w:numPr>
      </w:pPr>
      <w:r>
        <w:t xml:space="preserve">A Special Master was not appointed in the hopes that the inadequacies can be addressed by the State. </w:t>
      </w:r>
    </w:p>
    <w:p w:rsidR="00112ABA" w:rsidRDefault="00112ABA" w:rsidP="00112ABA">
      <w:pPr>
        <w:pStyle w:val="ListParagraph"/>
        <w:numPr>
          <w:ilvl w:val="0"/>
          <w:numId w:val="6"/>
        </w:numPr>
      </w:pPr>
      <w:r>
        <w:t>The court noted the continued lack of an aligned curriculum</w:t>
      </w:r>
    </w:p>
    <w:p w:rsidR="00112ABA" w:rsidRDefault="00112ABA" w:rsidP="00112ABA">
      <w:pPr>
        <w:pStyle w:val="ListParagraph"/>
        <w:numPr>
          <w:ilvl w:val="1"/>
          <w:numId w:val="6"/>
        </w:numPr>
      </w:pPr>
      <w:r>
        <w:t xml:space="preserve">The State has adopted Standards-Based Assessments, which are noted to be constitutionally sound. </w:t>
      </w:r>
    </w:p>
    <w:p w:rsidR="00112ABA" w:rsidRDefault="00112ABA" w:rsidP="00112ABA">
      <w:pPr>
        <w:pStyle w:val="ListParagraph"/>
        <w:numPr>
          <w:ilvl w:val="1"/>
          <w:numId w:val="6"/>
        </w:numPr>
      </w:pPr>
      <w:r>
        <w:t xml:space="preserve">In 2007 the court found that the State’s instructional standards were not in alignment with the curriculums in the underperforming areas. </w:t>
      </w:r>
    </w:p>
    <w:p w:rsidR="00112ABA" w:rsidRDefault="00112ABA" w:rsidP="00112ABA">
      <w:pPr>
        <w:pStyle w:val="ListParagraph"/>
        <w:numPr>
          <w:ilvl w:val="1"/>
          <w:numId w:val="6"/>
        </w:numPr>
      </w:pPr>
      <w:r>
        <w:t xml:space="preserve">The court noted that currently the students in the underperforming areas are not being given instructional material that is fully aligned with the Standards-Based Assessments. </w:t>
      </w:r>
    </w:p>
    <w:p w:rsidR="00112ABA" w:rsidRDefault="00112ABA" w:rsidP="00112ABA">
      <w:pPr>
        <w:pStyle w:val="ListParagraph"/>
        <w:numPr>
          <w:ilvl w:val="1"/>
          <w:numId w:val="6"/>
        </w:numPr>
      </w:pPr>
      <w:r>
        <w:lastRenderedPageBreak/>
        <w:t xml:space="preserve">The State has elected to place the responsibility for curriculum selection on the underperforming districts. </w:t>
      </w:r>
      <w:r w:rsidR="008A454B">
        <w:t xml:space="preserve">The State indicated, according to the court, that the alignment is far from complete, and has not specified a deadline for completion. </w:t>
      </w:r>
    </w:p>
    <w:p w:rsidR="008A454B" w:rsidRDefault="008A454B" w:rsidP="00112ABA">
      <w:pPr>
        <w:pStyle w:val="ListParagraph"/>
        <w:numPr>
          <w:ilvl w:val="1"/>
          <w:numId w:val="6"/>
        </w:numPr>
      </w:pPr>
      <w:r>
        <w:t xml:space="preserve">The court ruled that the State’s “continued delay” in achieving curriculum alignment is “not constitutionally acceptable.” </w:t>
      </w:r>
    </w:p>
    <w:p w:rsidR="008A454B" w:rsidRDefault="008A454B" w:rsidP="00112ABA">
      <w:pPr>
        <w:pStyle w:val="ListParagraph"/>
        <w:numPr>
          <w:ilvl w:val="1"/>
          <w:numId w:val="6"/>
        </w:numPr>
      </w:pPr>
      <w:r>
        <w:t xml:space="preserve">The State is ordered to provide the districts with “access to a fully aligned curriculum together with adequate professional training.” The lack of teachers trained to teach curriculum that meets State standards is a failure to meet the constitutional obligation to maintain schools. </w:t>
      </w:r>
    </w:p>
    <w:p w:rsidR="008A454B" w:rsidRDefault="008A454B" w:rsidP="008A454B">
      <w:pPr>
        <w:pStyle w:val="ListParagraph"/>
        <w:numPr>
          <w:ilvl w:val="0"/>
          <w:numId w:val="6"/>
        </w:numPr>
      </w:pPr>
      <w:r>
        <w:t xml:space="preserve">The court was also concerned with content in areas </w:t>
      </w:r>
      <w:r w:rsidR="006E7D72">
        <w:t xml:space="preserve">apart from the Standards-Based </w:t>
      </w:r>
      <w:r w:rsidR="007F14F8">
        <w:t>Assessment</w:t>
      </w:r>
      <w:r w:rsidR="006E7D72">
        <w:t xml:space="preserve"> areas, such as geography, government and citizenship, history, healthy life skills, technology or world languages. </w:t>
      </w:r>
    </w:p>
    <w:p w:rsidR="006E7D72" w:rsidRDefault="006E7D72" w:rsidP="006E7D72">
      <w:pPr>
        <w:pStyle w:val="ListParagraph"/>
        <w:numPr>
          <w:ilvl w:val="1"/>
          <w:numId w:val="6"/>
        </w:numPr>
      </w:pPr>
      <w:r>
        <w:t xml:space="preserve">In 2007 the court ruled that the districts must address these areas for the schools to be “constitutionally adequate.” </w:t>
      </w:r>
    </w:p>
    <w:p w:rsidR="006E7D72" w:rsidRDefault="006E7D72" w:rsidP="006E7D72">
      <w:pPr>
        <w:pStyle w:val="ListParagraph"/>
        <w:numPr>
          <w:ilvl w:val="1"/>
          <w:numId w:val="6"/>
        </w:numPr>
      </w:pPr>
      <w:r>
        <w:t xml:space="preserve">The court ruled that the recent submissions of the State do not demonstrate a workable plan for the districts to meet this standard of performance. </w:t>
      </w:r>
    </w:p>
    <w:p w:rsidR="006E7D72" w:rsidRDefault="006E7D72" w:rsidP="006E7D72">
      <w:pPr>
        <w:pStyle w:val="ListParagraph"/>
        <w:numPr>
          <w:ilvl w:val="0"/>
          <w:numId w:val="6"/>
        </w:numPr>
      </w:pPr>
      <w:r>
        <w:t xml:space="preserve">The 2009 decision required the State to file a plan to deal with the remediation issues surrounding students who fail the High School Graduation Qualifying Exam. </w:t>
      </w:r>
    </w:p>
    <w:p w:rsidR="006E7D72" w:rsidRDefault="006E7D72" w:rsidP="006E7D72">
      <w:pPr>
        <w:pStyle w:val="ListParagraph"/>
        <w:numPr>
          <w:ilvl w:val="1"/>
          <w:numId w:val="6"/>
        </w:numPr>
      </w:pPr>
      <w:r>
        <w:t xml:space="preserve">The court ruled that the plan submitted for the Northwest Arctic Borough School District was adequate, but did not provide plans for support and oversight, to assure the plan is being carried out. </w:t>
      </w:r>
    </w:p>
    <w:p w:rsidR="006E7D72" w:rsidRDefault="00D26298" w:rsidP="006E7D72">
      <w:pPr>
        <w:pStyle w:val="ListParagraph"/>
        <w:numPr>
          <w:ilvl w:val="1"/>
          <w:numId w:val="6"/>
        </w:numPr>
      </w:pPr>
      <w:r>
        <w:t xml:space="preserve">In the other four districts the court ruled that an appropriate remediation plan was not in place. </w:t>
      </w:r>
    </w:p>
    <w:p w:rsidR="00D26298" w:rsidRDefault="00D26298" w:rsidP="006E7D72">
      <w:pPr>
        <w:pStyle w:val="ListParagraph"/>
        <w:numPr>
          <w:ilvl w:val="1"/>
          <w:numId w:val="6"/>
        </w:numPr>
      </w:pPr>
      <w:r>
        <w:t xml:space="preserve">The Department is ordered to provide “considerably more in the way of technical support and guidance” to the districts. </w:t>
      </w:r>
    </w:p>
    <w:p w:rsidR="00D26298" w:rsidRDefault="00D26298" w:rsidP="00D26298">
      <w:pPr>
        <w:pStyle w:val="ListParagraph"/>
        <w:numPr>
          <w:ilvl w:val="0"/>
          <w:numId w:val="6"/>
        </w:numPr>
      </w:pPr>
      <w:r>
        <w:t xml:space="preserve">Teacher turnover was identified as a major issue by the court. </w:t>
      </w:r>
    </w:p>
    <w:p w:rsidR="00D26298" w:rsidRDefault="00D26298" w:rsidP="00D26298">
      <w:pPr>
        <w:pStyle w:val="ListParagraph"/>
        <w:numPr>
          <w:ilvl w:val="1"/>
          <w:numId w:val="6"/>
        </w:numPr>
      </w:pPr>
      <w:r>
        <w:t>The court found the State has not adequately met this concern</w:t>
      </w:r>
    </w:p>
    <w:p w:rsidR="00D26298" w:rsidRDefault="00D26298" w:rsidP="00D26298">
      <w:pPr>
        <w:pStyle w:val="ListParagraph"/>
        <w:numPr>
          <w:ilvl w:val="1"/>
          <w:numId w:val="6"/>
        </w:numPr>
      </w:pPr>
      <w:r>
        <w:t xml:space="preserve">The court suggests that the State provide resources to conduct exit interviews of teachers to determine why they are leaving. </w:t>
      </w:r>
    </w:p>
    <w:p w:rsidR="00D26298" w:rsidRDefault="00D26298" w:rsidP="00D26298">
      <w:pPr>
        <w:pStyle w:val="ListParagraph"/>
        <w:numPr>
          <w:ilvl w:val="1"/>
          <w:numId w:val="6"/>
        </w:numPr>
      </w:pPr>
      <w:r>
        <w:t xml:space="preserve">The districts should be involved in designing the exit interviews. </w:t>
      </w:r>
    </w:p>
    <w:p w:rsidR="00D26298" w:rsidRDefault="00D26298" w:rsidP="00D26298">
      <w:pPr>
        <w:pStyle w:val="ListParagraph"/>
        <w:numPr>
          <w:ilvl w:val="1"/>
          <w:numId w:val="6"/>
        </w:numPr>
      </w:pPr>
      <w:r>
        <w:t xml:space="preserve">The court found that the State has been active in addressing teacher capacity. </w:t>
      </w:r>
    </w:p>
    <w:p w:rsidR="00D26298" w:rsidRDefault="00D26298" w:rsidP="00D26298">
      <w:pPr>
        <w:pStyle w:val="ListParagraph"/>
        <w:numPr>
          <w:ilvl w:val="0"/>
          <w:numId w:val="6"/>
        </w:numPr>
      </w:pPr>
      <w:r>
        <w:t xml:space="preserve">District Improvement Plans submitted by the districts were inadequate, and that the districts might benefit from technical assistance by the State. </w:t>
      </w:r>
    </w:p>
    <w:p w:rsidR="006E7D72" w:rsidRPr="007F14F8" w:rsidRDefault="007F14F8" w:rsidP="006E7D72">
      <w:pPr>
        <w:rPr>
          <w:b/>
        </w:rPr>
      </w:pPr>
      <w:r w:rsidRPr="007F14F8">
        <w:rPr>
          <w:b/>
        </w:rPr>
        <w:t>Conclusions</w:t>
      </w:r>
    </w:p>
    <w:p w:rsidR="006E7D72" w:rsidRDefault="007F14F8" w:rsidP="006E7D72">
      <w:r>
        <w:t xml:space="preserve">According the court, the State has failed to demonstrate that it is in compliance with the constitutional obligation to provide and maintain an education for all children of the State. </w:t>
      </w:r>
    </w:p>
    <w:p w:rsidR="007F14F8" w:rsidRPr="007F14F8" w:rsidRDefault="007F14F8" w:rsidP="006E7D72">
      <w:pPr>
        <w:rPr>
          <w:b/>
        </w:rPr>
      </w:pPr>
      <w:r w:rsidRPr="007F14F8">
        <w:rPr>
          <w:b/>
        </w:rPr>
        <w:t xml:space="preserve">“In evaluating the State’s response at this time, this court returns once again to the language of the Alaska Constitution which places the responsibility ‘to maintain a system </w:t>
      </w:r>
      <w:r w:rsidRPr="007F14F8">
        <w:rPr>
          <w:b/>
        </w:rPr>
        <w:lastRenderedPageBreak/>
        <w:t>of public schools open to all children of the state’ squarely upon the Legislature—not upon the Department of Education and Early Development and not upon local school districts.”  </w:t>
      </w:r>
    </w:p>
    <w:p w:rsidR="00112ABA" w:rsidRDefault="007F14F8" w:rsidP="00112ABA">
      <w:pPr>
        <w:ind w:left="1080"/>
      </w:pPr>
      <w:r>
        <w:t xml:space="preserve">The court ordered that </w:t>
      </w:r>
      <w:r w:rsidR="00B632E6">
        <w:t>five</w:t>
      </w:r>
      <w:r>
        <w:t xml:space="preserve"> areas be addressed: </w:t>
      </w:r>
    </w:p>
    <w:p w:rsidR="007F14F8" w:rsidRDefault="007F14F8" w:rsidP="007F14F8">
      <w:pPr>
        <w:pStyle w:val="ListParagraph"/>
        <w:numPr>
          <w:ilvl w:val="0"/>
          <w:numId w:val="7"/>
        </w:numPr>
      </w:pPr>
      <w:r>
        <w:t xml:space="preserve">A detailed plan to have a curriculum aligned with the Standards-Based Assessments subject areas—math, writing, reading and science, to be taught beginning Fall, 2010. </w:t>
      </w:r>
    </w:p>
    <w:p w:rsidR="0076086F" w:rsidRDefault="007F14F8" w:rsidP="007F14F8">
      <w:pPr>
        <w:pStyle w:val="ListParagraph"/>
        <w:numPr>
          <w:ilvl w:val="0"/>
          <w:numId w:val="7"/>
        </w:numPr>
      </w:pPr>
      <w:r>
        <w:t>A review of “meaningful exposure” to other content areas that fall outside of the SBAs, but</w:t>
      </w:r>
      <w:r w:rsidR="0076086F">
        <w:t xml:space="preserve"> which are important to the education of the child, and a detailed plan as to how to address the deficiencies.</w:t>
      </w:r>
    </w:p>
    <w:p w:rsidR="0076086F" w:rsidRDefault="0076086F" w:rsidP="007F14F8">
      <w:pPr>
        <w:pStyle w:val="ListParagraph"/>
        <w:numPr>
          <w:ilvl w:val="0"/>
          <w:numId w:val="7"/>
        </w:numPr>
      </w:pPr>
      <w:r>
        <w:t xml:space="preserve">Detailed remediation plans for junior and senior high students who have not achieved proficiency as measured by the HSGQE. </w:t>
      </w:r>
    </w:p>
    <w:p w:rsidR="007F14F8" w:rsidRDefault="0076086F" w:rsidP="007F14F8">
      <w:pPr>
        <w:pStyle w:val="ListParagraph"/>
        <w:numPr>
          <w:ilvl w:val="0"/>
          <w:numId w:val="7"/>
        </w:numPr>
      </w:pPr>
      <w:r>
        <w:t xml:space="preserve">District Improvement Plans for each of the intervention districts which address the problems identified in the 2009 decision, that address curriculum alignment, content areas not covered by the State’s standardized testing, ascertainment of specific strengths and weaknesses of the underperforming districts, attention to Pre-Kindergarten or other intensive early learning initiatives, and attention to teaching capacity deficiencies.  </w:t>
      </w:r>
    </w:p>
    <w:p w:rsidR="00B632E6" w:rsidRDefault="00B632E6" w:rsidP="007F14F8">
      <w:pPr>
        <w:pStyle w:val="ListParagraph"/>
        <w:numPr>
          <w:ilvl w:val="0"/>
          <w:numId w:val="7"/>
        </w:numPr>
      </w:pPr>
      <w:r>
        <w:t xml:space="preserve">The current status </w:t>
      </w:r>
      <w:proofErr w:type="gramStart"/>
      <w:r>
        <w:t xml:space="preserve">of </w:t>
      </w:r>
      <w:r w:rsidR="0070427A">
        <w:t xml:space="preserve"> the</w:t>
      </w:r>
      <w:proofErr w:type="gramEnd"/>
      <w:r w:rsidR="0070427A">
        <w:t xml:space="preserve"> </w:t>
      </w:r>
      <w:proofErr w:type="spellStart"/>
      <w:r w:rsidR="0070427A">
        <w:t>Yupiit</w:t>
      </w:r>
      <w:proofErr w:type="spellEnd"/>
      <w:r w:rsidR="0070427A">
        <w:t xml:space="preserve"> District. </w:t>
      </w:r>
    </w:p>
    <w:p w:rsidR="00AA4809" w:rsidRPr="00871242" w:rsidRDefault="00AA4809" w:rsidP="00AA4809"/>
    <w:p w:rsidR="005941AF" w:rsidRDefault="005941AF"/>
    <w:sectPr w:rsidR="005941AF" w:rsidSect="004F1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420C"/>
    <w:multiLevelType w:val="hybridMultilevel"/>
    <w:tmpl w:val="14A2F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70C32"/>
    <w:multiLevelType w:val="hybridMultilevel"/>
    <w:tmpl w:val="C2B8B9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146E3"/>
    <w:multiLevelType w:val="hybridMultilevel"/>
    <w:tmpl w:val="5890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820FF"/>
    <w:multiLevelType w:val="hybridMultilevel"/>
    <w:tmpl w:val="A7D29B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27C85"/>
    <w:multiLevelType w:val="hybridMultilevel"/>
    <w:tmpl w:val="2AA2CC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445BE5"/>
    <w:multiLevelType w:val="hybridMultilevel"/>
    <w:tmpl w:val="BCE64CDE"/>
    <w:lvl w:ilvl="0" w:tplc="A364D0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8FF0476"/>
    <w:multiLevelType w:val="hybridMultilevel"/>
    <w:tmpl w:val="9FDE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941AF"/>
    <w:rsid w:val="00084C4B"/>
    <w:rsid w:val="00112ABA"/>
    <w:rsid w:val="001432D8"/>
    <w:rsid w:val="001543C6"/>
    <w:rsid w:val="00391139"/>
    <w:rsid w:val="003A7482"/>
    <w:rsid w:val="004F10E0"/>
    <w:rsid w:val="004F4B2A"/>
    <w:rsid w:val="00571B17"/>
    <w:rsid w:val="005941AF"/>
    <w:rsid w:val="005A042C"/>
    <w:rsid w:val="005A20B8"/>
    <w:rsid w:val="006B770E"/>
    <w:rsid w:val="006E7D72"/>
    <w:rsid w:val="0070427A"/>
    <w:rsid w:val="0076086F"/>
    <w:rsid w:val="007972D0"/>
    <w:rsid w:val="007F14F8"/>
    <w:rsid w:val="00825588"/>
    <w:rsid w:val="00871242"/>
    <w:rsid w:val="008A454B"/>
    <w:rsid w:val="009B6762"/>
    <w:rsid w:val="00A12CC8"/>
    <w:rsid w:val="00AA4809"/>
    <w:rsid w:val="00AD37FF"/>
    <w:rsid w:val="00AE3281"/>
    <w:rsid w:val="00B632E6"/>
    <w:rsid w:val="00B64325"/>
    <w:rsid w:val="00D26298"/>
    <w:rsid w:val="00EE3AF0"/>
    <w:rsid w:val="00EF6307"/>
    <w:rsid w:val="00F27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kern w:val="28"/>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5</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LAA</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ldpcfaw</dc:creator>
  <cp:keywords/>
  <dc:description/>
  <cp:lastModifiedBy>ldpcfaw</cp:lastModifiedBy>
  <cp:revision>6</cp:revision>
  <cp:lastPrinted>2010-04-06T18:54:00Z</cp:lastPrinted>
  <dcterms:created xsi:type="dcterms:W3CDTF">2010-04-05T17:25:00Z</dcterms:created>
  <dcterms:modified xsi:type="dcterms:W3CDTF">2010-04-06T19:11:00Z</dcterms:modified>
</cp:coreProperties>
</file>