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AB8" w:rsidRPr="00F75827" w:rsidRDefault="001C5AB8" w:rsidP="00F75827">
      <w:pPr>
        <w:jc w:val="center"/>
        <w:rPr>
          <w:rFonts w:ascii="Garamond" w:hAnsi="Garamond"/>
          <w:color w:val="auto"/>
          <w:sz w:val="28"/>
          <w:szCs w:val="28"/>
        </w:rPr>
      </w:pPr>
      <w:r w:rsidRPr="00F75827">
        <w:rPr>
          <w:rFonts w:ascii="Garamond" w:hAnsi="Garamond"/>
          <w:color w:val="auto"/>
          <w:sz w:val="28"/>
          <w:szCs w:val="28"/>
        </w:rPr>
        <w:t xml:space="preserve">Questions from </w:t>
      </w:r>
      <w:r w:rsidR="00F75827" w:rsidRPr="00F75827">
        <w:rPr>
          <w:rFonts w:ascii="Garamond" w:hAnsi="Garamond"/>
          <w:color w:val="auto"/>
          <w:sz w:val="28"/>
          <w:szCs w:val="28"/>
        </w:rPr>
        <w:t>(H) EDC from 3/19/2010</w:t>
      </w:r>
    </w:p>
    <w:p w:rsidR="001C5AB8" w:rsidRPr="001C5AB8" w:rsidRDefault="001C5AB8" w:rsidP="00F75827">
      <w:pPr>
        <w:jc w:val="center"/>
        <w:rPr>
          <w:rFonts w:ascii="Times New Roman" w:hAnsi="Times New Roman"/>
          <w:color w:val="1F497D"/>
        </w:rPr>
      </w:pPr>
      <w:r w:rsidRPr="00F75827">
        <w:rPr>
          <w:rFonts w:ascii="Garamond" w:hAnsi="Garamond"/>
          <w:color w:val="auto"/>
          <w:sz w:val="28"/>
          <w:szCs w:val="28"/>
        </w:rPr>
        <w:t>Regarding Workkeys and the HSGQE</w:t>
      </w:r>
    </w:p>
    <w:p w:rsidR="001C5AB8" w:rsidRPr="001C5AB8" w:rsidRDefault="001C5AB8" w:rsidP="00E055E0">
      <w:pPr>
        <w:rPr>
          <w:rFonts w:ascii="Times New Roman" w:hAnsi="Times New Roman"/>
          <w:color w:val="1F497D"/>
        </w:rPr>
      </w:pPr>
    </w:p>
    <w:p w:rsidR="00E055E0" w:rsidRPr="00E3178D" w:rsidRDefault="00E3178D" w:rsidP="00E055E0">
      <w:pPr>
        <w:rPr>
          <w:rFonts w:ascii="Garamond" w:hAnsi="Garamond"/>
        </w:rPr>
      </w:pPr>
      <w:r>
        <w:rPr>
          <w:rFonts w:ascii="Garamond" w:hAnsi="Garamond"/>
          <w:color w:val="1F497D"/>
        </w:rPr>
        <w:t xml:space="preserve">1.  </w:t>
      </w:r>
      <w:r w:rsidR="001C5AB8" w:rsidRPr="00E3178D">
        <w:rPr>
          <w:rFonts w:ascii="Garamond" w:hAnsi="Garamond"/>
          <w:color w:val="1F497D"/>
        </w:rPr>
        <w:t>The regulation reads</w:t>
      </w:r>
      <w:r w:rsidR="00E055E0" w:rsidRPr="00E3178D">
        <w:rPr>
          <w:rFonts w:ascii="Garamond" w:hAnsi="Garamond"/>
          <w:color w:val="1F497D"/>
        </w:rPr>
        <w:t xml:space="preserve"> if a student takes the Workkeys in 11</w:t>
      </w:r>
      <w:r w:rsidR="00E055E0" w:rsidRPr="00E3178D">
        <w:rPr>
          <w:rFonts w:ascii="Garamond" w:hAnsi="Garamond"/>
          <w:color w:val="1F497D"/>
          <w:vertAlign w:val="superscript"/>
        </w:rPr>
        <w:t>th</w:t>
      </w:r>
      <w:r w:rsidR="00E055E0" w:rsidRPr="00E3178D">
        <w:rPr>
          <w:rFonts w:ascii="Garamond" w:hAnsi="Garamond"/>
          <w:color w:val="1F497D"/>
        </w:rPr>
        <w:t xml:space="preserve"> grade, then retakes in 12</w:t>
      </w:r>
      <w:r w:rsidR="00E055E0" w:rsidRPr="00E3178D">
        <w:rPr>
          <w:rFonts w:ascii="Garamond" w:hAnsi="Garamond"/>
          <w:color w:val="1F497D"/>
          <w:vertAlign w:val="superscript"/>
        </w:rPr>
        <w:t>th</w:t>
      </w:r>
      <w:r w:rsidR="00E055E0" w:rsidRPr="00E3178D">
        <w:rPr>
          <w:rFonts w:ascii="Garamond" w:hAnsi="Garamond"/>
          <w:color w:val="1F497D"/>
        </w:rPr>
        <w:t xml:space="preserve"> grade but scores higher then it is paid for by EED, if they do not score has high then either the student or the district would pay. Is this accurate? If it is accurate, what is the cost per test the student or district would pay?</w:t>
      </w:r>
    </w:p>
    <w:p w:rsidR="00E055E0" w:rsidRPr="00E3178D" w:rsidRDefault="00E055E0" w:rsidP="00E055E0">
      <w:pPr>
        <w:rPr>
          <w:rFonts w:ascii="Garamond" w:hAnsi="Garamond"/>
        </w:rPr>
      </w:pPr>
    </w:p>
    <w:p w:rsidR="00E055E0" w:rsidRPr="00E3178D" w:rsidRDefault="00E055E0" w:rsidP="00E055E0">
      <w:pPr>
        <w:rPr>
          <w:rFonts w:ascii="Garamond" w:hAnsi="Garamond"/>
        </w:rPr>
      </w:pPr>
      <w:r w:rsidRPr="00E3178D">
        <w:rPr>
          <w:rFonts w:ascii="Garamond" w:eastAsia="Times New Roman" w:hAnsi="Garamond"/>
          <w:color w:val="auto"/>
        </w:rPr>
        <w:t xml:space="preserve">The original intent of 4 AAC 06.717 (e) was that the state would pay for a second administration of any or all of the WorkKeys tests (doesn't specify 11th or 12th grade) if before the 2nd WorkKeys administration the student has used the instructional courseware and has shown a gain of at least one skill level in the courseware (e.g. Billy gets a Level 3 on WorkKeys math, then gets a level 4 on the math placement test in WIN or KeyTrain.  Billy could then retake WorkKeys math at the state's expense, even if he ultimately gets a Level 3 on WorkKeys again.)   </w:t>
      </w:r>
      <w:r w:rsidR="001C5AB8" w:rsidRPr="00E3178D">
        <w:rPr>
          <w:rFonts w:ascii="Garamond" w:eastAsia="Times New Roman" w:hAnsi="Garamond"/>
          <w:color w:val="auto"/>
        </w:rPr>
        <w:t>Having said that, after re-reading the regulation, I believe it could be interpreted as you state below (i.e., Billy has to use WIN or KeyTrain after his first WorkKeys test, but EED would pay for the 2nd WorkKeys test only if he gets at least a Level 4 on WorkKeys that 2nd time.)</w:t>
      </w:r>
      <w:r w:rsidR="001C5AB8" w:rsidRPr="00E3178D">
        <w:rPr>
          <w:rFonts w:ascii="Garamond" w:hAnsi="Garamond"/>
        </w:rPr>
        <w:t> </w:t>
      </w:r>
    </w:p>
    <w:p w:rsidR="001C5AB8" w:rsidRPr="00E3178D" w:rsidRDefault="001C5AB8" w:rsidP="00E055E0">
      <w:pPr>
        <w:rPr>
          <w:rFonts w:ascii="Garamond" w:hAnsi="Garamond"/>
        </w:rPr>
      </w:pPr>
    </w:p>
    <w:p w:rsidR="003E02B0" w:rsidRPr="00E3178D" w:rsidRDefault="003E02B0" w:rsidP="003E02B0">
      <w:pPr>
        <w:rPr>
          <w:rFonts w:ascii="Garamond" w:hAnsi="Garamond"/>
        </w:rPr>
      </w:pPr>
      <w:r w:rsidRPr="00E3178D">
        <w:rPr>
          <w:rStyle w:val="Strong"/>
          <w:rFonts w:ascii="Garamond" w:hAnsi="Garamond"/>
          <w:b w:val="0"/>
        </w:rPr>
        <w:t>For students who want to retake WorkKeys, could they do that through the DOLWD?</w:t>
      </w:r>
    </w:p>
    <w:p w:rsidR="003E02B0" w:rsidRPr="00E3178D" w:rsidRDefault="003E02B0" w:rsidP="003E02B0">
      <w:pPr>
        <w:rPr>
          <w:rFonts w:ascii="Garamond" w:hAnsi="Garamond"/>
        </w:rPr>
      </w:pPr>
      <w:r w:rsidRPr="00E3178D">
        <w:rPr>
          <w:rFonts w:ascii="Garamond" w:hAnsi="Garamond"/>
        </w:rPr>
        <w:t xml:space="preserve">As I mentioned in my previous email, EED and DOLWD have agreed on a policy that students will take WorkKeys at their high schools, whether it is the first test administration or a re-test.  DOLWD will handle WorkKeys testing for its clients who </w:t>
      </w:r>
      <w:r w:rsidRPr="00E3178D">
        <w:rPr>
          <w:rFonts w:ascii="Garamond" w:hAnsi="Garamond"/>
          <w:color w:val="5F497A"/>
        </w:rPr>
        <w:t xml:space="preserve">are </w:t>
      </w:r>
      <w:r w:rsidRPr="00E3178D">
        <w:rPr>
          <w:rFonts w:ascii="Garamond" w:hAnsi="Garamond"/>
        </w:rPr>
        <w:t>not in school.  DOLWD currently offers WorkKeys testing at 13 of its 22 Job Centers (</w:t>
      </w:r>
      <w:hyperlink r:id="rId7" w:history="1">
        <w:r w:rsidRPr="00E3178D">
          <w:rPr>
            <w:rStyle w:val="Hyperlink"/>
            <w:rFonts w:ascii="Garamond" w:hAnsi="Garamond"/>
          </w:rPr>
          <w:t>http://www.ajcn.state.ak.us/offices/index.html</w:t>
        </w:r>
      </w:hyperlink>
      <w:r w:rsidRPr="00E3178D">
        <w:rPr>
          <w:rFonts w:ascii="Garamond" w:hAnsi="Garamond"/>
        </w:rPr>
        <w:t xml:space="preserve">). </w:t>
      </w:r>
    </w:p>
    <w:p w:rsidR="00E055E0" w:rsidRPr="00E3178D" w:rsidRDefault="00E055E0" w:rsidP="00E055E0">
      <w:pPr>
        <w:rPr>
          <w:rFonts w:ascii="Garamond" w:hAnsi="Garamond"/>
        </w:rPr>
      </w:pPr>
    </w:p>
    <w:p w:rsidR="00E3178D" w:rsidRDefault="00E3178D" w:rsidP="00E055E0">
      <w:pPr>
        <w:rPr>
          <w:rFonts w:ascii="Garamond" w:hAnsi="Garamond"/>
          <w:color w:val="1F497D"/>
        </w:rPr>
      </w:pPr>
    </w:p>
    <w:p w:rsidR="00E055E0" w:rsidRPr="00E3178D" w:rsidRDefault="00E3178D" w:rsidP="00E055E0">
      <w:pPr>
        <w:rPr>
          <w:rFonts w:ascii="Garamond" w:hAnsi="Garamond"/>
          <w:color w:val="1F497D"/>
        </w:rPr>
      </w:pPr>
      <w:r>
        <w:rPr>
          <w:rFonts w:ascii="Garamond" w:hAnsi="Garamond"/>
          <w:color w:val="1F497D"/>
        </w:rPr>
        <w:t xml:space="preserve">2.  </w:t>
      </w:r>
      <w:r w:rsidR="00E055E0" w:rsidRPr="00E3178D">
        <w:rPr>
          <w:rFonts w:ascii="Garamond" w:hAnsi="Garamond"/>
          <w:color w:val="1F497D"/>
        </w:rPr>
        <w:t>Right now it says the test results will be in the cum</w:t>
      </w:r>
      <w:r w:rsidR="001C5AB8" w:rsidRPr="00E3178D">
        <w:rPr>
          <w:rFonts w:ascii="Garamond" w:hAnsi="Garamond"/>
          <w:color w:val="1F497D"/>
        </w:rPr>
        <w:t>ulative</w:t>
      </w:r>
      <w:r w:rsidR="00E055E0" w:rsidRPr="00E3178D">
        <w:rPr>
          <w:rFonts w:ascii="Garamond" w:hAnsi="Garamond"/>
          <w:color w:val="1F497D"/>
        </w:rPr>
        <w:t xml:space="preserve"> file, correct? I don’t think we indicate it will be on transcript or diploma. </w:t>
      </w:r>
    </w:p>
    <w:p w:rsidR="00E055E0" w:rsidRPr="00E3178D" w:rsidRDefault="00E055E0" w:rsidP="00E055E0">
      <w:pPr>
        <w:rPr>
          <w:rFonts w:ascii="Garamond" w:hAnsi="Garamond"/>
          <w:color w:val="1F497D"/>
        </w:rPr>
      </w:pPr>
    </w:p>
    <w:p w:rsidR="00E055E0" w:rsidRPr="00E3178D" w:rsidRDefault="00E055E0" w:rsidP="00E055E0">
      <w:pPr>
        <w:rPr>
          <w:rFonts w:ascii="Garamond" w:hAnsi="Garamond"/>
        </w:rPr>
      </w:pPr>
      <w:r w:rsidRPr="00E3178D">
        <w:rPr>
          <w:rFonts w:ascii="Garamond" w:eastAsia="Times New Roman" w:hAnsi="Garamond"/>
          <w:color w:val="auto"/>
        </w:rPr>
        <w:t>Correct -- the reg</w:t>
      </w:r>
      <w:r w:rsidR="001C5AB8" w:rsidRPr="00E3178D">
        <w:rPr>
          <w:rFonts w:ascii="Garamond" w:eastAsia="Times New Roman" w:hAnsi="Garamond"/>
          <w:color w:val="auto"/>
        </w:rPr>
        <w:t>ulation</w:t>
      </w:r>
      <w:r w:rsidRPr="00E3178D">
        <w:rPr>
          <w:rFonts w:ascii="Garamond" w:eastAsia="Times New Roman" w:hAnsi="Garamond"/>
          <w:color w:val="auto"/>
        </w:rPr>
        <w:t xml:space="preserve"> says the WorkKeys scores will be kept in the cumulative record - nothing about transcript or diploma.</w:t>
      </w:r>
    </w:p>
    <w:p w:rsidR="003E02B0" w:rsidRDefault="003E02B0">
      <w:pPr>
        <w:rPr>
          <w:rFonts w:ascii="Garamond" w:hAnsi="Garamond"/>
        </w:rPr>
      </w:pPr>
    </w:p>
    <w:p w:rsidR="00E3178D" w:rsidRPr="00E3178D" w:rsidRDefault="00E3178D">
      <w:pPr>
        <w:rPr>
          <w:rFonts w:ascii="Garamond" w:hAnsi="Garamond"/>
        </w:rPr>
      </w:pPr>
    </w:p>
    <w:p w:rsidR="003E02B0" w:rsidRPr="00E3178D" w:rsidRDefault="00E3178D" w:rsidP="003E02B0">
      <w:pPr>
        <w:rPr>
          <w:rStyle w:val="Strong"/>
          <w:rFonts w:ascii="Garamond" w:hAnsi="Garamond"/>
          <w:b w:val="0"/>
        </w:rPr>
      </w:pPr>
      <w:r w:rsidRPr="00E3178D">
        <w:rPr>
          <w:rStyle w:val="Strong"/>
          <w:rFonts w:ascii="Garamond" w:hAnsi="Garamond"/>
          <w:b w:val="0"/>
          <w:color w:val="365F91" w:themeColor="accent1" w:themeShade="BF"/>
        </w:rPr>
        <w:t>3</w:t>
      </w:r>
      <w:r>
        <w:rPr>
          <w:rStyle w:val="Strong"/>
          <w:rFonts w:ascii="Garamond" w:hAnsi="Garamond"/>
          <w:b w:val="0"/>
        </w:rPr>
        <w:t xml:space="preserve">.  </w:t>
      </w:r>
      <w:r w:rsidR="003E02B0" w:rsidRPr="00E3178D">
        <w:rPr>
          <w:rStyle w:val="Strong"/>
          <w:rFonts w:ascii="Garamond" w:hAnsi="Garamond"/>
          <w:b w:val="0"/>
          <w:color w:val="365F91" w:themeColor="accent1" w:themeShade="BF"/>
        </w:rPr>
        <w:t>How can employers get a record of a student's/job-seeker's WorkKeys scores?  Could DOLWD give WorkKeys scores to employers at students' request?</w:t>
      </w:r>
    </w:p>
    <w:p w:rsidR="001C5AB8" w:rsidRPr="00E3178D" w:rsidRDefault="001C5AB8" w:rsidP="003E02B0">
      <w:pPr>
        <w:rPr>
          <w:rFonts w:ascii="Garamond" w:hAnsi="Garamond"/>
        </w:rPr>
      </w:pPr>
    </w:p>
    <w:p w:rsidR="003E02B0" w:rsidRPr="00E3178D" w:rsidRDefault="003E02B0" w:rsidP="003E02B0">
      <w:pPr>
        <w:rPr>
          <w:rFonts w:ascii="Garamond" w:hAnsi="Garamond"/>
          <w:color w:val="5F497A"/>
        </w:rPr>
      </w:pPr>
      <w:r w:rsidRPr="00E3178D">
        <w:rPr>
          <w:rFonts w:ascii="Garamond" w:hAnsi="Garamond"/>
        </w:rPr>
        <w:t xml:space="preserve">DOLWD will only have a record of WorkKeys scores for its clients who tested at a Job Center, and will release scores only if authorized by the individual.  EED and each district will have a record of students’ </w:t>
      </w:r>
      <w:r w:rsidRPr="0099760D">
        <w:rPr>
          <w:rFonts w:ascii="Garamond" w:hAnsi="Garamond"/>
          <w:color w:val="auto"/>
        </w:rPr>
        <w:t>WorkKeys</w:t>
      </w:r>
      <w:r w:rsidRPr="00E3178D">
        <w:rPr>
          <w:rFonts w:ascii="Garamond" w:hAnsi="Garamond"/>
          <w:color w:val="5F497A"/>
        </w:rPr>
        <w:t xml:space="preserve"> </w:t>
      </w:r>
      <w:r w:rsidRPr="00E3178D">
        <w:rPr>
          <w:rFonts w:ascii="Garamond" w:hAnsi="Garamond"/>
        </w:rPr>
        <w:t>scores.</w:t>
      </w:r>
    </w:p>
    <w:p w:rsidR="003E02B0" w:rsidRPr="00E3178D" w:rsidRDefault="003E02B0" w:rsidP="003E02B0">
      <w:pPr>
        <w:rPr>
          <w:rFonts w:ascii="Garamond" w:hAnsi="Garamond"/>
          <w:color w:val="5F497A"/>
        </w:rPr>
      </w:pPr>
    </w:p>
    <w:p w:rsidR="003E02B0" w:rsidRPr="00E3178D" w:rsidRDefault="003E02B0" w:rsidP="003E02B0">
      <w:pPr>
        <w:rPr>
          <w:rFonts w:ascii="Garamond" w:hAnsi="Garamond"/>
          <w:color w:val="auto"/>
        </w:rPr>
      </w:pPr>
      <w:r w:rsidRPr="00E3178D">
        <w:rPr>
          <w:rFonts w:ascii="Garamond" w:hAnsi="Garamond"/>
        </w:rPr>
        <w:t xml:space="preserve">There are several ways in which </w:t>
      </w:r>
      <w:r w:rsidRPr="00E3178D">
        <w:rPr>
          <w:rFonts w:ascii="Garamond" w:hAnsi="Garamond"/>
          <w:color w:val="5F497A"/>
        </w:rPr>
        <w:t>a</w:t>
      </w:r>
      <w:r w:rsidRPr="00E3178D">
        <w:rPr>
          <w:rFonts w:ascii="Garamond" w:hAnsi="Garamond"/>
        </w:rPr>
        <w:t xml:space="preserve"> student may provide his/her own WorkKeys information directly to an employer</w:t>
      </w:r>
      <w:r w:rsidRPr="00E3178D">
        <w:rPr>
          <w:rFonts w:ascii="Garamond" w:hAnsi="Garamond"/>
          <w:color w:val="5F497A"/>
        </w:rPr>
        <w:t>:</w:t>
      </w:r>
    </w:p>
    <w:p w:rsidR="003E02B0" w:rsidRPr="00E3178D" w:rsidRDefault="003E02B0" w:rsidP="003E02B0">
      <w:pPr>
        <w:rPr>
          <w:rFonts w:ascii="Garamond" w:hAnsi="Garamond"/>
        </w:rPr>
      </w:pPr>
      <w:r w:rsidRPr="00E3178D">
        <w:rPr>
          <w:rFonts w:ascii="Garamond" w:hAnsi="Garamond"/>
        </w:rPr>
        <w:t> </w:t>
      </w:r>
    </w:p>
    <w:p w:rsidR="003E02B0" w:rsidRPr="00E3178D" w:rsidRDefault="003E02B0" w:rsidP="003E02B0">
      <w:pPr>
        <w:pStyle w:val="ListParagraph"/>
        <w:numPr>
          <w:ilvl w:val="1"/>
          <w:numId w:val="1"/>
        </w:numPr>
        <w:ind w:left="720"/>
        <w:contextualSpacing w:val="0"/>
        <w:rPr>
          <w:rFonts w:ascii="Garamond" w:hAnsi="Garamond"/>
          <w:sz w:val="24"/>
          <w:szCs w:val="24"/>
        </w:rPr>
      </w:pPr>
      <w:r w:rsidRPr="00E3178D">
        <w:rPr>
          <w:rFonts w:ascii="Garamond" w:hAnsi="Garamond"/>
          <w:sz w:val="24"/>
          <w:szCs w:val="24"/>
        </w:rPr>
        <w:t>For each person (student or adult) who earns a National Career Readiness Certificate</w:t>
      </w:r>
      <w:r w:rsidRPr="00E3178D">
        <w:rPr>
          <w:rFonts w:ascii="Garamond" w:hAnsi="Garamond"/>
          <w:color w:val="5F497A"/>
          <w:sz w:val="24"/>
          <w:szCs w:val="24"/>
        </w:rPr>
        <w:t xml:space="preserve"> </w:t>
      </w:r>
      <w:r w:rsidRPr="0099760D">
        <w:rPr>
          <w:rFonts w:ascii="Garamond" w:hAnsi="Garamond"/>
          <w:sz w:val="24"/>
          <w:szCs w:val="24"/>
        </w:rPr>
        <w:t>(NCRC),</w:t>
      </w:r>
      <w:r w:rsidRPr="00E3178D">
        <w:rPr>
          <w:rFonts w:ascii="Garamond" w:hAnsi="Garamond"/>
          <w:sz w:val="24"/>
          <w:szCs w:val="24"/>
        </w:rPr>
        <w:t xml:space="preserve"> which means they obtained at least a Level 3 on all three tests, ACT issues an actual paper certificate that shows the level (Bronze, Silver, Gold, or Platinum), and the skills that were demonstrated. The student may show his/her certificate to an employer as part of the job application package or portfolio.</w:t>
      </w:r>
    </w:p>
    <w:p w:rsidR="003E02B0" w:rsidRPr="00E3178D" w:rsidRDefault="003E02B0" w:rsidP="003E02B0">
      <w:pPr>
        <w:pStyle w:val="ListParagraph"/>
        <w:numPr>
          <w:ilvl w:val="1"/>
          <w:numId w:val="1"/>
        </w:numPr>
        <w:ind w:left="720"/>
        <w:contextualSpacing w:val="0"/>
        <w:rPr>
          <w:rFonts w:ascii="Garamond" w:hAnsi="Garamond"/>
          <w:sz w:val="24"/>
          <w:szCs w:val="24"/>
        </w:rPr>
      </w:pPr>
      <w:r w:rsidRPr="00E3178D">
        <w:rPr>
          <w:rFonts w:ascii="Garamond" w:hAnsi="Garamond"/>
          <w:sz w:val="24"/>
          <w:szCs w:val="24"/>
        </w:rPr>
        <w:lastRenderedPageBreak/>
        <w:t>ACT also</w:t>
      </w:r>
      <w:r w:rsidRPr="00E3178D">
        <w:rPr>
          <w:rFonts w:ascii="Garamond" w:hAnsi="Garamond"/>
          <w:color w:val="5F497A"/>
          <w:sz w:val="24"/>
          <w:szCs w:val="24"/>
        </w:rPr>
        <w:t xml:space="preserve"> </w:t>
      </w:r>
      <w:r w:rsidRPr="00E3178D">
        <w:rPr>
          <w:rFonts w:ascii="Garamond" w:hAnsi="Garamond"/>
          <w:sz w:val="24"/>
          <w:szCs w:val="24"/>
        </w:rPr>
        <w:t>provides a website that a certificate-earner may use to allow employers to verify the certificate online.  [As an aside, ACT recommends</w:t>
      </w:r>
      <w:r w:rsidR="001C5AB8" w:rsidRPr="00E3178D">
        <w:rPr>
          <w:rFonts w:ascii="Garamond" w:hAnsi="Garamond"/>
          <w:sz w:val="24"/>
          <w:szCs w:val="24"/>
        </w:rPr>
        <w:t> that</w:t>
      </w:r>
      <w:r w:rsidRPr="00E3178D">
        <w:rPr>
          <w:rFonts w:ascii="Garamond" w:hAnsi="Garamond"/>
          <w:sz w:val="24"/>
          <w:szCs w:val="24"/>
        </w:rPr>
        <w:t xml:space="preserve"> WorkKeys scores over 5 years old be considered out-of-date, although they no longer show an expiration date on the NCRC.]</w:t>
      </w:r>
    </w:p>
    <w:p w:rsidR="003E02B0" w:rsidRPr="00E3178D" w:rsidRDefault="003E02B0" w:rsidP="003E02B0">
      <w:pPr>
        <w:pStyle w:val="ListParagraph"/>
        <w:numPr>
          <w:ilvl w:val="1"/>
          <w:numId w:val="1"/>
        </w:numPr>
        <w:ind w:left="720"/>
        <w:contextualSpacing w:val="0"/>
        <w:rPr>
          <w:rFonts w:ascii="Garamond" w:hAnsi="Garamond"/>
          <w:sz w:val="24"/>
          <w:szCs w:val="24"/>
        </w:rPr>
      </w:pPr>
      <w:r w:rsidRPr="00E3178D">
        <w:rPr>
          <w:rFonts w:ascii="Garamond" w:hAnsi="Garamond"/>
          <w:sz w:val="24"/>
          <w:szCs w:val="24"/>
        </w:rPr>
        <w:t>Alaska DOLWD's Labor Exchange System (ALEXsys</w:t>
      </w:r>
      <w:r w:rsidRPr="00E3178D">
        <w:rPr>
          <w:rFonts w:ascii="Garamond" w:hAnsi="Garamond"/>
          <w:color w:val="5F497A"/>
          <w:sz w:val="24"/>
          <w:szCs w:val="24"/>
        </w:rPr>
        <w:t xml:space="preserve"> - </w:t>
      </w:r>
      <w:hyperlink r:id="rId8" w:history="1">
        <w:r w:rsidRPr="00E3178D">
          <w:rPr>
            <w:rStyle w:val="Hyperlink"/>
            <w:rFonts w:ascii="Garamond" w:hAnsi="Garamond"/>
            <w:sz w:val="24"/>
            <w:szCs w:val="24"/>
          </w:rPr>
          <w:t>http://alexsys.labor.state.ak.us/</w:t>
        </w:r>
      </w:hyperlink>
      <w:r w:rsidRPr="00E3178D">
        <w:rPr>
          <w:rFonts w:ascii="Garamond" w:hAnsi="Garamond"/>
          <w:color w:val="5F497A"/>
          <w:sz w:val="24"/>
          <w:szCs w:val="24"/>
        </w:rPr>
        <w:t xml:space="preserve"> </w:t>
      </w:r>
      <w:r w:rsidRPr="00E3178D">
        <w:rPr>
          <w:rFonts w:ascii="Garamond" w:hAnsi="Garamond"/>
          <w:sz w:val="24"/>
          <w:szCs w:val="24"/>
        </w:rPr>
        <w:t>) now provides a place for job applicants to list their WorkKeys NCRC level.  All Alaska residents, including students, may establish an account in ALEXsys and keep track of their work history, education, certificates, skills, resumes, etc.  Employers may search in ALEXsys for job candidates with a specific level of NCRC.  Additionally, DOLWD is currently mounting a statewide outreach and education campaign to let Alaska employers know about WorkKeys and the NCRC (</w:t>
      </w:r>
      <w:hyperlink r:id="rId9" w:history="1">
        <w:r w:rsidRPr="00E3178D">
          <w:rPr>
            <w:rStyle w:val="Hyperlink"/>
            <w:rFonts w:ascii="Garamond" w:hAnsi="Garamond"/>
            <w:sz w:val="24"/>
            <w:szCs w:val="24"/>
          </w:rPr>
          <w:t>http://www.careerready.alaska.gov/employers.html</w:t>
        </w:r>
      </w:hyperlink>
      <w:r w:rsidRPr="00E3178D">
        <w:rPr>
          <w:rFonts w:ascii="Garamond" w:hAnsi="Garamond"/>
          <w:sz w:val="24"/>
          <w:szCs w:val="24"/>
        </w:rPr>
        <w:t xml:space="preserve"> for more info.)</w:t>
      </w:r>
    </w:p>
    <w:p w:rsidR="001C5AB8" w:rsidRPr="00E3178D" w:rsidRDefault="001C5AB8">
      <w:pPr>
        <w:rPr>
          <w:rFonts w:ascii="Garamond" w:hAnsi="Garamond"/>
        </w:rPr>
      </w:pPr>
    </w:p>
    <w:p w:rsidR="001C5AB8" w:rsidRPr="00E3178D" w:rsidRDefault="00E3178D" w:rsidP="003E02B0">
      <w:pPr>
        <w:rPr>
          <w:rStyle w:val="Strong"/>
          <w:rFonts w:ascii="Garamond" w:hAnsi="Garamond"/>
          <w:b w:val="0"/>
          <w:color w:val="365F91" w:themeColor="accent1" w:themeShade="BF"/>
        </w:rPr>
      </w:pPr>
      <w:r w:rsidRPr="00E3178D">
        <w:rPr>
          <w:rStyle w:val="Strong"/>
          <w:rFonts w:ascii="Garamond" w:hAnsi="Garamond"/>
          <w:b w:val="0"/>
          <w:color w:val="365F91" w:themeColor="accent1" w:themeShade="BF"/>
        </w:rPr>
        <w:t xml:space="preserve">4.  </w:t>
      </w:r>
      <w:r w:rsidR="001C5AB8" w:rsidRPr="00E3178D">
        <w:rPr>
          <w:rStyle w:val="Strong"/>
          <w:rFonts w:ascii="Garamond" w:hAnsi="Garamond"/>
          <w:b w:val="0"/>
          <w:color w:val="365F91" w:themeColor="accent1" w:themeShade="BF"/>
        </w:rPr>
        <w:t xml:space="preserve">How would </w:t>
      </w:r>
      <w:r w:rsidR="003E02B0" w:rsidRPr="00E3178D">
        <w:rPr>
          <w:rStyle w:val="Strong"/>
          <w:rFonts w:ascii="Garamond" w:hAnsi="Garamond"/>
          <w:b w:val="0"/>
          <w:color w:val="365F91" w:themeColor="accent1" w:themeShade="BF"/>
        </w:rPr>
        <w:t>WorkKeys information on a student transcript or cumulative record </w:t>
      </w:r>
      <w:r w:rsidR="001C5AB8" w:rsidRPr="00E3178D">
        <w:rPr>
          <w:rStyle w:val="Strong"/>
          <w:rFonts w:ascii="Garamond" w:hAnsi="Garamond"/>
          <w:b w:val="0"/>
          <w:color w:val="365F91" w:themeColor="accent1" w:themeShade="BF"/>
        </w:rPr>
        <w:t>look?</w:t>
      </w:r>
    </w:p>
    <w:p w:rsidR="001C5AB8" w:rsidRPr="00E3178D" w:rsidRDefault="001C5AB8" w:rsidP="003E02B0">
      <w:pPr>
        <w:rPr>
          <w:rStyle w:val="Strong"/>
          <w:rFonts w:ascii="Garamond" w:hAnsi="Garamond"/>
          <w:b w:val="0"/>
          <w:color w:val="365F91" w:themeColor="accent1" w:themeShade="BF"/>
        </w:rPr>
      </w:pPr>
    </w:p>
    <w:p w:rsidR="003E02B0" w:rsidRPr="00E3178D" w:rsidRDefault="001C5AB8" w:rsidP="003E02B0">
      <w:pPr>
        <w:rPr>
          <w:rFonts w:ascii="Garamond" w:hAnsi="Garamond"/>
        </w:rPr>
      </w:pPr>
      <w:r w:rsidRPr="00E3178D">
        <w:rPr>
          <w:rStyle w:val="Strong"/>
          <w:rFonts w:ascii="Garamond" w:hAnsi="Garamond"/>
          <w:b w:val="0"/>
        </w:rPr>
        <w:t xml:space="preserve">It might look </w:t>
      </w:r>
      <w:r w:rsidR="003E02B0" w:rsidRPr="00E3178D">
        <w:rPr>
          <w:rStyle w:val="Strong"/>
          <w:rFonts w:ascii="Garamond" w:hAnsi="Garamond"/>
          <w:b w:val="0"/>
        </w:rPr>
        <w:t>something like this:</w:t>
      </w:r>
    </w:p>
    <w:p w:rsidR="003E02B0" w:rsidRPr="00E3178D" w:rsidRDefault="003E02B0" w:rsidP="003E02B0">
      <w:pPr>
        <w:rPr>
          <w:rFonts w:ascii="Garamond" w:hAnsi="Garamond"/>
        </w:rPr>
      </w:pPr>
      <w:r w:rsidRPr="00E3178D">
        <w:rPr>
          <w:rStyle w:val="Strong"/>
          <w:rFonts w:ascii="Garamond" w:hAnsi="Garamond"/>
          <w:b w:val="0"/>
        </w:rPr>
        <w:t>WorkKeys Assessments</w:t>
      </w:r>
    </w:p>
    <w:p w:rsidR="003E02B0" w:rsidRPr="00E3178D" w:rsidRDefault="003E02B0" w:rsidP="003E02B0">
      <w:pPr>
        <w:rPr>
          <w:rFonts w:ascii="Garamond" w:hAnsi="Garamond"/>
        </w:rPr>
      </w:pPr>
      <w:r w:rsidRPr="00E3178D">
        <w:rPr>
          <w:rFonts w:ascii="Garamond" w:hAnsi="Garamond"/>
        </w:rPr>
        <w:t>Applied Math - Level 4 (</w:t>
      </w:r>
      <w:r w:rsidRPr="0099760D">
        <w:rPr>
          <w:rFonts w:ascii="Garamond" w:hAnsi="Garamond"/>
          <w:color w:val="auto"/>
        </w:rPr>
        <w:t>September 7</w:t>
      </w:r>
      <w:r w:rsidRPr="00E3178D">
        <w:rPr>
          <w:rFonts w:ascii="Garamond" w:hAnsi="Garamond"/>
        </w:rPr>
        <w:t>, 2009)</w:t>
      </w:r>
    </w:p>
    <w:p w:rsidR="003E02B0" w:rsidRPr="00E3178D" w:rsidRDefault="003E02B0" w:rsidP="003E02B0">
      <w:pPr>
        <w:rPr>
          <w:rFonts w:ascii="Garamond" w:hAnsi="Garamond"/>
        </w:rPr>
      </w:pPr>
      <w:r w:rsidRPr="00E3178D">
        <w:rPr>
          <w:rFonts w:ascii="Garamond" w:hAnsi="Garamond"/>
        </w:rPr>
        <w:t>Reading for Information - Level 3 (January 15, 2010)</w:t>
      </w:r>
    </w:p>
    <w:p w:rsidR="003E02B0" w:rsidRPr="00E3178D" w:rsidRDefault="003E02B0" w:rsidP="003E02B0">
      <w:pPr>
        <w:rPr>
          <w:rFonts w:ascii="Garamond" w:hAnsi="Garamond"/>
        </w:rPr>
      </w:pPr>
      <w:r w:rsidRPr="00E3178D">
        <w:rPr>
          <w:rFonts w:ascii="Garamond" w:hAnsi="Garamond"/>
        </w:rPr>
        <w:t xml:space="preserve">Locating </w:t>
      </w:r>
      <w:r w:rsidR="001C5AB8" w:rsidRPr="00E3178D">
        <w:rPr>
          <w:rFonts w:ascii="Garamond" w:hAnsi="Garamond"/>
        </w:rPr>
        <w:t>Information</w:t>
      </w:r>
      <w:r w:rsidRPr="00E3178D">
        <w:rPr>
          <w:rFonts w:ascii="Garamond" w:hAnsi="Garamond"/>
        </w:rPr>
        <w:t xml:space="preserve"> - Level 5 (</w:t>
      </w:r>
      <w:r w:rsidRPr="0099760D">
        <w:rPr>
          <w:rFonts w:ascii="Garamond" w:hAnsi="Garamond"/>
          <w:color w:val="auto"/>
        </w:rPr>
        <w:t>April</w:t>
      </w:r>
      <w:r w:rsidRPr="00E3178D">
        <w:rPr>
          <w:rFonts w:ascii="Garamond" w:hAnsi="Garamond"/>
        </w:rPr>
        <w:t xml:space="preserve"> 28, 2010)</w:t>
      </w:r>
    </w:p>
    <w:p w:rsidR="003E02B0" w:rsidRPr="00E3178D" w:rsidRDefault="003E02B0" w:rsidP="003E02B0">
      <w:pPr>
        <w:rPr>
          <w:rFonts w:ascii="Garamond" w:hAnsi="Garamond"/>
        </w:rPr>
      </w:pPr>
      <w:r w:rsidRPr="00E3178D">
        <w:rPr>
          <w:rFonts w:ascii="Garamond" w:hAnsi="Garamond"/>
        </w:rPr>
        <w:t xml:space="preserve">National Career Readiness Certificate (NCRC) - Bronze Level (issued </w:t>
      </w:r>
      <w:r w:rsidRPr="0099760D">
        <w:rPr>
          <w:rFonts w:ascii="Garamond" w:hAnsi="Garamond"/>
          <w:color w:val="auto"/>
        </w:rPr>
        <w:t>May</w:t>
      </w:r>
      <w:r w:rsidRPr="00E3178D">
        <w:rPr>
          <w:rFonts w:ascii="Garamond" w:hAnsi="Garamond"/>
        </w:rPr>
        <w:t xml:space="preserve"> 5, 2010)</w:t>
      </w:r>
    </w:p>
    <w:p w:rsidR="003E02B0" w:rsidRPr="00E3178D" w:rsidRDefault="003E02B0" w:rsidP="003E02B0">
      <w:pPr>
        <w:rPr>
          <w:rFonts w:ascii="Garamond" w:hAnsi="Garamond"/>
        </w:rPr>
      </w:pPr>
      <w:r w:rsidRPr="00E3178D">
        <w:rPr>
          <w:rFonts w:ascii="Garamond" w:hAnsi="Garamond"/>
        </w:rPr>
        <w:t xml:space="preserve">For more information about WorkKeys and the NCRC, please see </w:t>
      </w:r>
      <w:hyperlink r:id="rId10" w:history="1">
        <w:r w:rsidRPr="00E3178D">
          <w:rPr>
            <w:rStyle w:val="Hyperlink"/>
            <w:rFonts w:ascii="Garamond" w:hAnsi="Garamond"/>
          </w:rPr>
          <w:t>http://www.act.org/certificate/index.html</w:t>
        </w:r>
      </w:hyperlink>
    </w:p>
    <w:p w:rsidR="0018263E" w:rsidRPr="00E3178D" w:rsidRDefault="0018263E">
      <w:pPr>
        <w:rPr>
          <w:rFonts w:ascii="Garamond" w:hAnsi="Garamond"/>
        </w:rPr>
      </w:pPr>
    </w:p>
    <w:p w:rsidR="001C5AB8" w:rsidRPr="0099760D" w:rsidRDefault="0099760D">
      <w:pPr>
        <w:rPr>
          <w:rFonts w:ascii="Garamond" w:hAnsi="Garamond"/>
          <w:color w:val="365F91" w:themeColor="accent1" w:themeShade="BF"/>
        </w:rPr>
      </w:pPr>
      <w:r w:rsidRPr="0099760D">
        <w:rPr>
          <w:rFonts w:ascii="Garamond" w:hAnsi="Garamond"/>
          <w:color w:val="365F91" w:themeColor="accent1" w:themeShade="BF"/>
        </w:rPr>
        <w:t xml:space="preserve">5.  </w:t>
      </w:r>
      <w:r w:rsidR="001C5AB8" w:rsidRPr="0099760D">
        <w:rPr>
          <w:rFonts w:ascii="Garamond" w:hAnsi="Garamond"/>
          <w:color w:val="365F91" w:themeColor="accent1" w:themeShade="BF"/>
        </w:rPr>
        <w:t>Information during the hearing was presented about the 12</w:t>
      </w:r>
      <w:r w:rsidR="001C5AB8" w:rsidRPr="0099760D">
        <w:rPr>
          <w:rFonts w:ascii="Garamond" w:hAnsi="Garamond"/>
          <w:color w:val="365F91" w:themeColor="accent1" w:themeShade="BF"/>
          <w:vertAlign w:val="superscript"/>
        </w:rPr>
        <w:t>th</w:t>
      </w:r>
      <w:r w:rsidR="001C5AB8" w:rsidRPr="0099760D">
        <w:rPr>
          <w:rFonts w:ascii="Garamond" w:hAnsi="Garamond"/>
          <w:color w:val="365F91" w:themeColor="accent1" w:themeShade="BF"/>
        </w:rPr>
        <w:t xml:space="preserve"> grade class in 2008. Questions were asked about the data presented; those questions are in red, and the responses in green. </w:t>
      </w:r>
    </w:p>
    <w:p w:rsidR="001C5AB8" w:rsidRPr="00E3178D" w:rsidRDefault="001C5AB8">
      <w:pPr>
        <w:rPr>
          <w:rFonts w:ascii="Garamond" w:hAnsi="Garamond"/>
        </w:rPr>
      </w:pPr>
    </w:p>
    <w:p w:rsidR="0018263E" w:rsidRPr="00E3178D" w:rsidRDefault="0018263E" w:rsidP="0018263E">
      <w:pPr>
        <w:rPr>
          <w:rFonts w:ascii="Garamond" w:eastAsia="Calibri" w:hAnsi="Garamond"/>
        </w:rPr>
      </w:pPr>
      <w:r w:rsidRPr="00E3178D">
        <w:rPr>
          <w:rFonts w:ascii="Garamond" w:eastAsia="Calibri" w:hAnsi="Garamond"/>
        </w:rPr>
        <w:t>Class of 2008 Analysis</w:t>
      </w:r>
    </w:p>
    <w:p w:rsidR="0018263E" w:rsidRPr="00E3178D" w:rsidRDefault="0018263E" w:rsidP="0018263E">
      <w:pPr>
        <w:pStyle w:val="ListParagraph"/>
        <w:tabs>
          <w:tab w:val="left" w:pos="7200"/>
        </w:tabs>
        <w:ind w:left="360"/>
        <w:rPr>
          <w:rFonts w:ascii="Garamond" w:hAnsi="Garamond"/>
          <w:bCs/>
          <w:color w:val="000000"/>
          <w:sz w:val="24"/>
          <w:szCs w:val="24"/>
        </w:rPr>
      </w:pPr>
      <w:r w:rsidRPr="00E3178D">
        <w:rPr>
          <w:rFonts w:ascii="Garamond" w:hAnsi="Garamond"/>
          <w:bCs/>
          <w:color w:val="000000"/>
          <w:sz w:val="24"/>
          <w:szCs w:val="24"/>
        </w:rPr>
        <w:t>Number of grade 12 non-graduates</w:t>
      </w:r>
      <w:r w:rsidRPr="00E3178D">
        <w:rPr>
          <w:rFonts w:ascii="Garamond" w:hAnsi="Garamond"/>
          <w:bCs/>
          <w:color w:val="000000"/>
          <w:sz w:val="24"/>
          <w:szCs w:val="24"/>
        </w:rPr>
        <w:tab/>
        <w:t>2787</w:t>
      </w:r>
    </w:p>
    <w:p w:rsidR="0018263E" w:rsidRPr="00E3178D" w:rsidRDefault="0018263E" w:rsidP="0018263E">
      <w:pPr>
        <w:pStyle w:val="ListParagraph"/>
        <w:tabs>
          <w:tab w:val="left" w:pos="7200"/>
        </w:tabs>
        <w:ind w:left="360"/>
        <w:rPr>
          <w:rFonts w:ascii="Garamond" w:hAnsi="Garamond"/>
          <w:bCs/>
          <w:color w:val="000000"/>
          <w:sz w:val="24"/>
          <w:szCs w:val="24"/>
        </w:rPr>
      </w:pPr>
      <w:r w:rsidRPr="00E3178D">
        <w:rPr>
          <w:rFonts w:ascii="Garamond" w:hAnsi="Garamond"/>
          <w:bCs/>
          <w:color w:val="000000"/>
          <w:sz w:val="24"/>
          <w:szCs w:val="24"/>
        </w:rPr>
        <w:t>Number of grade 12 students coded by district as drops</w:t>
      </w:r>
      <w:r w:rsidRPr="00E3178D">
        <w:rPr>
          <w:rFonts w:ascii="Garamond" w:hAnsi="Garamond"/>
          <w:bCs/>
          <w:color w:val="000000"/>
          <w:sz w:val="24"/>
          <w:szCs w:val="24"/>
        </w:rPr>
        <w:tab/>
        <w:t>1250</w:t>
      </w:r>
    </w:p>
    <w:p w:rsidR="0018263E" w:rsidRPr="00E3178D" w:rsidRDefault="0018263E" w:rsidP="0018263E">
      <w:pPr>
        <w:pStyle w:val="ListParagraph"/>
        <w:tabs>
          <w:tab w:val="left" w:pos="7200"/>
        </w:tabs>
        <w:rPr>
          <w:rFonts w:ascii="Garamond" w:hAnsi="Garamond"/>
          <w:bCs/>
          <w:color w:val="000000"/>
          <w:sz w:val="24"/>
          <w:szCs w:val="24"/>
        </w:rPr>
      </w:pPr>
      <w:r w:rsidRPr="00E3178D">
        <w:rPr>
          <w:rFonts w:ascii="Garamond" w:hAnsi="Garamond"/>
          <w:bCs/>
          <w:color w:val="FF0000"/>
          <w:sz w:val="24"/>
          <w:szCs w:val="24"/>
        </w:rPr>
        <w:t>Did any of these 1250 return and graduate since?</w:t>
      </w:r>
    </w:p>
    <w:p w:rsidR="0018263E" w:rsidRPr="00E3178D" w:rsidRDefault="0018263E" w:rsidP="0018263E">
      <w:pPr>
        <w:pStyle w:val="ListParagraph"/>
        <w:tabs>
          <w:tab w:val="left" w:pos="7200"/>
        </w:tabs>
        <w:rPr>
          <w:rFonts w:ascii="Garamond" w:hAnsi="Garamond"/>
          <w:bCs/>
          <w:color w:val="00B050"/>
          <w:sz w:val="24"/>
          <w:szCs w:val="24"/>
        </w:rPr>
      </w:pPr>
      <w:r w:rsidRPr="00E3178D">
        <w:rPr>
          <w:rFonts w:ascii="Garamond" w:hAnsi="Garamond"/>
          <w:bCs/>
          <w:color w:val="00B050"/>
          <w:sz w:val="24"/>
          <w:szCs w:val="24"/>
        </w:rPr>
        <w:t>Yes - 82</w:t>
      </w:r>
    </w:p>
    <w:p w:rsidR="0018263E" w:rsidRPr="00E3178D" w:rsidRDefault="0018263E" w:rsidP="0018263E">
      <w:pPr>
        <w:pStyle w:val="ListParagraph"/>
        <w:tabs>
          <w:tab w:val="left" w:pos="7200"/>
        </w:tabs>
        <w:ind w:left="360"/>
        <w:rPr>
          <w:rFonts w:ascii="Garamond" w:hAnsi="Garamond"/>
          <w:bCs/>
          <w:color w:val="000000"/>
          <w:sz w:val="24"/>
          <w:szCs w:val="24"/>
        </w:rPr>
      </w:pPr>
      <w:r w:rsidRPr="00E3178D">
        <w:rPr>
          <w:rFonts w:ascii="Garamond" w:hAnsi="Garamond"/>
          <w:bCs/>
          <w:color w:val="000000"/>
          <w:sz w:val="24"/>
          <w:szCs w:val="24"/>
        </w:rPr>
        <w:t>Number of grade 12 continuing students (intend to attend in 08-09)</w:t>
      </w:r>
      <w:r w:rsidRPr="00E3178D">
        <w:rPr>
          <w:rFonts w:ascii="Garamond" w:hAnsi="Garamond"/>
          <w:bCs/>
          <w:color w:val="000000"/>
          <w:sz w:val="24"/>
          <w:szCs w:val="24"/>
        </w:rPr>
        <w:tab/>
        <w:t>1537</w:t>
      </w:r>
    </w:p>
    <w:p w:rsidR="0018263E" w:rsidRPr="00E3178D" w:rsidRDefault="0018263E" w:rsidP="0018263E">
      <w:pPr>
        <w:pStyle w:val="ListParagraph"/>
        <w:tabs>
          <w:tab w:val="left" w:pos="7200"/>
        </w:tabs>
        <w:rPr>
          <w:rFonts w:ascii="Garamond" w:hAnsi="Garamond"/>
          <w:bCs/>
          <w:color w:val="000000"/>
          <w:sz w:val="24"/>
          <w:szCs w:val="24"/>
        </w:rPr>
      </w:pPr>
      <w:r w:rsidRPr="00E3178D">
        <w:rPr>
          <w:rFonts w:ascii="Garamond" w:hAnsi="Garamond"/>
          <w:bCs/>
          <w:color w:val="FF0000"/>
          <w:sz w:val="24"/>
          <w:szCs w:val="24"/>
        </w:rPr>
        <w:t>Did these students return and graduate since?</w:t>
      </w:r>
    </w:p>
    <w:p w:rsidR="0018263E" w:rsidRPr="00E3178D" w:rsidRDefault="0018263E" w:rsidP="0018263E">
      <w:pPr>
        <w:pStyle w:val="ListParagraph"/>
        <w:tabs>
          <w:tab w:val="left" w:pos="7200"/>
        </w:tabs>
        <w:rPr>
          <w:rFonts w:ascii="Garamond" w:hAnsi="Garamond"/>
          <w:bCs/>
          <w:color w:val="00B050"/>
          <w:sz w:val="24"/>
          <w:szCs w:val="24"/>
        </w:rPr>
      </w:pPr>
      <w:r w:rsidRPr="00E3178D">
        <w:rPr>
          <w:rFonts w:ascii="Garamond" w:hAnsi="Garamond"/>
          <w:bCs/>
          <w:color w:val="00B050"/>
          <w:sz w:val="24"/>
          <w:szCs w:val="24"/>
        </w:rPr>
        <w:t>Yes - 424</w:t>
      </w:r>
    </w:p>
    <w:p w:rsidR="0018263E" w:rsidRPr="00E3178D" w:rsidRDefault="0018263E" w:rsidP="0018263E">
      <w:pPr>
        <w:tabs>
          <w:tab w:val="left" w:pos="7200"/>
        </w:tabs>
        <w:rPr>
          <w:rFonts w:ascii="Garamond" w:eastAsia="Calibri" w:hAnsi="Garamond"/>
          <w:bCs/>
        </w:rPr>
      </w:pPr>
    </w:p>
    <w:p w:rsidR="0018263E" w:rsidRPr="00E3178D" w:rsidRDefault="0018263E" w:rsidP="0018263E">
      <w:pPr>
        <w:pStyle w:val="ListParagraph"/>
        <w:tabs>
          <w:tab w:val="left" w:pos="7200"/>
        </w:tabs>
        <w:ind w:left="360"/>
        <w:rPr>
          <w:rFonts w:ascii="Garamond" w:hAnsi="Garamond"/>
          <w:bCs/>
          <w:color w:val="000000"/>
          <w:sz w:val="24"/>
          <w:szCs w:val="24"/>
        </w:rPr>
      </w:pPr>
      <w:r w:rsidRPr="00E3178D">
        <w:rPr>
          <w:rFonts w:ascii="Garamond" w:hAnsi="Garamond"/>
          <w:bCs/>
          <w:color w:val="000000"/>
          <w:sz w:val="24"/>
          <w:szCs w:val="24"/>
        </w:rPr>
        <w:t>Number of grade 12 non-graduates passing all parts of exam</w:t>
      </w:r>
      <w:r w:rsidRPr="00E3178D">
        <w:rPr>
          <w:rFonts w:ascii="Garamond" w:hAnsi="Garamond"/>
          <w:bCs/>
          <w:color w:val="000000"/>
          <w:sz w:val="24"/>
          <w:szCs w:val="24"/>
        </w:rPr>
        <w:tab/>
        <w:t>1926  (69.1%)</w:t>
      </w:r>
    </w:p>
    <w:p w:rsidR="0018263E" w:rsidRPr="00E3178D" w:rsidRDefault="0018263E" w:rsidP="0018263E">
      <w:pPr>
        <w:pStyle w:val="ListParagraph"/>
        <w:tabs>
          <w:tab w:val="left" w:pos="7200"/>
        </w:tabs>
        <w:rPr>
          <w:rFonts w:ascii="Garamond" w:hAnsi="Garamond"/>
          <w:bCs/>
          <w:color w:val="FF0000"/>
          <w:sz w:val="24"/>
          <w:szCs w:val="24"/>
        </w:rPr>
      </w:pPr>
      <w:r w:rsidRPr="00E3178D">
        <w:rPr>
          <w:rFonts w:ascii="Garamond" w:hAnsi="Garamond"/>
          <w:bCs/>
          <w:color w:val="FF0000"/>
          <w:sz w:val="24"/>
          <w:szCs w:val="24"/>
        </w:rPr>
        <w:t>Did any of these graduate due to passing local requirements since 2008?</w:t>
      </w:r>
    </w:p>
    <w:p w:rsidR="0018263E" w:rsidRPr="00E3178D" w:rsidRDefault="0018263E" w:rsidP="0018263E">
      <w:pPr>
        <w:pStyle w:val="ListParagraph"/>
        <w:tabs>
          <w:tab w:val="left" w:pos="7200"/>
        </w:tabs>
        <w:rPr>
          <w:rFonts w:ascii="Garamond" w:hAnsi="Garamond"/>
          <w:bCs/>
          <w:color w:val="00B050"/>
          <w:sz w:val="24"/>
          <w:szCs w:val="24"/>
        </w:rPr>
      </w:pPr>
      <w:r w:rsidRPr="00E3178D">
        <w:rPr>
          <w:rFonts w:ascii="Garamond" w:hAnsi="Garamond"/>
          <w:bCs/>
          <w:color w:val="00B050"/>
          <w:sz w:val="24"/>
          <w:szCs w:val="24"/>
        </w:rPr>
        <w:t>Yes - 452</w:t>
      </w:r>
    </w:p>
    <w:p w:rsidR="0018263E" w:rsidRPr="00E3178D" w:rsidRDefault="0018263E" w:rsidP="0018263E">
      <w:pPr>
        <w:tabs>
          <w:tab w:val="left" w:pos="7200"/>
        </w:tabs>
        <w:rPr>
          <w:rFonts w:ascii="Garamond" w:eastAsia="Calibri" w:hAnsi="Garamond"/>
          <w:bCs/>
        </w:rPr>
      </w:pPr>
    </w:p>
    <w:p w:rsidR="0018263E" w:rsidRPr="00E3178D" w:rsidRDefault="0018263E" w:rsidP="0018263E">
      <w:pPr>
        <w:pStyle w:val="ListParagraph"/>
        <w:tabs>
          <w:tab w:val="left" w:pos="7200"/>
        </w:tabs>
        <w:ind w:left="360"/>
        <w:rPr>
          <w:rFonts w:ascii="Garamond" w:hAnsi="Garamond"/>
          <w:bCs/>
          <w:color w:val="000000"/>
          <w:sz w:val="24"/>
          <w:szCs w:val="24"/>
        </w:rPr>
      </w:pPr>
      <w:r w:rsidRPr="00E3178D">
        <w:rPr>
          <w:rFonts w:ascii="Garamond" w:hAnsi="Garamond"/>
          <w:bCs/>
          <w:color w:val="000000"/>
          <w:sz w:val="24"/>
          <w:szCs w:val="24"/>
        </w:rPr>
        <w:t>Number of grade 12 students who earned certificate of achievement</w:t>
      </w:r>
      <w:r w:rsidRPr="00E3178D">
        <w:rPr>
          <w:rFonts w:ascii="Garamond" w:hAnsi="Garamond"/>
          <w:bCs/>
          <w:color w:val="000000"/>
          <w:sz w:val="24"/>
          <w:szCs w:val="24"/>
        </w:rPr>
        <w:tab/>
        <w:t>270*</w:t>
      </w:r>
    </w:p>
    <w:p w:rsidR="0018263E" w:rsidRPr="00E3178D" w:rsidRDefault="0018263E" w:rsidP="0018263E">
      <w:pPr>
        <w:tabs>
          <w:tab w:val="left" w:pos="720"/>
          <w:tab w:val="left" w:pos="7200"/>
        </w:tabs>
        <w:rPr>
          <w:rFonts w:ascii="Garamond" w:eastAsia="Calibri" w:hAnsi="Garamond"/>
          <w:bCs/>
          <w:i/>
        </w:rPr>
      </w:pPr>
      <w:r w:rsidRPr="00E3178D">
        <w:rPr>
          <w:rFonts w:ascii="Garamond" w:eastAsia="Calibri" w:hAnsi="Garamond"/>
          <w:bCs/>
        </w:rPr>
        <w:tab/>
      </w:r>
      <w:r w:rsidRPr="00E3178D">
        <w:rPr>
          <w:rFonts w:ascii="Garamond" w:eastAsia="Calibri" w:hAnsi="Garamond"/>
          <w:bCs/>
          <w:i/>
        </w:rPr>
        <w:t>*Number not included in grade 12 non-graduates</w:t>
      </w:r>
    </w:p>
    <w:p w:rsidR="0018263E" w:rsidRPr="00E3178D" w:rsidRDefault="0018263E" w:rsidP="0018263E">
      <w:pPr>
        <w:tabs>
          <w:tab w:val="left" w:pos="720"/>
          <w:tab w:val="left" w:pos="7200"/>
        </w:tabs>
        <w:rPr>
          <w:rFonts w:ascii="Garamond" w:eastAsia="Calibri" w:hAnsi="Garamond"/>
          <w:bCs/>
          <w:color w:val="FF0000"/>
        </w:rPr>
      </w:pPr>
      <w:r w:rsidRPr="00E3178D">
        <w:rPr>
          <w:rFonts w:ascii="Garamond" w:eastAsia="Calibri" w:hAnsi="Garamond"/>
          <w:bCs/>
          <w:i/>
        </w:rPr>
        <w:tab/>
      </w:r>
      <w:r w:rsidRPr="00E3178D">
        <w:rPr>
          <w:rFonts w:ascii="Garamond" w:eastAsia="Calibri" w:hAnsi="Garamond"/>
          <w:bCs/>
          <w:color w:val="FF0000"/>
        </w:rPr>
        <w:t>Did any of these return and take the HSGQE and earn a diploma?</w:t>
      </w:r>
    </w:p>
    <w:p w:rsidR="0099760D" w:rsidRDefault="0018263E" w:rsidP="0099760D">
      <w:pPr>
        <w:tabs>
          <w:tab w:val="left" w:pos="720"/>
          <w:tab w:val="left" w:pos="7200"/>
        </w:tabs>
        <w:rPr>
          <w:rFonts w:ascii="Garamond" w:eastAsia="Calibri" w:hAnsi="Garamond"/>
          <w:bCs/>
          <w:color w:val="00B050"/>
        </w:rPr>
      </w:pPr>
      <w:r w:rsidRPr="00E3178D">
        <w:rPr>
          <w:rFonts w:ascii="Garamond" w:eastAsia="Calibri" w:hAnsi="Garamond"/>
          <w:bCs/>
          <w:color w:val="00B050"/>
        </w:rPr>
        <w:tab/>
      </w:r>
      <w:r w:rsidRPr="00E3178D">
        <w:rPr>
          <w:rFonts w:ascii="Garamond" w:hAnsi="Garamond"/>
          <w:bCs/>
          <w:color w:val="00B050"/>
        </w:rPr>
        <w:t xml:space="preserve">Yes </w:t>
      </w:r>
      <w:r w:rsidR="0099760D">
        <w:rPr>
          <w:rFonts w:ascii="Garamond" w:hAnsi="Garamond"/>
          <w:bCs/>
          <w:color w:val="00B050"/>
        </w:rPr>
        <w:t>–</w:t>
      </w:r>
      <w:r w:rsidRPr="00E3178D">
        <w:rPr>
          <w:rFonts w:ascii="Garamond" w:hAnsi="Garamond"/>
          <w:bCs/>
          <w:color w:val="00B050"/>
        </w:rPr>
        <w:t xml:space="preserve"> </w:t>
      </w:r>
      <w:r w:rsidRPr="00E3178D">
        <w:rPr>
          <w:rFonts w:ascii="Garamond" w:eastAsia="Calibri" w:hAnsi="Garamond"/>
          <w:bCs/>
          <w:color w:val="00B050"/>
        </w:rPr>
        <w:t>11</w:t>
      </w:r>
    </w:p>
    <w:p w:rsidR="0099760D" w:rsidRDefault="0099760D" w:rsidP="0099760D">
      <w:pPr>
        <w:tabs>
          <w:tab w:val="left" w:pos="720"/>
          <w:tab w:val="left" w:pos="7200"/>
        </w:tabs>
        <w:rPr>
          <w:rFonts w:ascii="Garamond" w:hAnsi="Garamond"/>
        </w:rPr>
      </w:pPr>
    </w:p>
    <w:p w:rsidR="001C5AB8" w:rsidRPr="0099760D" w:rsidRDefault="0099760D" w:rsidP="0099760D">
      <w:pPr>
        <w:tabs>
          <w:tab w:val="left" w:pos="720"/>
          <w:tab w:val="left" w:pos="7200"/>
        </w:tabs>
        <w:rPr>
          <w:rFonts w:ascii="Garamond" w:eastAsia="Calibri" w:hAnsi="Garamond"/>
          <w:bCs/>
          <w:color w:val="365F91" w:themeColor="accent1" w:themeShade="BF"/>
        </w:rPr>
      </w:pPr>
      <w:r w:rsidRPr="0099760D">
        <w:rPr>
          <w:rFonts w:ascii="Garamond" w:hAnsi="Garamond"/>
          <w:color w:val="365F91" w:themeColor="accent1" w:themeShade="BF"/>
        </w:rPr>
        <w:t xml:space="preserve">6.  </w:t>
      </w:r>
      <w:r w:rsidR="001C5AB8" w:rsidRPr="0099760D">
        <w:rPr>
          <w:rFonts w:ascii="Garamond" w:hAnsi="Garamond"/>
          <w:color w:val="365F91" w:themeColor="accent1" w:themeShade="BF"/>
        </w:rPr>
        <w:t>One member of the committee asked for items sampler / practice tests from the HSGQE, those are attached to the email.</w:t>
      </w:r>
      <w:r w:rsidR="001C5AB8" w:rsidRPr="0099760D">
        <w:rPr>
          <w:rFonts w:ascii="Times New Roman" w:hAnsi="Times New Roman"/>
          <w:color w:val="365F91" w:themeColor="accent1" w:themeShade="BF"/>
        </w:rPr>
        <w:t xml:space="preserve"> </w:t>
      </w:r>
    </w:p>
    <w:sectPr w:rsidR="001C5AB8" w:rsidRPr="0099760D" w:rsidSect="00BA27C9">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A44" w:rsidRDefault="00247A44" w:rsidP="005800FC">
      <w:r>
        <w:separator/>
      </w:r>
    </w:p>
  </w:endnote>
  <w:endnote w:type="continuationSeparator" w:id="0">
    <w:p w:rsidR="00247A44" w:rsidRDefault="00247A44" w:rsidP="005800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0FC" w:rsidRDefault="005800FC">
    <w:pPr>
      <w:pStyle w:val="Footer"/>
    </w:pPr>
    <w:r>
      <w:t>Alaska Department of Education &amp; Early Development</w:t>
    </w:r>
    <w:r>
      <w:tab/>
      <w:t>March 29,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A44" w:rsidRDefault="00247A44" w:rsidP="005800FC">
      <w:r>
        <w:separator/>
      </w:r>
    </w:p>
  </w:footnote>
  <w:footnote w:type="continuationSeparator" w:id="0">
    <w:p w:rsidR="00247A44" w:rsidRDefault="00247A44" w:rsidP="005800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04AC0"/>
    <w:multiLevelType w:val="hybridMultilevel"/>
    <w:tmpl w:val="D1FC5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055E0"/>
    <w:rsid w:val="0018263E"/>
    <w:rsid w:val="001C5AB8"/>
    <w:rsid w:val="00247A44"/>
    <w:rsid w:val="0029099A"/>
    <w:rsid w:val="003E02B0"/>
    <w:rsid w:val="005800FC"/>
    <w:rsid w:val="005A6E72"/>
    <w:rsid w:val="0069518A"/>
    <w:rsid w:val="006F7B48"/>
    <w:rsid w:val="0099760D"/>
    <w:rsid w:val="00A0172F"/>
    <w:rsid w:val="00BA27C9"/>
    <w:rsid w:val="00CA400C"/>
    <w:rsid w:val="00E055E0"/>
    <w:rsid w:val="00E3178D"/>
    <w:rsid w:val="00E50588"/>
    <w:rsid w:val="00F75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E0"/>
    <w:pPr>
      <w:spacing w:after="0" w:line="240" w:lineRule="auto"/>
    </w:pPr>
    <w:rPr>
      <w:rFonts w:ascii="Calibri" w:hAnsi="Calibri"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63E"/>
    <w:pPr>
      <w:ind w:left="720"/>
      <w:contextualSpacing/>
    </w:pPr>
    <w:rPr>
      <w:rFonts w:eastAsia="Calibri"/>
      <w:color w:val="auto"/>
      <w:sz w:val="22"/>
      <w:szCs w:val="22"/>
    </w:rPr>
  </w:style>
  <w:style w:type="character" w:styleId="Hyperlink">
    <w:name w:val="Hyperlink"/>
    <w:basedOn w:val="DefaultParagraphFont"/>
    <w:uiPriority w:val="99"/>
    <w:semiHidden/>
    <w:unhideWhenUsed/>
    <w:rsid w:val="003E02B0"/>
    <w:rPr>
      <w:color w:val="0000FF"/>
      <w:u w:val="single"/>
    </w:rPr>
  </w:style>
  <w:style w:type="character" w:styleId="Strong">
    <w:name w:val="Strong"/>
    <w:basedOn w:val="DefaultParagraphFont"/>
    <w:uiPriority w:val="22"/>
    <w:qFormat/>
    <w:rsid w:val="003E02B0"/>
    <w:rPr>
      <w:b/>
      <w:bCs/>
    </w:rPr>
  </w:style>
  <w:style w:type="paragraph" w:styleId="Header">
    <w:name w:val="header"/>
    <w:basedOn w:val="Normal"/>
    <w:link w:val="HeaderChar"/>
    <w:uiPriority w:val="99"/>
    <w:semiHidden/>
    <w:unhideWhenUsed/>
    <w:rsid w:val="005800FC"/>
    <w:pPr>
      <w:tabs>
        <w:tab w:val="center" w:pos="4680"/>
        <w:tab w:val="right" w:pos="9360"/>
      </w:tabs>
    </w:pPr>
  </w:style>
  <w:style w:type="character" w:customStyle="1" w:styleId="HeaderChar">
    <w:name w:val="Header Char"/>
    <w:basedOn w:val="DefaultParagraphFont"/>
    <w:link w:val="Header"/>
    <w:uiPriority w:val="99"/>
    <w:semiHidden/>
    <w:rsid w:val="005800FC"/>
    <w:rPr>
      <w:rFonts w:ascii="Calibri" w:hAnsi="Calibri" w:cs="Times New Roman"/>
      <w:color w:val="000000"/>
      <w:sz w:val="24"/>
      <w:szCs w:val="24"/>
    </w:rPr>
  </w:style>
  <w:style w:type="paragraph" w:styleId="Footer">
    <w:name w:val="footer"/>
    <w:basedOn w:val="Normal"/>
    <w:link w:val="FooterChar"/>
    <w:uiPriority w:val="99"/>
    <w:semiHidden/>
    <w:unhideWhenUsed/>
    <w:rsid w:val="005800FC"/>
    <w:pPr>
      <w:tabs>
        <w:tab w:val="center" w:pos="4680"/>
        <w:tab w:val="right" w:pos="9360"/>
      </w:tabs>
    </w:pPr>
  </w:style>
  <w:style w:type="character" w:customStyle="1" w:styleId="FooterChar">
    <w:name w:val="Footer Char"/>
    <w:basedOn w:val="DefaultParagraphFont"/>
    <w:link w:val="Footer"/>
    <w:uiPriority w:val="99"/>
    <w:semiHidden/>
    <w:rsid w:val="005800FC"/>
    <w:rPr>
      <w:rFonts w:ascii="Calibri" w:hAnsi="Calibri" w:cs="Times New Roman"/>
      <w:color w:val="000000"/>
      <w:sz w:val="24"/>
      <w:szCs w:val="24"/>
    </w:rPr>
  </w:style>
  <w:style w:type="paragraph" w:styleId="BalloonText">
    <w:name w:val="Balloon Text"/>
    <w:basedOn w:val="Normal"/>
    <w:link w:val="BalloonTextChar"/>
    <w:uiPriority w:val="99"/>
    <w:semiHidden/>
    <w:unhideWhenUsed/>
    <w:rsid w:val="005800FC"/>
    <w:rPr>
      <w:rFonts w:ascii="Tahoma" w:hAnsi="Tahoma" w:cs="Tahoma"/>
      <w:sz w:val="16"/>
      <w:szCs w:val="16"/>
    </w:rPr>
  </w:style>
  <w:style w:type="character" w:customStyle="1" w:styleId="BalloonTextChar">
    <w:name w:val="Balloon Text Char"/>
    <w:basedOn w:val="DefaultParagraphFont"/>
    <w:link w:val="BalloonText"/>
    <w:uiPriority w:val="99"/>
    <w:semiHidden/>
    <w:rsid w:val="005800F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118644694">
      <w:bodyDiv w:val="1"/>
      <w:marLeft w:val="0"/>
      <w:marRight w:val="0"/>
      <w:marTop w:val="0"/>
      <w:marBottom w:val="0"/>
      <w:divBdr>
        <w:top w:val="none" w:sz="0" w:space="0" w:color="auto"/>
        <w:left w:val="none" w:sz="0" w:space="0" w:color="auto"/>
        <w:bottom w:val="none" w:sz="0" w:space="0" w:color="auto"/>
        <w:right w:val="none" w:sz="0" w:space="0" w:color="auto"/>
      </w:divBdr>
    </w:div>
    <w:div w:id="1357391650">
      <w:bodyDiv w:val="1"/>
      <w:marLeft w:val="0"/>
      <w:marRight w:val="0"/>
      <w:marTop w:val="0"/>
      <w:marBottom w:val="0"/>
      <w:divBdr>
        <w:top w:val="none" w:sz="0" w:space="0" w:color="auto"/>
        <w:left w:val="none" w:sz="0" w:space="0" w:color="auto"/>
        <w:bottom w:val="none" w:sz="0" w:space="0" w:color="auto"/>
        <w:right w:val="none" w:sz="0" w:space="0" w:color="auto"/>
      </w:divBdr>
    </w:div>
    <w:div w:id="1375883212">
      <w:bodyDiv w:val="1"/>
      <w:marLeft w:val="0"/>
      <w:marRight w:val="0"/>
      <w:marTop w:val="0"/>
      <w:marBottom w:val="0"/>
      <w:divBdr>
        <w:top w:val="none" w:sz="0" w:space="0" w:color="auto"/>
        <w:left w:val="none" w:sz="0" w:space="0" w:color="auto"/>
        <w:bottom w:val="none" w:sz="0" w:space="0" w:color="auto"/>
        <w:right w:val="none" w:sz="0" w:space="0" w:color="auto"/>
      </w:divBdr>
    </w:div>
    <w:div w:id="1645937763">
      <w:bodyDiv w:val="1"/>
      <w:marLeft w:val="0"/>
      <w:marRight w:val="0"/>
      <w:marTop w:val="0"/>
      <w:marBottom w:val="0"/>
      <w:divBdr>
        <w:top w:val="none" w:sz="0" w:space="0" w:color="auto"/>
        <w:left w:val="none" w:sz="0" w:space="0" w:color="auto"/>
        <w:bottom w:val="none" w:sz="0" w:space="0" w:color="auto"/>
        <w:right w:val="none" w:sz="0" w:space="0" w:color="auto"/>
      </w:divBdr>
    </w:div>
    <w:div w:id="165440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exsys.labor.state.ak.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jcn.state.ak.us/offices/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ct.org/certificate/index.html" TargetMode="External"/><Relationship Id="rId4" Type="http://schemas.openxmlformats.org/officeDocument/2006/relationships/webSettings" Target="webSettings.xml"/><Relationship Id="rId9" Type="http://schemas.openxmlformats.org/officeDocument/2006/relationships/hyperlink" Target="http://www.careerready.alaska.gov/employ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lsmorse</dc:creator>
  <cp:keywords/>
  <dc:description/>
  <cp:lastModifiedBy>lhsclaf</cp:lastModifiedBy>
  <cp:revision>2</cp:revision>
  <cp:lastPrinted>2010-03-29T23:57:00Z</cp:lastPrinted>
  <dcterms:created xsi:type="dcterms:W3CDTF">2010-03-29T23:57:00Z</dcterms:created>
  <dcterms:modified xsi:type="dcterms:W3CDTF">2010-03-29T23:57:00Z</dcterms:modified>
</cp:coreProperties>
</file>