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2B" w:rsidRDefault="00C8772B" w:rsidP="00C8772B">
      <w:pPr>
        <w:jc w:val="center"/>
        <w:rPr>
          <w:rFonts w:ascii="Arial" w:hAnsi="Arial" w:cs="Arial"/>
          <w:b/>
          <w:sz w:val="28"/>
          <w:szCs w:val="28"/>
        </w:rPr>
      </w:pPr>
      <w:r w:rsidRPr="00C8772B">
        <w:rPr>
          <w:rFonts w:ascii="Arial" w:hAnsi="Arial" w:cs="Arial"/>
          <w:b/>
          <w:sz w:val="28"/>
          <w:szCs w:val="28"/>
        </w:rPr>
        <w:t>Anchorage CINA Therapeutic Court</w:t>
      </w:r>
    </w:p>
    <w:p w:rsidR="00675E74" w:rsidRPr="00675E74" w:rsidRDefault="00675E74" w:rsidP="00C8772B">
      <w:pPr>
        <w:jc w:val="center"/>
        <w:rPr>
          <w:rFonts w:ascii="Arial" w:hAnsi="Arial" w:cs="Arial"/>
          <w:b/>
          <w:sz w:val="24"/>
          <w:szCs w:val="24"/>
        </w:rPr>
      </w:pPr>
      <w:r w:rsidRPr="00675E74">
        <w:rPr>
          <w:rFonts w:ascii="Arial" w:hAnsi="Arial" w:cs="Arial"/>
          <w:b/>
          <w:sz w:val="24"/>
          <w:szCs w:val="24"/>
        </w:rPr>
        <w:t>Michelle Bartley</w:t>
      </w:r>
    </w:p>
    <w:p w:rsidR="00675E74" w:rsidRPr="00675E74" w:rsidRDefault="00675E74" w:rsidP="00C8772B">
      <w:pPr>
        <w:jc w:val="center"/>
        <w:rPr>
          <w:rFonts w:ascii="Arial" w:hAnsi="Arial" w:cs="Arial"/>
          <w:b/>
          <w:sz w:val="24"/>
          <w:szCs w:val="24"/>
        </w:rPr>
      </w:pPr>
      <w:r w:rsidRPr="00675E74">
        <w:rPr>
          <w:rFonts w:ascii="Arial" w:hAnsi="Arial" w:cs="Arial"/>
          <w:b/>
          <w:sz w:val="24"/>
          <w:szCs w:val="24"/>
        </w:rPr>
        <w:t>Statewide Therapeutic Courts Coordinator</w:t>
      </w:r>
    </w:p>
    <w:p w:rsidR="00675E74" w:rsidRPr="00675E74" w:rsidRDefault="00675E74" w:rsidP="00C8772B">
      <w:pPr>
        <w:jc w:val="center"/>
        <w:rPr>
          <w:rFonts w:ascii="Arial" w:hAnsi="Arial" w:cs="Arial"/>
          <w:b/>
          <w:sz w:val="24"/>
          <w:szCs w:val="24"/>
        </w:rPr>
      </w:pPr>
      <w:r w:rsidRPr="00675E74">
        <w:rPr>
          <w:rFonts w:ascii="Arial" w:hAnsi="Arial" w:cs="Arial"/>
          <w:b/>
          <w:sz w:val="24"/>
          <w:szCs w:val="24"/>
        </w:rPr>
        <w:t>1-31-2020</w:t>
      </w:r>
    </w:p>
    <w:p w:rsidR="00C8772B" w:rsidRDefault="00C8772B" w:rsidP="00FA3E26">
      <w:pPr>
        <w:rPr>
          <w:rFonts w:ascii="Arial" w:hAnsi="Arial" w:cs="Arial"/>
        </w:rPr>
      </w:pPr>
    </w:p>
    <w:p w:rsidR="00FA3E26" w:rsidRDefault="00FA3E26" w:rsidP="00FA3E26">
      <w:pPr>
        <w:rPr>
          <w:rFonts w:ascii="Arial" w:hAnsi="Arial" w:cs="Arial"/>
        </w:rPr>
      </w:pPr>
      <w:r>
        <w:rPr>
          <w:rFonts w:ascii="Arial" w:hAnsi="Arial" w:cs="Arial"/>
        </w:rPr>
        <w:t>The mission of the Anchorage CINA Therapeutic Court (CTC) is to accelerate permanency in child welfare cases by addressing substance use by parents with enhanced court oversight. Treatment services for participants are made readily accessible and designed to promote safe and sustainable family reunification. These services are available to parents, as well as legal custodians or Indian custodians who are parties to a child welfare case filed in court.</w:t>
      </w:r>
    </w:p>
    <w:p w:rsidR="00FA3E26" w:rsidRDefault="00FA3E26" w:rsidP="00FA3E26">
      <w:pPr>
        <w:spacing w:before="120" w:after="240"/>
        <w:jc w:val="both"/>
        <w:rPr>
          <w:rFonts w:ascii="Arial" w:hAnsi="Arial" w:cs="Arial"/>
        </w:rPr>
      </w:pPr>
      <w:r>
        <w:rPr>
          <w:rFonts w:ascii="Arial" w:hAnsi="Arial" w:cs="Arial"/>
        </w:rPr>
        <w:t xml:space="preserve">In our experience, timely and effective services promote reunification. If participants are not successful – despite CTC participation – permanency decisions are accelerated. </w:t>
      </w:r>
    </w:p>
    <w:p w:rsidR="00FA3E26" w:rsidRDefault="00FA3E26" w:rsidP="00FA3E26">
      <w:pPr>
        <w:spacing w:before="120" w:after="240"/>
        <w:jc w:val="both"/>
        <w:rPr>
          <w:rFonts w:ascii="Arial" w:hAnsi="Arial" w:cs="Arial"/>
        </w:rPr>
      </w:pPr>
      <w:bookmarkStart w:id="0" w:name="_Toc369118583"/>
      <w:r>
        <w:rPr>
          <w:rFonts w:ascii="Arial" w:hAnsi="Arial" w:cs="Arial"/>
        </w:rPr>
        <w:t>In order to fulfill the mission of the court, the CTC has established the following primary goals:</w:t>
      </w:r>
      <w:bookmarkEnd w:id="0"/>
    </w:p>
    <w:p w:rsidR="00FA3E26" w:rsidRDefault="00FA3E26" w:rsidP="00FA3E26">
      <w:pPr>
        <w:pStyle w:val="ListParagraph"/>
        <w:numPr>
          <w:ilvl w:val="0"/>
          <w:numId w:val="1"/>
        </w:numPr>
        <w:spacing w:before="120" w:after="240"/>
        <w:jc w:val="both"/>
        <w:rPr>
          <w:rFonts w:ascii="Arial" w:hAnsi="Arial" w:cs="Arial"/>
        </w:rPr>
      </w:pPr>
      <w:r>
        <w:rPr>
          <w:rFonts w:ascii="Arial" w:hAnsi="Arial" w:cs="Arial"/>
        </w:rPr>
        <w:t>Identify adequate and appropriate drug and alcohol treatment for participants;</w:t>
      </w:r>
    </w:p>
    <w:p w:rsidR="00FA3E26" w:rsidRDefault="00FA3E26" w:rsidP="00FA3E26">
      <w:pPr>
        <w:pStyle w:val="ListParagraph"/>
        <w:numPr>
          <w:ilvl w:val="0"/>
          <w:numId w:val="1"/>
        </w:numPr>
        <w:spacing w:before="120" w:after="240"/>
        <w:jc w:val="both"/>
        <w:rPr>
          <w:rFonts w:ascii="Arial" w:hAnsi="Arial" w:cs="Arial"/>
        </w:rPr>
      </w:pPr>
      <w:r>
        <w:rPr>
          <w:rFonts w:ascii="Arial" w:hAnsi="Arial" w:cs="Arial"/>
        </w:rPr>
        <w:t>Hold participants accountable – while supporting recovery – in order to enhance success in the program;</w:t>
      </w:r>
    </w:p>
    <w:p w:rsidR="00FA3E26" w:rsidRDefault="00FA3E26" w:rsidP="00FA3E26">
      <w:pPr>
        <w:pStyle w:val="ListParagraph"/>
        <w:numPr>
          <w:ilvl w:val="0"/>
          <w:numId w:val="1"/>
        </w:numPr>
        <w:spacing w:before="120" w:after="240"/>
        <w:jc w:val="both"/>
        <w:rPr>
          <w:rFonts w:ascii="Arial" w:hAnsi="Arial" w:cs="Arial"/>
        </w:rPr>
      </w:pPr>
      <w:r>
        <w:rPr>
          <w:rFonts w:ascii="Arial" w:hAnsi="Arial" w:cs="Arial"/>
        </w:rPr>
        <w:t>Monitor the quality of recovery services and ensure providers adhere to best practices; and,</w:t>
      </w:r>
    </w:p>
    <w:p w:rsidR="00FA3E26" w:rsidRDefault="00FA3E26" w:rsidP="00FA3E26">
      <w:pPr>
        <w:pStyle w:val="ListParagraph"/>
        <w:numPr>
          <w:ilvl w:val="0"/>
          <w:numId w:val="1"/>
        </w:numPr>
        <w:spacing w:before="120" w:after="240"/>
        <w:jc w:val="both"/>
        <w:rPr>
          <w:rFonts w:ascii="Arial" w:hAnsi="Arial" w:cs="Arial"/>
        </w:rPr>
      </w:pPr>
      <w:r>
        <w:rPr>
          <w:rFonts w:ascii="Arial" w:hAnsi="Arial" w:cs="Arial"/>
        </w:rPr>
        <w:t>Ensure ongoing and efficient communication between the CTC and the parallel CINA proceeding.</w:t>
      </w:r>
    </w:p>
    <w:p w:rsidR="00FA3E26" w:rsidRDefault="00FA3E26" w:rsidP="00FA3E26">
      <w:pPr>
        <w:autoSpaceDE w:val="0"/>
        <w:autoSpaceDN w:val="0"/>
        <w:rPr>
          <w:rFonts w:ascii="Arial" w:hAnsi="Arial" w:cs="Arial"/>
        </w:rPr>
      </w:pPr>
      <w:r>
        <w:rPr>
          <w:rFonts w:ascii="Arial" w:hAnsi="Arial" w:cs="Arial"/>
        </w:rPr>
        <w:t>The Anchorage CINA Therapeutic Court operates in accordance with the following core components:</w:t>
      </w:r>
    </w:p>
    <w:p w:rsidR="00FA3E26" w:rsidRDefault="00FA3E26" w:rsidP="00FA3E26">
      <w:pPr>
        <w:autoSpaceDE w:val="0"/>
        <w:autoSpaceDN w:val="0"/>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The CTC coordinates alcohol and other drug treatment services with the provision of child welfare and court services to participants.</w:t>
      </w:r>
    </w:p>
    <w:p w:rsidR="00FA3E26" w:rsidRDefault="00FA3E26" w:rsidP="00FA3E26">
      <w:pPr>
        <w:pStyle w:val="ListParagraph"/>
        <w:autoSpaceDE w:val="0"/>
        <w:autoSpaceDN w:val="0"/>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Using a non-adversarial approach, the professionals working in the CTC promote recovery while protecting the due process rights of participants and respecting the confidentiality of their health and legal information.</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Eligible participants are identified early and promptly placed into the CTC. Participants are fully advised by counsel prior to a final commitment to the court and understand the risks and benefits of participation.</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The CTC provides access to a continuum of evidence-based alcohol, drug and other related treatment and rehabilitation services for individuals diagnosed with a substance use disorder.</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Abstinence is monitored by frequent alcohol and other drug testing.</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 xml:space="preserve">The CTC provides a coordinated response to participant compliance. Treatment plans for substance use disorder, rewards and incentives are designed to promote recovery and must be clear, individualized, culturally appropriate and the least restrictive necessary to ensure treatment engagement and success. </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The CTC Judge has ongoing interaction with each CTC participant.</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The CTC will undergo periodic evaluations to measure achievement of program goals and gauge effectiveness.</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Continuing interdisciplinary training promotes effective therapeutic court planning, implementation and operations.</w:t>
      </w:r>
    </w:p>
    <w:p w:rsidR="00FA3E26" w:rsidRDefault="00FA3E26" w:rsidP="00FA3E26">
      <w:pPr>
        <w:pStyle w:val="ListParagraph"/>
        <w:rPr>
          <w:rFonts w:ascii="Arial" w:hAnsi="Arial" w:cs="Arial"/>
        </w:rPr>
      </w:pPr>
    </w:p>
    <w:p w:rsidR="00FA3E26" w:rsidRDefault="00FA3E26" w:rsidP="00FA3E26">
      <w:pPr>
        <w:pStyle w:val="ListParagraph"/>
        <w:numPr>
          <w:ilvl w:val="0"/>
          <w:numId w:val="2"/>
        </w:numPr>
        <w:autoSpaceDE w:val="0"/>
        <w:autoSpaceDN w:val="0"/>
        <w:rPr>
          <w:rFonts w:ascii="Arial" w:hAnsi="Arial" w:cs="Arial"/>
        </w:rPr>
      </w:pPr>
      <w:r>
        <w:rPr>
          <w:rFonts w:ascii="Arial" w:hAnsi="Arial" w:cs="Arial"/>
        </w:rPr>
        <w:t xml:space="preserve">The CTC is enhanced by forging partnerships with other therapeutic courts, public agencies and community organizations to generate support for the CTC and its overall effectiveness. </w:t>
      </w:r>
    </w:p>
    <w:p w:rsidR="00FA3E26" w:rsidRDefault="00FA3E26" w:rsidP="00FA3E26">
      <w:pPr>
        <w:autoSpaceDE w:val="0"/>
        <w:autoSpaceDN w:val="0"/>
        <w:rPr>
          <w:rFonts w:ascii="Arial" w:hAnsi="Arial" w:cs="Arial"/>
        </w:rPr>
      </w:pPr>
    </w:p>
    <w:p w:rsidR="00FA3E26" w:rsidRDefault="00FA3E26" w:rsidP="00FA3E26">
      <w:pPr>
        <w:autoSpaceDE w:val="0"/>
        <w:autoSpaceDN w:val="0"/>
        <w:rPr>
          <w:rFonts w:ascii="Arial" w:hAnsi="Arial" w:cs="Arial"/>
        </w:rPr>
      </w:pPr>
      <w:r>
        <w:rPr>
          <w:rFonts w:ascii="Arial" w:hAnsi="Arial" w:cs="Arial"/>
        </w:rPr>
        <w:t>The project coordinator regularly reviews CINA (Child in Need of Aid) petitions to assist in the identification of potentially appropriate parents (substance use concerns must have been identified on the petition filed with the court).  Because participants in this court have a dedicated social worker, services for children and their families are provided as soon as possible after a family has been identified (96% of participants’ were admitted to the program in less than 60 days during the past year).  As of the end of calendar year 2019, the CTC’s work had impacted 32 parents and 57 children. There is an evaluation currently being conducted by an external evaluator (this is scheduled to be c</w:t>
      </w:r>
      <w:r w:rsidR="00675E74">
        <w:rPr>
          <w:rFonts w:ascii="Arial" w:hAnsi="Arial" w:cs="Arial"/>
        </w:rPr>
        <w:t>ompleted by the end of June 2020).</w:t>
      </w:r>
      <w:bookmarkStart w:id="1" w:name="_GoBack"/>
      <w:bookmarkEnd w:id="1"/>
    </w:p>
    <w:p w:rsidR="00FA3E26" w:rsidRDefault="00FA3E26" w:rsidP="00FA3E26">
      <w:pPr>
        <w:autoSpaceDE w:val="0"/>
        <w:autoSpaceDN w:val="0"/>
        <w:rPr>
          <w:rFonts w:ascii="Arial" w:hAnsi="Arial" w:cs="Arial"/>
        </w:rPr>
      </w:pPr>
    </w:p>
    <w:p w:rsidR="00FA3E26" w:rsidRDefault="00FA3E26" w:rsidP="00FA3E26">
      <w:pPr>
        <w:autoSpaceDE w:val="0"/>
        <w:autoSpaceDN w:val="0"/>
        <w:rPr>
          <w:rFonts w:ascii="Arial" w:hAnsi="Arial" w:cs="Arial"/>
        </w:rPr>
      </w:pPr>
      <w:r>
        <w:rPr>
          <w:rFonts w:ascii="Arial" w:hAnsi="Arial" w:cs="Arial"/>
        </w:rPr>
        <w:t>Types of services/assistance provided for families may include: rental assistance, access to funds to furnish a home, mental health and substance abuse treatment, transportation assistance.  We are seeing that trial home visits are taking place sooner than they generally are for families that would have been eligible but chose not to parti</w:t>
      </w:r>
      <w:r w:rsidR="00675E74">
        <w:rPr>
          <w:rFonts w:ascii="Arial" w:hAnsi="Arial" w:cs="Arial"/>
        </w:rPr>
        <w:t>cipate in the CTC.</w:t>
      </w:r>
      <w:r>
        <w:rPr>
          <w:rFonts w:ascii="Arial" w:hAnsi="Arial" w:cs="Arial"/>
        </w:rPr>
        <w:t xml:space="preserve"> </w:t>
      </w:r>
    </w:p>
    <w:p w:rsidR="00FA3E26" w:rsidRDefault="00FA3E26" w:rsidP="00FA3E26">
      <w:pPr>
        <w:autoSpaceDE w:val="0"/>
        <w:autoSpaceDN w:val="0"/>
        <w:rPr>
          <w:rFonts w:ascii="Arial" w:hAnsi="Arial" w:cs="Arial"/>
        </w:rPr>
      </w:pPr>
    </w:p>
    <w:p w:rsidR="00FA3E26" w:rsidRDefault="00FA3E26" w:rsidP="00FA3E26">
      <w:pPr>
        <w:autoSpaceDE w:val="0"/>
        <w:autoSpaceDN w:val="0"/>
        <w:rPr>
          <w:rFonts w:ascii="Arial" w:hAnsi="Arial" w:cs="Arial"/>
        </w:rPr>
      </w:pPr>
      <w:r>
        <w:rPr>
          <w:rFonts w:ascii="Arial" w:hAnsi="Arial" w:cs="Arial"/>
        </w:rPr>
        <w:t>The CTC has supported the kinds of changes necessary to support families at a time where they are particularly vulnerable.  These changes include education to improve medical and behavioral healthcare available for families, funding to ensure families’ access to medical and behavioral healthcare, and the creation of a court setting where there can be increased communication between practitioners involved with families seeking care and the court.</w:t>
      </w:r>
    </w:p>
    <w:p w:rsidR="006635A0" w:rsidRDefault="006635A0"/>
    <w:sectPr w:rsidR="00663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52102"/>
    <w:multiLevelType w:val="hybridMultilevel"/>
    <w:tmpl w:val="1DEE7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D2A16B5"/>
    <w:multiLevelType w:val="hybridMultilevel"/>
    <w:tmpl w:val="C9F07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26"/>
    <w:rsid w:val="006635A0"/>
    <w:rsid w:val="00675E74"/>
    <w:rsid w:val="00C8772B"/>
    <w:rsid w:val="00FA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E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E2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E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E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2020-02-02T22:29:00Z</dcterms:created>
  <dcterms:modified xsi:type="dcterms:W3CDTF">2020-02-03T02:07:00Z</dcterms:modified>
</cp:coreProperties>
</file>