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0D9" w:rsidRPr="00C65EB1" w:rsidRDefault="00677069" w:rsidP="004C0235">
      <w:pPr>
        <w:spacing w:after="0" w:line="240" w:lineRule="auto"/>
        <w:ind w:left="-72"/>
        <w:jc w:val="right"/>
        <w:rPr>
          <w:rFonts w:ascii="Minion Pro" w:hAnsi="Minion Pro"/>
          <w:b/>
          <w:color w:val="17365D" w:themeColor="text2" w:themeShade="BF"/>
          <w:sz w:val="32"/>
          <w:szCs w:val="32"/>
        </w:rPr>
      </w:pPr>
      <w:bookmarkStart w:id="0" w:name="_GoBack"/>
      <w:bookmarkEnd w:id="0"/>
      <w:r w:rsidRPr="00C65EB1">
        <w:rPr>
          <w:noProof/>
          <w:color w:val="17365D" w:themeColor="text2" w:themeShade="BF"/>
          <w:sz w:val="32"/>
          <w:szCs w:val="32"/>
        </w:rPr>
        <w:drawing>
          <wp:anchor distT="0" distB="0" distL="114300" distR="114300" simplePos="0" relativeHeight="251658240" behindDoc="0" locked="0" layoutInCell="1" allowOverlap="1">
            <wp:simplePos x="0" y="0"/>
            <wp:positionH relativeFrom="column">
              <wp:posOffset>-85725</wp:posOffset>
            </wp:positionH>
            <wp:positionV relativeFrom="paragraph">
              <wp:posOffset>59690</wp:posOffset>
            </wp:positionV>
            <wp:extent cx="3246120" cy="119634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8" cstate="print"/>
                    <a:stretch>
                      <a:fillRect/>
                    </a:stretch>
                  </pic:blipFill>
                  <pic:spPr bwMode="auto">
                    <a:xfrm>
                      <a:off x="0" y="0"/>
                      <a:ext cx="3246120" cy="1196340"/>
                    </a:xfrm>
                    <a:prstGeom prst="rect">
                      <a:avLst/>
                    </a:prstGeom>
                    <a:ln>
                      <a:noFill/>
                    </a:ln>
                    <a:extLst>
                      <a:ext uri="{53640926-AAD7-44D8-BBD7-CCE9431645EC}">
                        <a14:shadowObscured xmlns:a14="http://schemas.microsoft.com/office/drawing/2010/main"/>
                      </a:ext>
                    </a:extLst>
                  </pic:spPr>
                </pic:pic>
              </a:graphicData>
            </a:graphic>
          </wp:anchor>
        </w:drawing>
      </w:r>
      <w:r w:rsidRPr="00C65EB1">
        <w:rPr>
          <w:rFonts w:ascii="Minion Pro" w:hAnsi="Minion Pro"/>
          <w:b/>
          <w:color w:val="17365D" w:themeColor="text2" w:themeShade="BF"/>
          <w:sz w:val="32"/>
          <w:szCs w:val="32"/>
        </w:rPr>
        <w:t>Department of</w:t>
      </w:r>
    </w:p>
    <w:p w:rsidR="00677069" w:rsidRPr="00C65EB1" w:rsidRDefault="00277371" w:rsidP="007E56B0">
      <w:pPr>
        <w:spacing w:after="0" w:line="280" w:lineRule="exact"/>
        <w:ind w:left="-72"/>
        <w:jc w:val="right"/>
        <w:rPr>
          <w:rFonts w:ascii="Minion Pro" w:hAnsi="Minion Pro"/>
          <w:b/>
          <w:color w:val="17365D" w:themeColor="text2" w:themeShade="BF"/>
          <w:sz w:val="32"/>
          <w:szCs w:val="32"/>
        </w:rPr>
      </w:pPr>
      <w:r w:rsidRPr="00C65EB1">
        <w:rPr>
          <w:rFonts w:ascii="Minion Pro" w:hAnsi="Minion Pro"/>
          <w:b/>
          <w:color w:val="17365D" w:themeColor="text2" w:themeShade="BF"/>
          <w:sz w:val="32"/>
          <w:szCs w:val="32"/>
        </w:rPr>
        <w:t xml:space="preserve">Health </w:t>
      </w:r>
      <w:r w:rsidR="00677069" w:rsidRPr="00C65EB1">
        <w:rPr>
          <w:rFonts w:ascii="Minion Pro" w:hAnsi="Minion Pro"/>
          <w:b/>
          <w:color w:val="17365D" w:themeColor="text2" w:themeShade="BF"/>
          <w:sz w:val="32"/>
          <w:szCs w:val="32"/>
        </w:rPr>
        <w:t xml:space="preserve">and </w:t>
      </w:r>
      <w:r w:rsidRPr="00C65EB1">
        <w:rPr>
          <w:rFonts w:ascii="Minion Pro" w:hAnsi="Minion Pro"/>
          <w:b/>
          <w:color w:val="17365D" w:themeColor="text2" w:themeShade="BF"/>
          <w:sz w:val="32"/>
          <w:szCs w:val="32"/>
        </w:rPr>
        <w:t>Social Services</w:t>
      </w:r>
    </w:p>
    <w:p w:rsidR="00677069" w:rsidRPr="00C65EB1" w:rsidRDefault="00677069" w:rsidP="006B5787">
      <w:pPr>
        <w:spacing w:after="0" w:line="220" w:lineRule="exact"/>
        <w:ind w:left="-72"/>
        <w:jc w:val="right"/>
        <w:rPr>
          <w:color w:val="0F243E" w:themeColor="text2" w:themeShade="80"/>
        </w:rPr>
      </w:pPr>
    </w:p>
    <w:p w:rsidR="00A15CAE" w:rsidRPr="00C65EB1" w:rsidRDefault="00A15CAE" w:rsidP="007E56B0">
      <w:pPr>
        <w:spacing w:after="0" w:line="200" w:lineRule="exact"/>
        <w:ind w:left="-72"/>
        <w:jc w:val="right"/>
        <w:rPr>
          <w:rFonts w:ascii="Minion Pro" w:hAnsi="Minion Pro"/>
          <w:color w:val="0F243E" w:themeColor="text2" w:themeShade="80"/>
          <w:sz w:val="20"/>
          <w:szCs w:val="20"/>
        </w:rPr>
      </w:pPr>
    </w:p>
    <w:p w:rsidR="004C4935" w:rsidRDefault="00E63D7E" w:rsidP="0091412B">
      <w:pPr>
        <w:spacing w:after="0" w:line="220" w:lineRule="exact"/>
        <w:ind w:left="-72"/>
        <w:jc w:val="right"/>
        <w:rPr>
          <w:rFonts w:ascii="Minion Pro" w:hAnsi="Minion Pro"/>
          <w:color w:val="676C73"/>
          <w:sz w:val="20"/>
          <w:szCs w:val="20"/>
        </w:rPr>
      </w:pPr>
      <w:r>
        <w:rPr>
          <w:rFonts w:ascii="Minion Pro" w:hAnsi="Minion Pro"/>
          <w:color w:val="676C73"/>
          <w:sz w:val="20"/>
          <w:szCs w:val="20"/>
        </w:rPr>
        <w:tab/>
      </w:r>
      <w:r>
        <w:rPr>
          <w:rFonts w:ascii="Minion Pro" w:hAnsi="Minion Pro"/>
          <w:color w:val="676C73"/>
          <w:sz w:val="20"/>
          <w:szCs w:val="20"/>
        </w:rPr>
        <w:tab/>
      </w:r>
      <w:r>
        <w:rPr>
          <w:rFonts w:ascii="Minion Pro" w:hAnsi="Minion Pro"/>
          <w:color w:val="676C73"/>
          <w:sz w:val="20"/>
          <w:szCs w:val="20"/>
        </w:rPr>
        <w:tab/>
      </w:r>
      <w:r>
        <w:rPr>
          <w:rFonts w:ascii="Minion Pro" w:hAnsi="Minion Pro"/>
          <w:color w:val="676C73"/>
          <w:sz w:val="20"/>
          <w:szCs w:val="20"/>
        </w:rPr>
        <w:tab/>
      </w:r>
      <w:r>
        <w:rPr>
          <w:rFonts w:ascii="Minion Pro" w:hAnsi="Minion Pro"/>
          <w:color w:val="676C73"/>
          <w:sz w:val="20"/>
          <w:szCs w:val="20"/>
        </w:rPr>
        <w:tab/>
      </w:r>
    </w:p>
    <w:p w:rsidR="0091412B" w:rsidRDefault="0091412B" w:rsidP="0091412B">
      <w:pPr>
        <w:spacing w:after="0" w:line="220" w:lineRule="exact"/>
        <w:ind w:left="-72"/>
        <w:jc w:val="right"/>
        <w:rPr>
          <w:rFonts w:ascii="Minion Pro" w:hAnsi="Minion Pro"/>
          <w:color w:val="676C73"/>
          <w:sz w:val="20"/>
          <w:szCs w:val="20"/>
        </w:rPr>
      </w:pPr>
    </w:p>
    <w:p w:rsidR="0091412B" w:rsidRDefault="0091412B" w:rsidP="0091412B">
      <w:pPr>
        <w:spacing w:after="0" w:line="220" w:lineRule="exact"/>
        <w:ind w:left="-72"/>
        <w:jc w:val="right"/>
        <w:rPr>
          <w:rFonts w:ascii="Minion Pro" w:hAnsi="Minion Pro"/>
          <w:color w:val="676C73"/>
          <w:sz w:val="20"/>
          <w:szCs w:val="20"/>
        </w:rPr>
      </w:pPr>
    </w:p>
    <w:p w:rsidR="0091412B" w:rsidRDefault="0091412B" w:rsidP="0091412B">
      <w:pPr>
        <w:spacing w:after="0" w:line="220" w:lineRule="exact"/>
        <w:ind w:left="-72"/>
        <w:jc w:val="right"/>
        <w:rPr>
          <w:rFonts w:ascii="Minion Pro" w:hAnsi="Minion Pro"/>
          <w:color w:val="676C73"/>
          <w:sz w:val="20"/>
          <w:szCs w:val="20"/>
        </w:rPr>
      </w:pPr>
    </w:p>
    <w:p w:rsidR="0091412B" w:rsidRDefault="0091412B" w:rsidP="0091412B">
      <w:pPr>
        <w:spacing w:after="0" w:line="220" w:lineRule="exact"/>
        <w:ind w:left="-72"/>
        <w:jc w:val="right"/>
        <w:rPr>
          <w:rFonts w:ascii="Minion Pro" w:hAnsi="Minion Pro"/>
          <w:color w:val="676C73"/>
          <w:sz w:val="20"/>
          <w:szCs w:val="20"/>
        </w:rPr>
      </w:pPr>
    </w:p>
    <w:p w:rsidR="0091412B" w:rsidRDefault="0091412B" w:rsidP="0091412B">
      <w:pPr>
        <w:spacing w:after="0" w:line="220" w:lineRule="exact"/>
        <w:ind w:left="-72"/>
        <w:jc w:val="right"/>
        <w:rPr>
          <w:rFonts w:ascii="Minion Pro" w:hAnsi="Minion Pro"/>
          <w:color w:val="676C73"/>
          <w:sz w:val="20"/>
          <w:szCs w:val="20"/>
        </w:rPr>
      </w:pPr>
    </w:p>
    <w:p w:rsidR="0091412B" w:rsidRDefault="0091412B" w:rsidP="0091412B">
      <w:pPr>
        <w:spacing w:after="0" w:line="220" w:lineRule="exact"/>
        <w:ind w:left="-72"/>
        <w:jc w:val="center"/>
        <w:rPr>
          <w:rFonts w:ascii="Minion Pro" w:hAnsi="Minion Pro"/>
          <w:color w:val="676C73"/>
          <w:sz w:val="20"/>
          <w:szCs w:val="20"/>
        </w:rPr>
      </w:pPr>
    </w:p>
    <w:p w:rsidR="0091412B" w:rsidRPr="0091412B" w:rsidRDefault="006E4B63" w:rsidP="0091412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CSSB 78(FIN)</w:t>
      </w:r>
    </w:p>
    <w:p w:rsidR="0091412B" w:rsidRPr="0091412B" w:rsidRDefault="0091412B" w:rsidP="0091412B">
      <w:pPr>
        <w:spacing w:after="0" w:line="240" w:lineRule="auto"/>
        <w:jc w:val="center"/>
        <w:rPr>
          <w:rFonts w:ascii="Times New Roman" w:hAnsi="Times New Roman" w:cs="Times New Roman"/>
          <w:b/>
          <w:sz w:val="28"/>
          <w:szCs w:val="24"/>
        </w:rPr>
      </w:pPr>
    </w:p>
    <w:p w:rsidR="0091412B" w:rsidRPr="0091412B" w:rsidRDefault="0091412B" w:rsidP="0091412B">
      <w:pPr>
        <w:spacing w:after="0" w:line="240" w:lineRule="auto"/>
        <w:jc w:val="center"/>
        <w:rPr>
          <w:rFonts w:ascii="Times New Roman" w:hAnsi="Times New Roman" w:cs="Times New Roman"/>
          <w:b/>
          <w:sz w:val="28"/>
          <w:szCs w:val="24"/>
        </w:rPr>
      </w:pPr>
      <w:r w:rsidRPr="0091412B">
        <w:rPr>
          <w:rFonts w:ascii="Times New Roman" w:hAnsi="Times New Roman" w:cs="Times New Roman"/>
          <w:b/>
          <w:sz w:val="28"/>
          <w:szCs w:val="24"/>
        </w:rPr>
        <w:t>Sectional Analysis:</w:t>
      </w:r>
    </w:p>
    <w:p w:rsidR="006E4B63" w:rsidRDefault="006E4B63" w:rsidP="006E4B63">
      <w:pPr>
        <w:spacing w:after="0" w:line="240" w:lineRule="auto"/>
        <w:ind w:left="2160" w:hanging="2160"/>
        <w:jc w:val="both"/>
        <w:rPr>
          <w:rFonts w:ascii="Times New Roman" w:hAnsi="Times New Roman" w:cs="Times New Roman"/>
          <w:u w:val="single"/>
        </w:rPr>
      </w:pPr>
    </w:p>
    <w:p w:rsidR="006E4B63" w:rsidRPr="006E4B63" w:rsidRDefault="006E4B63" w:rsidP="006E4B63">
      <w:pPr>
        <w:spacing w:after="0" w:line="240" w:lineRule="auto"/>
        <w:ind w:left="1440" w:hanging="1440"/>
        <w:jc w:val="both"/>
        <w:rPr>
          <w:rFonts w:ascii="Times New Roman" w:hAnsi="Times New Roman" w:cs="Times New Roman"/>
          <w:sz w:val="24"/>
          <w:szCs w:val="24"/>
        </w:rPr>
      </w:pPr>
      <w:r w:rsidRPr="006E4B63">
        <w:rPr>
          <w:rFonts w:ascii="Times New Roman" w:hAnsi="Times New Roman" w:cs="Times New Roman"/>
          <w:sz w:val="24"/>
          <w:szCs w:val="24"/>
          <w:u w:val="single"/>
        </w:rPr>
        <w:t>Section 1</w:t>
      </w:r>
      <w:r w:rsidRPr="006E4B63">
        <w:rPr>
          <w:rFonts w:ascii="Times New Roman" w:hAnsi="Times New Roman" w:cs="Times New Roman"/>
          <w:sz w:val="24"/>
          <w:szCs w:val="24"/>
        </w:rPr>
        <w:t xml:space="preserve"> </w:t>
      </w:r>
      <w:r w:rsidRPr="006E4B63">
        <w:rPr>
          <w:rFonts w:ascii="Times New Roman" w:hAnsi="Times New Roman" w:cs="Times New Roman"/>
          <w:sz w:val="24"/>
          <w:szCs w:val="24"/>
        </w:rPr>
        <w:tab/>
        <w:t>Adopts intent language related to the need to redesign the state’s Medicaid program to provide financial sustainability, and sets out goals for redesign of the program.</w:t>
      </w:r>
    </w:p>
    <w:p w:rsidR="0091412B" w:rsidRPr="006E4B63" w:rsidRDefault="0091412B" w:rsidP="0091412B">
      <w:pPr>
        <w:spacing w:after="0" w:line="240" w:lineRule="auto"/>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 xml:space="preserve">Section </w:t>
      </w:r>
      <w:r w:rsidR="006E4B63">
        <w:rPr>
          <w:rFonts w:ascii="Times New Roman" w:hAnsi="Times New Roman" w:cs="Times New Roman"/>
          <w:sz w:val="24"/>
          <w:szCs w:val="24"/>
          <w:u w:val="single"/>
        </w:rPr>
        <w:t>2</w:t>
      </w:r>
      <w:r w:rsidRPr="0091412B">
        <w:rPr>
          <w:rFonts w:ascii="Times New Roman" w:hAnsi="Times New Roman" w:cs="Times New Roman"/>
          <w:sz w:val="24"/>
          <w:szCs w:val="24"/>
        </w:rPr>
        <w:tab/>
      </w:r>
      <w:r w:rsidR="008732AE">
        <w:rPr>
          <w:rFonts w:ascii="Times New Roman" w:hAnsi="Times New Roman" w:cs="Times New Roman"/>
          <w:sz w:val="24"/>
          <w:szCs w:val="24"/>
        </w:rPr>
        <w:t xml:space="preserve">Adopts AS </w:t>
      </w:r>
      <w:r w:rsidRPr="0091412B">
        <w:rPr>
          <w:rFonts w:ascii="Times New Roman" w:hAnsi="Times New Roman" w:cs="Times New Roman"/>
          <w:sz w:val="24"/>
          <w:szCs w:val="24"/>
        </w:rPr>
        <w:t>09.10.075</w:t>
      </w:r>
      <w:r w:rsidR="008732AE">
        <w:rPr>
          <w:rFonts w:ascii="Times New Roman" w:hAnsi="Times New Roman" w:cs="Times New Roman"/>
          <w:sz w:val="24"/>
          <w:szCs w:val="24"/>
        </w:rPr>
        <w:t>,</w:t>
      </w:r>
      <w:r w:rsidR="001419A6">
        <w:rPr>
          <w:rFonts w:ascii="Times New Roman" w:hAnsi="Times New Roman" w:cs="Times New Roman"/>
          <w:sz w:val="24"/>
          <w:szCs w:val="24"/>
        </w:rPr>
        <w:t xml:space="preserve"> </w:t>
      </w:r>
      <w:r w:rsidR="008732AE">
        <w:rPr>
          <w:rFonts w:ascii="Times New Roman" w:hAnsi="Times New Roman" w:cs="Times New Roman"/>
          <w:sz w:val="24"/>
          <w:szCs w:val="24"/>
        </w:rPr>
        <w:t xml:space="preserve">which </w:t>
      </w:r>
      <w:r w:rsidRPr="0091412B">
        <w:rPr>
          <w:rFonts w:ascii="Times New Roman" w:hAnsi="Times New Roman" w:cs="Times New Roman"/>
          <w:sz w:val="24"/>
          <w:szCs w:val="24"/>
        </w:rPr>
        <w:t>establishes time limits in which a person may or may not bring an action under new sections AS 09.58.010-09.58</w:t>
      </w:r>
      <w:r w:rsidR="002C29C2">
        <w:rPr>
          <w:rFonts w:ascii="Times New Roman" w:hAnsi="Times New Roman" w:cs="Times New Roman"/>
          <w:sz w:val="24"/>
          <w:szCs w:val="24"/>
        </w:rPr>
        <w:t>.</w:t>
      </w:r>
      <w:r w:rsidRPr="0091412B">
        <w:rPr>
          <w:rFonts w:ascii="Times New Roman" w:hAnsi="Times New Roman" w:cs="Times New Roman"/>
          <w:sz w:val="24"/>
          <w:szCs w:val="24"/>
        </w:rPr>
        <w:t xml:space="preserve">950, the Alaska Medicaid False Claims Act, and a statute of limitations. An action may be brought within </w:t>
      </w:r>
      <w:r w:rsidR="008732AE">
        <w:rPr>
          <w:rFonts w:ascii="Times New Roman" w:hAnsi="Times New Roman" w:cs="Times New Roman"/>
          <w:sz w:val="24"/>
          <w:szCs w:val="24"/>
        </w:rPr>
        <w:t xml:space="preserve">six </w:t>
      </w:r>
      <w:r w:rsidR="00C63A12">
        <w:rPr>
          <w:rFonts w:ascii="Times New Roman" w:hAnsi="Times New Roman" w:cs="Times New Roman"/>
          <w:sz w:val="24"/>
          <w:szCs w:val="24"/>
        </w:rPr>
        <w:t>years of when the act or omission was committed,</w:t>
      </w:r>
      <w:r w:rsidRPr="0091412B">
        <w:rPr>
          <w:rFonts w:ascii="Times New Roman" w:hAnsi="Times New Roman" w:cs="Times New Roman"/>
          <w:sz w:val="24"/>
          <w:szCs w:val="24"/>
        </w:rPr>
        <w:t xml:space="preserve"> or three years after the date when the act or omission </w:t>
      </w:r>
      <w:r w:rsidR="008732AE" w:rsidRPr="0091412B">
        <w:rPr>
          <w:rFonts w:ascii="Times New Roman" w:hAnsi="Times New Roman" w:cs="Times New Roman"/>
          <w:sz w:val="24"/>
          <w:szCs w:val="24"/>
        </w:rPr>
        <w:t>w</w:t>
      </w:r>
      <w:r w:rsidR="008732AE">
        <w:rPr>
          <w:rFonts w:ascii="Times New Roman" w:hAnsi="Times New Roman" w:cs="Times New Roman"/>
          <w:sz w:val="24"/>
          <w:szCs w:val="24"/>
        </w:rPr>
        <w:t xml:space="preserve">as </w:t>
      </w:r>
      <w:r w:rsidRPr="0091412B">
        <w:rPr>
          <w:rFonts w:ascii="Times New Roman" w:hAnsi="Times New Roman" w:cs="Times New Roman"/>
          <w:sz w:val="24"/>
          <w:szCs w:val="24"/>
        </w:rPr>
        <w:t xml:space="preserve">known or reasonably should have been known by the attorney general and department, but no action may be brought for a violation more than </w:t>
      </w:r>
      <w:r w:rsidR="008732AE">
        <w:rPr>
          <w:rFonts w:ascii="Times New Roman" w:hAnsi="Times New Roman" w:cs="Times New Roman"/>
          <w:sz w:val="24"/>
          <w:szCs w:val="24"/>
        </w:rPr>
        <w:t>ten</w:t>
      </w:r>
      <w:r w:rsidR="008732AE" w:rsidRPr="0091412B">
        <w:rPr>
          <w:rFonts w:ascii="Times New Roman" w:hAnsi="Times New Roman" w:cs="Times New Roman"/>
          <w:sz w:val="24"/>
          <w:szCs w:val="24"/>
        </w:rPr>
        <w:t xml:space="preserve"> </w:t>
      </w:r>
      <w:r w:rsidRPr="0091412B">
        <w:rPr>
          <w:rFonts w:ascii="Times New Roman" w:hAnsi="Times New Roman" w:cs="Times New Roman"/>
          <w:sz w:val="24"/>
          <w:szCs w:val="24"/>
        </w:rPr>
        <w:t xml:space="preserve">years after the date of violation. </w:t>
      </w:r>
    </w:p>
    <w:p w:rsidR="0091412B" w:rsidRPr="0091412B" w:rsidRDefault="0091412B" w:rsidP="0091412B">
      <w:pPr>
        <w:spacing w:after="0" w:line="240" w:lineRule="auto"/>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 xml:space="preserve">Section </w:t>
      </w:r>
      <w:r w:rsidR="006E4B63">
        <w:rPr>
          <w:rFonts w:ascii="Times New Roman" w:hAnsi="Times New Roman" w:cs="Times New Roman"/>
          <w:sz w:val="24"/>
          <w:szCs w:val="24"/>
          <w:u w:val="single"/>
        </w:rPr>
        <w:t>3</w:t>
      </w:r>
      <w:r w:rsidRPr="0091412B">
        <w:rPr>
          <w:rFonts w:ascii="Times New Roman" w:hAnsi="Times New Roman" w:cs="Times New Roman"/>
          <w:sz w:val="24"/>
          <w:szCs w:val="24"/>
        </w:rPr>
        <w:tab/>
      </w:r>
      <w:r w:rsidR="001419A6">
        <w:rPr>
          <w:rFonts w:ascii="Times New Roman" w:hAnsi="Times New Roman" w:cs="Times New Roman"/>
          <w:sz w:val="24"/>
          <w:szCs w:val="24"/>
        </w:rPr>
        <w:t xml:space="preserve">Amends </w:t>
      </w:r>
      <w:r w:rsidRPr="0091412B">
        <w:rPr>
          <w:rFonts w:ascii="Times New Roman" w:hAnsi="Times New Roman" w:cs="Times New Roman"/>
          <w:sz w:val="24"/>
          <w:szCs w:val="24"/>
        </w:rPr>
        <w:t>AS 09.</w:t>
      </w:r>
      <w:r w:rsidR="006E4B63">
        <w:rPr>
          <w:rFonts w:ascii="Times New Roman" w:hAnsi="Times New Roman" w:cs="Times New Roman"/>
          <w:sz w:val="24"/>
          <w:szCs w:val="24"/>
        </w:rPr>
        <w:t>1</w:t>
      </w:r>
      <w:r w:rsidRPr="0091412B">
        <w:rPr>
          <w:rFonts w:ascii="Times New Roman" w:hAnsi="Times New Roman" w:cs="Times New Roman"/>
          <w:sz w:val="24"/>
          <w:szCs w:val="24"/>
        </w:rPr>
        <w:t>0.120(a) to include reference to new subsection AS 09.10.075, creating an exception for Medicaid fraud action time limits.</w:t>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1419A6"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 xml:space="preserve">Section </w:t>
      </w:r>
      <w:r>
        <w:rPr>
          <w:rFonts w:ascii="Times New Roman" w:hAnsi="Times New Roman" w:cs="Times New Roman"/>
          <w:sz w:val="24"/>
          <w:szCs w:val="24"/>
          <w:u w:val="single"/>
        </w:rPr>
        <w:t>4</w:t>
      </w:r>
      <w:r w:rsidRPr="0091412B">
        <w:rPr>
          <w:rFonts w:ascii="Times New Roman" w:hAnsi="Times New Roman" w:cs="Times New Roman"/>
          <w:sz w:val="24"/>
          <w:szCs w:val="24"/>
        </w:rPr>
        <w:tab/>
      </w:r>
      <w:r>
        <w:rPr>
          <w:rFonts w:ascii="Times New Roman" w:hAnsi="Times New Roman" w:cs="Times New Roman"/>
          <w:sz w:val="24"/>
          <w:szCs w:val="24"/>
        </w:rPr>
        <w:t>Adopts AS 09.58, which</w:t>
      </w:r>
      <w:r w:rsidRPr="0091412B">
        <w:rPr>
          <w:rFonts w:ascii="Times New Roman" w:hAnsi="Times New Roman" w:cs="Times New Roman"/>
          <w:sz w:val="24"/>
          <w:szCs w:val="24"/>
        </w:rPr>
        <w:t xml:space="preserve"> establish</w:t>
      </w:r>
      <w:r>
        <w:rPr>
          <w:rFonts w:ascii="Times New Roman" w:hAnsi="Times New Roman" w:cs="Times New Roman"/>
          <w:sz w:val="24"/>
          <w:szCs w:val="24"/>
        </w:rPr>
        <w:t>es</w:t>
      </w:r>
      <w:r w:rsidRPr="0091412B">
        <w:rPr>
          <w:rFonts w:ascii="Times New Roman" w:hAnsi="Times New Roman" w:cs="Times New Roman"/>
          <w:sz w:val="24"/>
          <w:szCs w:val="24"/>
        </w:rPr>
        <w:t xml:space="preserve"> Alaska Medicaid False Claim and Reporting Act (AFMCA). </w:t>
      </w:r>
      <w:r w:rsidR="0091412B" w:rsidRPr="0091412B">
        <w:rPr>
          <w:rFonts w:ascii="Times New Roman" w:hAnsi="Times New Roman" w:cs="Times New Roman"/>
          <w:sz w:val="24"/>
          <w:szCs w:val="24"/>
        </w:rPr>
        <w:t xml:space="preserve">This section includes several subsections related to liability for certain acts and omissions, civil actions, rights of participants in such actions, awards allowed, actions that are not allowed, limits state liability, and outlines whistleblower protections. This section identifies the fraudulent or false acts that can be committed by a Medicaid provider, a corporation, partnership or individual, or recipient in effort to defraud the </w:t>
      </w:r>
      <w:r w:rsidR="008732AE">
        <w:rPr>
          <w:rFonts w:ascii="Times New Roman" w:hAnsi="Times New Roman" w:cs="Times New Roman"/>
          <w:sz w:val="24"/>
          <w:szCs w:val="24"/>
        </w:rPr>
        <w:t>S</w:t>
      </w:r>
      <w:r w:rsidR="008732AE" w:rsidRPr="0091412B">
        <w:rPr>
          <w:rFonts w:ascii="Times New Roman" w:hAnsi="Times New Roman" w:cs="Times New Roman"/>
          <w:sz w:val="24"/>
          <w:szCs w:val="24"/>
        </w:rPr>
        <w:t>tate</w:t>
      </w:r>
      <w:r w:rsidR="0091412B" w:rsidRPr="0091412B">
        <w:rPr>
          <w:rFonts w:ascii="Times New Roman" w:hAnsi="Times New Roman" w:cs="Times New Roman"/>
          <w:sz w:val="24"/>
          <w:szCs w:val="24"/>
        </w:rPr>
        <w:t xml:space="preserve">. This section also outlines provisions by which a </w:t>
      </w:r>
      <w:r w:rsidR="0091412B" w:rsidRPr="0091412B">
        <w:rPr>
          <w:rFonts w:ascii="Times New Roman" w:hAnsi="Times New Roman" w:cs="Times New Roman"/>
          <w:sz w:val="24"/>
          <w:szCs w:val="24"/>
        </w:rPr>
        <w:lastRenderedPageBreak/>
        <w:t>recipient or provider may reduce the amount of liability from actual damages.</w:t>
      </w: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rPr>
        <w:tab/>
      </w: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rPr>
        <w:tab/>
        <w:t xml:space="preserve">This section </w:t>
      </w:r>
      <w:r w:rsidR="008732AE">
        <w:rPr>
          <w:rFonts w:ascii="Times New Roman" w:hAnsi="Times New Roman" w:cs="Times New Roman"/>
          <w:sz w:val="24"/>
          <w:szCs w:val="24"/>
        </w:rPr>
        <w:t xml:space="preserve">also </w:t>
      </w:r>
      <w:r w:rsidRPr="0091412B">
        <w:rPr>
          <w:rFonts w:ascii="Times New Roman" w:hAnsi="Times New Roman" w:cs="Times New Roman"/>
          <w:sz w:val="24"/>
          <w:szCs w:val="24"/>
        </w:rPr>
        <w:t>allows a private citizen to pursue a false claim action in the superior court, outlines the provision by which they may file a suit or an extension of time in which to bring an action, and the responsibilities and time</w:t>
      </w:r>
      <w:r w:rsidR="008732AE">
        <w:rPr>
          <w:rFonts w:ascii="Times New Roman" w:hAnsi="Times New Roman" w:cs="Times New Roman"/>
          <w:sz w:val="24"/>
          <w:szCs w:val="24"/>
        </w:rPr>
        <w:t>-</w:t>
      </w:r>
      <w:r w:rsidRPr="0091412B">
        <w:rPr>
          <w:rFonts w:ascii="Times New Roman" w:hAnsi="Times New Roman" w:cs="Times New Roman"/>
          <w:sz w:val="24"/>
          <w:szCs w:val="24"/>
        </w:rPr>
        <w:t>line in which the attorney general must investigate and respond to the claim. This section also identifies the options available to private persons, should the attorney general dismiss the case due to lack of evidence, including pursuing the suit of their own accord. Throughout the process, this section states that the attorney general holds the rights to intervene, settle, dismiss the case, request investigation assistance from the department and bring civil action in superior court.</w:t>
      </w:r>
    </w:p>
    <w:p w:rsidR="0091412B" w:rsidRPr="0091412B" w:rsidRDefault="0091412B" w:rsidP="0091412B">
      <w:pPr>
        <w:spacing w:after="0" w:line="240" w:lineRule="auto"/>
        <w:ind w:left="720"/>
        <w:rPr>
          <w:rFonts w:ascii="Times New Roman" w:hAnsi="Times New Roman" w:cs="Times New Roman"/>
          <w:sz w:val="24"/>
          <w:szCs w:val="24"/>
        </w:rPr>
      </w:pPr>
    </w:p>
    <w:p w:rsidR="0091412B" w:rsidRPr="0091412B" w:rsidRDefault="0091412B" w:rsidP="0091412B">
      <w:pPr>
        <w:spacing w:after="0" w:line="240" w:lineRule="auto"/>
        <w:ind w:left="1440"/>
        <w:rPr>
          <w:rFonts w:ascii="Times New Roman" w:hAnsi="Times New Roman" w:cs="Times New Roman"/>
          <w:sz w:val="24"/>
          <w:szCs w:val="24"/>
        </w:rPr>
      </w:pPr>
      <w:r w:rsidRPr="0091412B">
        <w:rPr>
          <w:rFonts w:ascii="Times New Roman" w:hAnsi="Times New Roman" w:cs="Times New Roman"/>
          <w:sz w:val="24"/>
          <w:szCs w:val="24"/>
        </w:rPr>
        <w:t xml:space="preserve">This section </w:t>
      </w:r>
      <w:r w:rsidR="008732AE">
        <w:rPr>
          <w:rFonts w:ascii="Times New Roman" w:hAnsi="Times New Roman" w:cs="Times New Roman"/>
          <w:sz w:val="24"/>
          <w:szCs w:val="24"/>
        </w:rPr>
        <w:t xml:space="preserve">further </w:t>
      </w:r>
      <w:r w:rsidRPr="0091412B">
        <w:rPr>
          <w:rFonts w:ascii="Times New Roman" w:hAnsi="Times New Roman" w:cs="Times New Roman"/>
          <w:sz w:val="24"/>
          <w:szCs w:val="24"/>
        </w:rPr>
        <w:t>allows the attorney general to issue subpoenas to compel records in connection with an investigation, and outlines the courts’ authority to issue an order to comply and punishments if the Medicaid provider or recipient</w:t>
      </w:r>
      <w:r w:rsidR="008732AE">
        <w:rPr>
          <w:rFonts w:ascii="Times New Roman" w:hAnsi="Times New Roman" w:cs="Times New Roman"/>
          <w:sz w:val="24"/>
          <w:szCs w:val="24"/>
        </w:rPr>
        <w:t>(</w:t>
      </w:r>
      <w:r w:rsidRPr="0091412B">
        <w:rPr>
          <w:rFonts w:ascii="Times New Roman" w:hAnsi="Times New Roman" w:cs="Times New Roman"/>
          <w:sz w:val="24"/>
          <w:szCs w:val="24"/>
        </w:rPr>
        <w:t>s</w:t>
      </w:r>
      <w:r w:rsidR="008732AE">
        <w:rPr>
          <w:rFonts w:ascii="Times New Roman" w:hAnsi="Times New Roman" w:cs="Times New Roman"/>
          <w:sz w:val="24"/>
          <w:szCs w:val="24"/>
        </w:rPr>
        <w:t>)</w:t>
      </w:r>
      <w:r w:rsidRPr="0091412B">
        <w:rPr>
          <w:rFonts w:ascii="Times New Roman" w:hAnsi="Times New Roman" w:cs="Times New Roman"/>
          <w:sz w:val="24"/>
          <w:szCs w:val="24"/>
        </w:rPr>
        <w:t xml:space="preserve"> fail or refuse to comply with the courts order. Further, by this section the attorney general may elect to interview and file or amend a new complaint based on conduct, transactions or acts set out in the complaint. </w:t>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91412B" w:rsidP="006E4B63">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rPr>
        <w:tab/>
        <w:t xml:space="preserve">Further, this section provides protections for the private person acting as </w:t>
      </w:r>
      <w:r w:rsidR="008732AE">
        <w:rPr>
          <w:rFonts w:ascii="Times New Roman" w:hAnsi="Times New Roman" w:cs="Times New Roman"/>
          <w:sz w:val="24"/>
          <w:szCs w:val="24"/>
        </w:rPr>
        <w:t xml:space="preserve">a </w:t>
      </w:r>
      <w:r w:rsidRPr="0091412B">
        <w:rPr>
          <w:rFonts w:ascii="Times New Roman" w:hAnsi="Times New Roman" w:cs="Times New Roman"/>
          <w:sz w:val="24"/>
          <w:szCs w:val="24"/>
        </w:rPr>
        <w:t xml:space="preserve">whistleblower and limit the liability of the state and outlines time limits for bringing action. </w:t>
      </w:r>
      <w:r w:rsidRPr="0091412B">
        <w:rPr>
          <w:rFonts w:ascii="Times New Roman" w:hAnsi="Times New Roman" w:cs="Times New Roman"/>
          <w:sz w:val="24"/>
          <w:szCs w:val="24"/>
        </w:rPr>
        <w:tab/>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rPr>
        <w:tab/>
        <w:t xml:space="preserve">Finally, this section includes department regulatory authority, identifies the limits of punitive damages, and provides definitions related to this section. </w:t>
      </w:r>
    </w:p>
    <w:p w:rsidR="0091412B" w:rsidRPr="0091412B" w:rsidRDefault="0091412B" w:rsidP="0091412B">
      <w:pPr>
        <w:spacing w:after="0" w:line="240" w:lineRule="auto"/>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Section 5</w:t>
      </w:r>
      <w:r w:rsidRPr="0091412B">
        <w:rPr>
          <w:rFonts w:ascii="Times New Roman" w:hAnsi="Times New Roman" w:cs="Times New Roman"/>
          <w:sz w:val="24"/>
          <w:szCs w:val="24"/>
        </w:rPr>
        <w:tab/>
      </w:r>
      <w:r w:rsidR="008732AE">
        <w:rPr>
          <w:rFonts w:ascii="Times New Roman" w:hAnsi="Times New Roman" w:cs="Times New Roman"/>
          <w:sz w:val="24"/>
          <w:szCs w:val="24"/>
        </w:rPr>
        <w:t xml:space="preserve">Amends </w:t>
      </w:r>
      <w:r w:rsidRPr="0091412B">
        <w:rPr>
          <w:rFonts w:ascii="Times New Roman" w:hAnsi="Times New Roman" w:cs="Times New Roman"/>
          <w:sz w:val="24"/>
          <w:szCs w:val="24"/>
        </w:rPr>
        <w:t xml:space="preserve">AS 37.05.146(c) to include a new paragraph (88) adding monetary recoveries from the Alaska Medicaid False Claims Act to the program and non-general fund program receipts definitions. </w:t>
      </w:r>
    </w:p>
    <w:p w:rsidR="0091412B" w:rsidRPr="0091412B" w:rsidRDefault="0091412B" w:rsidP="0091412B">
      <w:pPr>
        <w:spacing w:after="0" w:line="240" w:lineRule="auto"/>
        <w:ind w:left="1440" w:hanging="1440"/>
        <w:rPr>
          <w:rFonts w:ascii="Times New Roman" w:hAnsi="Times New Roman" w:cs="Times New Roman"/>
          <w:sz w:val="24"/>
          <w:szCs w:val="24"/>
          <w:u w:val="single"/>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Section 6</w:t>
      </w:r>
      <w:r w:rsidRPr="0091412B">
        <w:rPr>
          <w:rFonts w:ascii="Times New Roman" w:hAnsi="Times New Roman" w:cs="Times New Roman"/>
          <w:sz w:val="24"/>
          <w:szCs w:val="24"/>
        </w:rPr>
        <w:tab/>
        <w:t>Amends AS 40.25.120, a conforming amendment to include new AS.09.58.010 to existing public records statutes.</w:t>
      </w:r>
    </w:p>
    <w:p w:rsidR="006E4B63" w:rsidRDefault="006E4B63" w:rsidP="006E4B63">
      <w:pPr>
        <w:spacing w:after="0" w:line="240" w:lineRule="auto"/>
        <w:ind w:left="1440" w:hanging="1440"/>
        <w:jc w:val="both"/>
        <w:rPr>
          <w:rFonts w:ascii="Times New Roman" w:hAnsi="Times New Roman" w:cs="Times New Roman"/>
          <w:sz w:val="24"/>
          <w:szCs w:val="24"/>
          <w:u w:val="single"/>
        </w:rPr>
      </w:pPr>
    </w:p>
    <w:p w:rsidR="006E4B63" w:rsidRPr="006E4B63" w:rsidRDefault="006E4B63" w:rsidP="006E4B63">
      <w:pPr>
        <w:spacing w:after="0" w:line="240" w:lineRule="auto"/>
        <w:ind w:left="1440" w:hanging="1440"/>
        <w:jc w:val="both"/>
        <w:rPr>
          <w:rFonts w:ascii="Times New Roman" w:hAnsi="Times New Roman" w:cs="Times New Roman"/>
          <w:sz w:val="24"/>
          <w:szCs w:val="24"/>
        </w:rPr>
      </w:pPr>
      <w:r w:rsidRPr="006E4B63">
        <w:rPr>
          <w:rFonts w:ascii="Times New Roman" w:hAnsi="Times New Roman" w:cs="Times New Roman"/>
          <w:sz w:val="24"/>
          <w:szCs w:val="24"/>
          <w:u w:val="single"/>
        </w:rPr>
        <w:t>Section 7</w:t>
      </w:r>
      <w:r w:rsidRPr="006E4B63">
        <w:rPr>
          <w:rFonts w:ascii="Times New Roman" w:hAnsi="Times New Roman" w:cs="Times New Roman"/>
          <w:sz w:val="24"/>
          <w:szCs w:val="24"/>
        </w:rPr>
        <w:t xml:space="preserve"> </w:t>
      </w:r>
      <w:r w:rsidRPr="006E4B63">
        <w:rPr>
          <w:rFonts w:ascii="Times New Roman" w:hAnsi="Times New Roman" w:cs="Times New Roman"/>
          <w:sz w:val="24"/>
          <w:szCs w:val="24"/>
        </w:rPr>
        <w:tab/>
        <w:t>Amends AS 47.05.010 to include a requirement that DHSS develop a health care delivery model that encourages wellness and disease prevention.</w:t>
      </w:r>
    </w:p>
    <w:p w:rsidR="006E4B63" w:rsidRPr="006E4B63" w:rsidRDefault="006E4B63" w:rsidP="006E4B63">
      <w:pPr>
        <w:spacing w:after="0" w:line="240" w:lineRule="auto"/>
        <w:ind w:left="1440" w:hanging="1440"/>
        <w:jc w:val="both"/>
        <w:rPr>
          <w:rFonts w:ascii="Times New Roman" w:hAnsi="Times New Roman" w:cs="Times New Roman"/>
          <w:sz w:val="24"/>
          <w:szCs w:val="24"/>
          <w:u w:val="single"/>
        </w:rPr>
      </w:pPr>
      <w:r w:rsidRPr="006E4B63">
        <w:rPr>
          <w:rFonts w:ascii="Times New Roman" w:hAnsi="Times New Roman" w:cs="Times New Roman"/>
          <w:sz w:val="24"/>
          <w:szCs w:val="24"/>
        </w:rPr>
        <w:tab/>
      </w: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lastRenderedPageBreak/>
        <w:t xml:space="preserve">Section </w:t>
      </w:r>
      <w:r w:rsidR="006E4B63">
        <w:rPr>
          <w:rFonts w:ascii="Times New Roman" w:hAnsi="Times New Roman" w:cs="Times New Roman"/>
          <w:sz w:val="24"/>
          <w:szCs w:val="24"/>
          <w:u w:val="single"/>
        </w:rPr>
        <w:t>8</w:t>
      </w:r>
      <w:r w:rsidRPr="0091412B">
        <w:rPr>
          <w:rFonts w:ascii="Times New Roman" w:hAnsi="Times New Roman" w:cs="Times New Roman"/>
          <w:sz w:val="24"/>
          <w:szCs w:val="24"/>
        </w:rPr>
        <w:tab/>
        <w:t>Amends AS 47.05.200, Medicaid Audits statute</w:t>
      </w:r>
      <w:r w:rsidR="001419A6" w:rsidRPr="0091412B">
        <w:rPr>
          <w:rFonts w:ascii="Times New Roman" w:hAnsi="Times New Roman" w:cs="Times New Roman"/>
          <w:sz w:val="24"/>
          <w:szCs w:val="24"/>
        </w:rPr>
        <w:t>, changes</w:t>
      </w:r>
      <w:r w:rsidRPr="0091412B">
        <w:rPr>
          <w:rFonts w:ascii="Times New Roman" w:hAnsi="Times New Roman" w:cs="Times New Roman"/>
          <w:sz w:val="24"/>
          <w:szCs w:val="24"/>
        </w:rPr>
        <w:t xml:space="preserve"> the number of </w:t>
      </w:r>
      <w:r w:rsidR="008732AE">
        <w:rPr>
          <w:rFonts w:ascii="Times New Roman" w:hAnsi="Times New Roman" w:cs="Times New Roman"/>
          <w:sz w:val="24"/>
          <w:szCs w:val="24"/>
        </w:rPr>
        <w:t xml:space="preserve">program audits </w:t>
      </w:r>
      <w:r w:rsidR="008732AE" w:rsidRPr="0091412B">
        <w:rPr>
          <w:rFonts w:ascii="Times New Roman" w:hAnsi="Times New Roman" w:cs="Times New Roman"/>
          <w:sz w:val="24"/>
          <w:szCs w:val="24"/>
        </w:rPr>
        <w:t xml:space="preserve"> </w:t>
      </w:r>
      <w:r w:rsidRPr="0091412B">
        <w:rPr>
          <w:rFonts w:ascii="Times New Roman" w:hAnsi="Times New Roman" w:cs="Times New Roman"/>
          <w:sz w:val="24"/>
          <w:szCs w:val="24"/>
        </w:rPr>
        <w:t xml:space="preserve">to no less than </w:t>
      </w:r>
      <w:r w:rsidR="008732AE">
        <w:rPr>
          <w:rFonts w:ascii="Times New Roman" w:hAnsi="Times New Roman" w:cs="Times New Roman"/>
          <w:sz w:val="24"/>
          <w:szCs w:val="24"/>
        </w:rPr>
        <w:t>fifty</w:t>
      </w:r>
      <w:r w:rsidR="008732AE" w:rsidRPr="0091412B">
        <w:rPr>
          <w:rFonts w:ascii="Times New Roman" w:hAnsi="Times New Roman" w:cs="Times New Roman"/>
          <w:sz w:val="24"/>
          <w:szCs w:val="24"/>
        </w:rPr>
        <w:t xml:space="preserve"> </w:t>
      </w:r>
      <w:r w:rsidRPr="0091412B">
        <w:rPr>
          <w:rFonts w:ascii="Times New Roman" w:hAnsi="Times New Roman" w:cs="Times New Roman"/>
          <w:sz w:val="24"/>
          <w:szCs w:val="24"/>
        </w:rPr>
        <w:t xml:space="preserve">per year and adding that the state shall attempt to minimize concurrent state or federal audits. </w:t>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 xml:space="preserve">Section </w:t>
      </w:r>
      <w:r w:rsidR="006E4B63">
        <w:rPr>
          <w:rFonts w:ascii="Times New Roman" w:hAnsi="Times New Roman" w:cs="Times New Roman"/>
          <w:sz w:val="24"/>
          <w:szCs w:val="24"/>
          <w:u w:val="single"/>
        </w:rPr>
        <w:t>9</w:t>
      </w:r>
      <w:r w:rsidRPr="0091412B">
        <w:rPr>
          <w:rFonts w:ascii="Times New Roman" w:hAnsi="Times New Roman" w:cs="Times New Roman"/>
          <w:sz w:val="24"/>
          <w:szCs w:val="24"/>
        </w:rPr>
        <w:tab/>
      </w:r>
      <w:r w:rsidR="008732AE">
        <w:rPr>
          <w:rFonts w:ascii="Times New Roman" w:hAnsi="Times New Roman" w:cs="Times New Roman"/>
          <w:sz w:val="24"/>
          <w:szCs w:val="24"/>
        </w:rPr>
        <w:t>Adopts</w:t>
      </w:r>
      <w:r w:rsidRPr="0091412B">
        <w:rPr>
          <w:rFonts w:ascii="Times New Roman" w:hAnsi="Times New Roman" w:cs="Times New Roman"/>
          <w:sz w:val="24"/>
          <w:szCs w:val="24"/>
        </w:rPr>
        <w:t xml:space="preserve"> AS 47.05.200 that the Department may assess interest and penalties on overpayments, calculating interest using existing statutory rates. </w:t>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 xml:space="preserve">Section </w:t>
      </w:r>
      <w:r w:rsidR="006E4B63">
        <w:rPr>
          <w:rFonts w:ascii="Times New Roman" w:hAnsi="Times New Roman" w:cs="Times New Roman"/>
          <w:sz w:val="24"/>
          <w:szCs w:val="24"/>
          <w:u w:val="single"/>
        </w:rPr>
        <w:t>10</w:t>
      </w:r>
      <w:r w:rsidRPr="0091412B">
        <w:rPr>
          <w:rFonts w:ascii="Times New Roman" w:hAnsi="Times New Roman" w:cs="Times New Roman"/>
          <w:sz w:val="24"/>
          <w:szCs w:val="24"/>
        </w:rPr>
        <w:tab/>
      </w:r>
      <w:r w:rsidR="008732AE">
        <w:rPr>
          <w:rFonts w:ascii="Times New Roman" w:hAnsi="Times New Roman" w:cs="Times New Roman"/>
          <w:sz w:val="24"/>
          <w:szCs w:val="24"/>
        </w:rPr>
        <w:t xml:space="preserve">Adopts </w:t>
      </w:r>
      <w:r w:rsidRPr="0091412B">
        <w:rPr>
          <w:rFonts w:ascii="Times New Roman" w:hAnsi="Times New Roman" w:cs="Times New Roman"/>
          <w:sz w:val="24"/>
          <w:szCs w:val="24"/>
        </w:rPr>
        <w:t xml:space="preserve"> AS 47.05.235</w:t>
      </w:r>
      <w:r w:rsidR="008732AE">
        <w:rPr>
          <w:rFonts w:ascii="Times New Roman" w:hAnsi="Times New Roman" w:cs="Times New Roman"/>
          <w:sz w:val="24"/>
          <w:szCs w:val="24"/>
        </w:rPr>
        <w:t xml:space="preserve">, which </w:t>
      </w:r>
      <w:r w:rsidRPr="0091412B">
        <w:rPr>
          <w:rFonts w:ascii="Times New Roman" w:hAnsi="Times New Roman" w:cs="Times New Roman"/>
          <w:sz w:val="24"/>
          <w:szCs w:val="24"/>
        </w:rPr>
        <w:t xml:space="preserve"> applies the duty of enrolled Medicaid providers to conduct one annual </w:t>
      </w:r>
      <w:r w:rsidR="002C29C2">
        <w:rPr>
          <w:rFonts w:ascii="Times New Roman" w:hAnsi="Times New Roman" w:cs="Times New Roman"/>
          <w:sz w:val="24"/>
          <w:szCs w:val="24"/>
        </w:rPr>
        <w:t>review</w:t>
      </w:r>
      <w:r w:rsidRPr="0091412B">
        <w:rPr>
          <w:rFonts w:ascii="Times New Roman" w:hAnsi="Times New Roman" w:cs="Times New Roman"/>
          <w:sz w:val="24"/>
          <w:szCs w:val="24"/>
        </w:rPr>
        <w:t>, identify overpayment and report findings to the department within</w:t>
      </w:r>
      <w:r w:rsidR="008732AE">
        <w:rPr>
          <w:rFonts w:ascii="Times New Roman" w:hAnsi="Times New Roman" w:cs="Times New Roman"/>
          <w:sz w:val="24"/>
          <w:szCs w:val="24"/>
        </w:rPr>
        <w:t xml:space="preserve"> ten </w:t>
      </w:r>
      <w:r w:rsidRPr="0091412B">
        <w:rPr>
          <w:rFonts w:ascii="Times New Roman" w:hAnsi="Times New Roman" w:cs="Times New Roman"/>
          <w:sz w:val="24"/>
          <w:szCs w:val="24"/>
        </w:rPr>
        <w:t xml:space="preserve"> business days, and create a repayment agreement with the state.</w:t>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Section 1</w:t>
      </w:r>
      <w:r w:rsidR="006E4B63">
        <w:rPr>
          <w:rFonts w:ascii="Times New Roman" w:hAnsi="Times New Roman" w:cs="Times New Roman"/>
          <w:sz w:val="24"/>
          <w:szCs w:val="24"/>
          <w:u w:val="single"/>
        </w:rPr>
        <w:t>1</w:t>
      </w:r>
      <w:r w:rsidRPr="0091412B">
        <w:rPr>
          <w:rFonts w:ascii="Times New Roman" w:hAnsi="Times New Roman" w:cs="Times New Roman"/>
          <w:sz w:val="24"/>
          <w:szCs w:val="24"/>
        </w:rPr>
        <w:tab/>
      </w:r>
      <w:r w:rsidR="008732AE">
        <w:rPr>
          <w:rFonts w:ascii="Times New Roman" w:hAnsi="Times New Roman" w:cs="Times New Roman"/>
          <w:sz w:val="24"/>
          <w:szCs w:val="24"/>
        </w:rPr>
        <w:t xml:space="preserve">Adopts </w:t>
      </w:r>
      <w:r w:rsidRPr="0091412B">
        <w:rPr>
          <w:rFonts w:ascii="Times New Roman" w:hAnsi="Times New Roman" w:cs="Times New Roman"/>
          <w:sz w:val="24"/>
          <w:szCs w:val="24"/>
        </w:rPr>
        <w:t>AS 47.05</w:t>
      </w:r>
      <w:r w:rsidR="008732AE">
        <w:rPr>
          <w:rFonts w:ascii="Times New Roman" w:hAnsi="Times New Roman" w:cs="Times New Roman"/>
          <w:sz w:val="24"/>
          <w:szCs w:val="24"/>
        </w:rPr>
        <w:t>.2</w:t>
      </w:r>
      <w:r w:rsidR="00C7517F">
        <w:rPr>
          <w:rFonts w:ascii="Times New Roman" w:hAnsi="Times New Roman" w:cs="Times New Roman"/>
          <w:sz w:val="24"/>
          <w:szCs w:val="24"/>
        </w:rPr>
        <w:t>5</w:t>
      </w:r>
      <w:r w:rsidR="008732AE">
        <w:rPr>
          <w:rFonts w:ascii="Times New Roman" w:hAnsi="Times New Roman" w:cs="Times New Roman"/>
          <w:sz w:val="24"/>
          <w:szCs w:val="24"/>
        </w:rPr>
        <w:t>0</w:t>
      </w:r>
      <w:r w:rsidR="001419A6">
        <w:rPr>
          <w:rFonts w:ascii="Times New Roman" w:hAnsi="Times New Roman" w:cs="Times New Roman"/>
          <w:sz w:val="24"/>
          <w:szCs w:val="24"/>
        </w:rPr>
        <w:t>,</w:t>
      </w:r>
      <w:r w:rsidR="008732AE">
        <w:rPr>
          <w:rFonts w:ascii="Times New Roman" w:hAnsi="Times New Roman" w:cs="Times New Roman"/>
          <w:sz w:val="24"/>
          <w:szCs w:val="24"/>
        </w:rPr>
        <w:t xml:space="preserve"> which authorizes the </w:t>
      </w:r>
      <w:r w:rsidR="001419A6">
        <w:rPr>
          <w:rFonts w:ascii="Times New Roman" w:hAnsi="Times New Roman" w:cs="Times New Roman"/>
          <w:sz w:val="24"/>
          <w:szCs w:val="24"/>
        </w:rPr>
        <w:t xml:space="preserve">department </w:t>
      </w:r>
      <w:r w:rsidRPr="0091412B">
        <w:rPr>
          <w:rFonts w:ascii="Times New Roman" w:hAnsi="Times New Roman" w:cs="Times New Roman"/>
          <w:sz w:val="24"/>
          <w:szCs w:val="24"/>
        </w:rPr>
        <w:t xml:space="preserve">to develop regulations to impose civil fines and sets limits on the amount of the fines. </w:t>
      </w:r>
    </w:p>
    <w:p w:rsidR="0091412B" w:rsidRPr="0091412B" w:rsidRDefault="0091412B" w:rsidP="0091412B">
      <w:pPr>
        <w:spacing w:after="0" w:line="240" w:lineRule="auto"/>
        <w:ind w:left="1440" w:hanging="1440"/>
        <w:rPr>
          <w:rFonts w:ascii="Times New Roman" w:hAnsi="Times New Roman" w:cs="Times New Roman"/>
          <w:sz w:val="24"/>
          <w:szCs w:val="24"/>
        </w:rPr>
      </w:pPr>
    </w:p>
    <w:p w:rsidR="001419A6"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rPr>
        <w:tab/>
      </w:r>
      <w:r w:rsidR="008732AE">
        <w:rPr>
          <w:rFonts w:ascii="Times New Roman" w:hAnsi="Times New Roman" w:cs="Times New Roman"/>
          <w:sz w:val="24"/>
          <w:szCs w:val="24"/>
        </w:rPr>
        <w:t xml:space="preserve">Adopts </w:t>
      </w:r>
      <w:r w:rsidRPr="0091412B">
        <w:rPr>
          <w:rFonts w:ascii="Times New Roman" w:hAnsi="Times New Roman" w:cs="Times New Roman"/>
          <w:sz w:val="24"/>
          <w:szCs w:val="24"/>
        </w:rPr>
        <w:t xml:space="preserve">AS 47.05.260, </w:t>
      </w:r>
      <w:r w:rsidR="001419A6">
        <w:rPr>
          <w:rFonts w:ascii="Times New Roman" w:hAnsi="Times New Roman" w:cs="Times New Roman"/>
          <w:sz w:val="24"/>
          <w:szCs w:val="24"/>
        </w:rPr>
        <w:t xml:space="preserve">which </w:t>
      </w:r>
      <w:r w:rsidR="008732AE">
        <w:rPr>
          <w:rFonts w:ascii="Times New Roman" w:hAnsi="Times New Roman" w:cs="Times New Roman"/>
          <w:sz w:val="24"/>
          <w:szCs w:val="24"/>
        </w:rPr>
        <w:t>authoriz</w:t>
      </w:r>
      <w:r w:rsidR="001419A6">
        <w:rPr>
          <w:rFonts w:ascii="Times New Roman" w:hAnsi="Times New Roman" w:cs="Times New Roman"/>
          <w:sz w:val="24"/>
          <w:szCs w:val="24"/>
        </w:rPr>
        <w:t>es</w:t>
      </w:r>
      <w:r w:rsidR="008732AE">
        <w:rPr>
          <w:rFonts w:ascii="Times New Roman" w:hAnsi="Times New Roman" w:cs="Times New Roman"/>
          <w:sz w:val="24"/>
          <w:szCs w:val="24"/>
        </w:rPr>
        <w:t xml:space="preserve"> the department</w:t>
      </w:r>
      <w:r w:rsidR="002C29C2">
        <w:rPr>
          <w:rFonts w:ascii="Times New Roman" w:hAnsi="Times New Roman" w:cs="Times New Roman"/>
          <w:sz w:val="24"/>
          <w:szCs w:val="24"/>
        </w:rPr>
        <w:t xml:space="preserve">, </w:t>
      </w:r>
      <w:r w:rsidR="00032E8E">
        <w:rPr>
          <w:rFonts w:ascii="Times New Roman" w:hAnsi="Times New Roman" w:cs="Times New Roman"/>
          <w:sz w:val="24"/>
          <w:szCs w:val="24"/>
        </w:rPr>
        <w:t xml:space="preserve">after application to the </w:t>
      </w:r>
      <w:r w:rsidR="002C29C2">
        <w:rPr>
          <w:rFonts w:ascii="Times New Roman" w:hAnsi="Times New Roman" w:cs="Times New Roman"/>
          <w:sz w:val="24"/>
          <w:szCs w:val="24"/>
        </w:rPr>
        <w:t>court</w:t>
      </w:r>
      <w:r w:rsidR="00032E8E">
        <w:rPr>
          <w:rFonts w:ascii="Times New Roman" w:hAnsi="Times New Roman" w:cs="Times New Roman"/>
          <w:sz w:val="24"/>
          <w:szCs w:val="24"/>
        </w:rPr>
        <w:t xml:space="preserve"> and a finding of probable cause</w:t>
      </w:r>
      <w:r w:rsidR="002C29C2">
        <w:rPr>
          <w:rFonts w:ascii="Times New Roman" w:hAnsi="Times New Roman" w:cs="Times New Roman"/>
          <w:sz w:val="24"/>
          <w:szCs w:val="24"/>
        </w:rPr>
        <w:t>,</w:t>
      </w:r>
      <w:r w:rsidR="008732AE">
        <w:rPr>
          <w:rFonts w:ascii="Times New Roman" w:hAnsi="Times New Roman" w:cs="Times New Roman"/>
          <w:sz w:val="24"/>
          <w:szCs w:val="24"/>
        </w:rPr>
        <w:t xml:space="preserve"> to </w:t>
      </w:r>
      <w:r w:rsidR="001419A6">
        <w:rPr>
          <w:rFonts w:ascii="Times New Roman" w:hAnsi="Times New Roman" w:cs="Times New Roman"/>
          <w:sz w:val="24"/>
          <w:szCs w:val="24"/>
        </w:rPr>
        <w:t xml:space="preserve">seize certain </w:t>
      </w:r>
      <w:r w:rsidR="00032E8E">
        <w:rPr>
          <w:rFonts w:ascii="Times New Roman" w:hAnsi="Times New Roman" w:cs="Times New Roman"/>
          <w:sz w:val="24"/>
          <w:szCs w:val="24"/>
        </w:rPr>
        <w:t>real or personal property</w:t>
      </w:r>
      <w:r w:rsidR="001419A6">
        <w:rPr>
          <w:rFonts w:ascii="Times New Roman" w:hAnsi="Times New Roman" w:cs="Times New Roman"/>
          <w:sz w:val="24"/>
          <w:szCs w:val="24"/>
        </w:rPr>
        <w:t xml:space="preserve"> of </w:t>
      </w:r>
      <w:r w:rsidR="00032E8E">
        <w:rPr>
          <w:rFonts w:ascii="Times New Roman" w:hAnsi="Times New Roman" w:cs="Times New Roman"/>
          <w:sz w:val="24"/>
          <w:szCs w:val="24"/>
        </w:rPr>
        <w:t xml:space="preserve">a </w:t>
      </w:r>
      <w:r w:rsidR="002C29C2">
        <w:rPr>
          <w:rFonts w:ascii="Times New Roman" w:hAnsi="Times New Roman" w:cs="Times New Roman"/>
          <w:sz w:val="24"/>
          <w:szCs w:val="24"/>
        </w:rPr>
        <w:t xml:space="preserve">medical assistance </w:t>
      </w:r>
      <w:r w:rsidR="00032E8E">
        <w:rPr>
          <w:rFonts w:ascii="Times New Roman" w:hAnsi="Times New Roman" w:cs="Times New Roman"/>
          <w:sz w:val="24"/>
          <w:szCs w:val="24"/>
        </w:rPr>
        <w:t>provider</w:t>
      </w:r>
      <w:r w:rsidR="001419A6">
        <w:rPr>
          <w:rFonts w:ascii="Times New Roman" w:hAnsi="Times New Roman" w:cs="Times New Roman"/>
          <w:sz w:val="24"/>
          <w:szCs w:val="24"/>
        </w:rPr>
        <w:t xml:space="preserve"> who </w:t>
      </w:r>
      <w:r w:rsidR="00032E8E">
        <w:rPr>
          <w:rFonts w:ascii="Times New Roman" w:hAnsi="Times New Roman" w:cs="Times New Roman"/>
          <w:sz w:val="24"/>
          <w:szCs w:val="24"/>
        </w:rPr>
        <w:t>has</w:t>
      </w:r>
      <w:r w:rsidR="001419A6">
        <w:rPr>
          <w:rFonts w:ascii="Times New Roman" w:hAnsi="Times New Roman" w:cs="Times New Roman"/>
          <w:sz w:val="24"/>
          <w:szCs w:val="24"/>
        </w:rPr>
        <w:t xml:space="preserve"> </w:t>
      </w:r>
      <w:r w:rsidRPr="0091412B">
        <w:rPr>
          <w:rFonts w:ascii="Times New Roman" w:hAnsi="Times New Roman" w:cs="Times New Roman"/>
          <w:sz w:val="24"/>
          <w:szCs w:val="24"/>
        </w:rPr>
        <w:t>commit</w:t>
      </w:r>
      <w:r w:rsidR="002C29C2">
        <w:rPr>
          <w:rFonts w:ascii="Times New Roman" w:hAnsi="Times New Roman" w:cs="Times New Roman"/>
          <w:sz w:val="24"/>
          <w:szCs w:val="24"/>
        </w:rPr>
        <w:t>ted</w:t>
      </w:r>
      <w:r w:rsidR="00032E8E">
        <w:rPr>
          <w:rFonts w:ascii="Times New Roman" w:hAnsi="Times New Roman" w:cs="Times New Roman"/>
          <w:sz w:val="24"/>
          <w:szCs w:val="24"/>
        </w:rPr>
        <w:t xml:space="preserve"> or is committing</w:t>
      </w:r>
      <w:r w:rsidRPr="0091412B">
        <w:rPr>
          <w:rFonts w:ascii="Times New Roman" w:hAnsi="Times New Roman" w:cs="Times New Roman"/>
          <w:sz w:val="24"/>
          <w:szCs w:val="24"/>
        </w:rPr>
        <w:t xml:space="preserve"> medical assistance fraud</w:t>
      </w:r>
      <w:r w:rsidR="00032E8E">
        <w:rPr>
          <w:rFonts w:ascii="Times New Roman" w:hAnsi="Times New Roman" w:cs="Times New Roman"/>
          <w:sz w:val="24"/>
          <w:szCs w:val="24"/>
        </w:rPr>
        <w:t>, to offset the cost of the alleged fraud</w:t>
      </w:r>
      <w:r w:rsidR="002C29C2">
        <w:rPr>
          <w:rFonts w:ascii="Times New Roman" w:hAnsi="Times New Roman" w:cs="Times New Roman"/>
          <w:sz w:val="24"/>
          <w:szCs w:val="24"/>
        </w:rPr>
        <w:t>.  Th</w:t>
      </w:r>
      <w:r w:rsidRPr="0091412B">
        <w:rPr>
          <w:rFonts w:ascii="Times New Roman" w:hAnsi="Times New Roman" w:cs="Times New Roman"/>
          <w:sz w:val="24"/>
          <w:szCs w:val="24"/>
        </w:rPr>
        <w:t xml:space="preserve">e court may authorize seizure of real or personal property to cover the cost of the alleged fraud. </w:t>
      </w:r>
    </w:p>
    <w:p w:rsidR="001419A6" w:rsidRDefault="001419A6" w:rsidP="001419A6">
      <w:pPr>
        <w:spacing w:after="0" w:line="240" w:lineRule="auto"/>
        <w:ind w:left="1440" w:firstLine="720"/>
        <w:rPr>
          <w:rFonts w:ascii="Times New Roman" w:hAnsi="Times New Roman" w:cs="Times New Roman"/>
          <w:sz w:val="24"/>
          <w:szCs w:val="24"/>
        </w:rPr>
      </w:pPr>
    </w:p>
    <w:p w:rsidR="0091412B" w:rsidRPr="0091412B" w:rsidRDefault="0091412B" w:rsidP="001419A6">
      <w:pPr>
        <w:spacing w:after="0" w:line="240" w:lineRule="auto"/>
        <w:ind w:left="2160"/>
        <w:rPr>
          <w:rFonts w:ascii="Times New Roman" w:hAnsi="Times New Roman" w:cs="Times New Roman"/>
          <w:sz w:val="24"/>
          <w:szCs w:val="24"/>
        </w:rPr>
      </w:pPr>
      <w:r w:rsidRPr="0091412B">
        <w:rPr>
          <w:rFonts w:ascii="Times New Roman" w:hAnsi="Times New Roman" w:cs="Times New Roman"/>
          <w:sz w:val="24"/>
          <w:szCs w:val="24"/>
        </w:rPr>
        <w:t>This section provides a list of possible real or personal properties, including bank accounts, automobiles, boats, airplanes, stocks and bonds, and inventory.</w:t>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91412B" w:rsidP="001419A6">
      <w:pPr>
        <w:spacing w:after="0" w:line="240" w:lineRule="auto"/>
        <w:ind w:left="2160"/>
        <w:rPr>
          <w:rFonts w:ascii="Times New Roman" w:hAnsi="Times New Roman" w:cs="Times New Roman"/>
          <w:sz w:val="24"/>
          <w:szCs w:val="24"/>
        </w:rPr>
      </w:pPr>
      <w:r w:rsidRPr="0091412B">
        <w:rPr>
          <w:rFonts w:ascii="Times New Roman" w:hAnsi="Times New Roman" w:cs="Times New Roman"/>
          <w:sz w:val="24"/>
          <w:szCs w:val="24"/>
        </w:rPr>
        <w:t>This section, upon issuance of the court order of seizure, prohibits the owners of property from disposing of the property, with a provision of good faith in the event property is sold without written permission of the court.</w:t>
      </w:r>
    </w:p>
    <w:p w:rsidR="0091412B" w:rsidRPr="0091412B" w:rsidRDefault="0091412B" w:rsidP="0091412B">
      <w:pPr>
        <w:spacing w:after="0" w:line="240" w:lineRule="auto"/>
        <w:ind w:left="1440" w:hanging="1440"/>
        <w:rPr>
          <w:rFonts w:ascii="Times New Roman" w:hAnsi="Times New Roman" w:cs="Times New Roman"/>
          <w:sz w:val="24"/>
          <w:szCs w:val="24"/>
        </w:rPr>
      </w:pPr>
    </w:p>
    <w:p w:rsidR="001419A6" w:rsidRDefault="001419A6" w:rsidP="001419A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This section further authorizes the forfeiture of any seized property if the </w:t>
      </w:r>
      <w:r w:rsidR="0091412B" w:rsidRPr="0091412B">
        <w:rPr>
          <w:rFonts w:ascii="Times New Roman" w:hAnsi="Times New Roman" w:cs="Times New Roman"/>
          <w:sz w:val="24"/>
          <w:szCs w:val="24"/>
        </w:rPr>
        <w:t xml:space="preserve">Medicaid provider </w:t>
      </w:r>
      <w:r>
        <w:rPr>
          <w:rFonts w:ascii="Times New Roman" w:hAnsi="Times New Roman" w:cs="Times New Roman"/>
          <w:sz w:val="24"/>
          <w:szCs w:val="24"/>
        </w:rPr>
        <w:t>is</w:t>
      </w:r>
      <w:r w:rsidRPr="0091412B">
        <w:rPr>
          <w:rFonts w:ascii="Times New Roman" w:hAnsi="Times New Roman" w:cs="Times New Roman"/>
          <w:sz w:val="24"/>
          <w:szCs w:val="24"/>
        </w:rPr>
        <w:t xml:space="preserve"> </w:t>
      </w:r>
      <w:r>
        <w:rPr>
          <w:rFonts w:ascii="Times New Roman" w:hAnsi="Times New Roman" w:cs="Times New Roman"/>
          <w:sz w:val="24"/>
          <w:szCs w:val="24"/>
        </w:rPr>
        <w:t xml:space="preserve">eventually </w:t>
      </w:r>
      <w:r w:rsidR="0091412B" w:rsidRPr="0091412B">
        <w:rPr>
          <w:rFonts w:ascii="Times New Roman" w:hAnsi="Times New Roman" w:cs="Times New Roman"/>
          <w:sz w:val="24"/>
          <w:szCs w:val="24"/>
        </w:rPr>
        <w:t xml:space="preserve">convicted of medical assistance fraud. This section provides instructions to the state to sell or return properties, and depositing funds from disposal of seized properties. </w:t>
      </w:r>
    </w:p>
    <w:p w:rsidR="001419A6" w:rsidRDefault="001419A6" w:rsidP="001419A6">
      <w:pPr>
        <w:spacing w:after="0" w:line="240" w:lineRule="auto"/>
        <w:ind w:left="2160"/>
        <w:rPr>
          <w:rFonts w:ascii="Times New Roman" w:hAnsi="Times New Roman" w:cs="Times New Roman"/>
          <w:sz w:val="24"/>
          <w:szCs w:val="24"/>
        </w:rPr>
      </w:pPr>
    </w:p>
    <w:p w:rsidR="0091412B" w:rsidRPr="0091412B" w:rsidRDefault="0091412B" w:rsidP="001419A6">
      <w:pPr>
        <w:spacing w:after="0" w:line="240" w:lineRule="auto"/>
        <w:ind w:left="2160"/>
        <w:rPr>
          <w:rFonts w:ascii="Times New Roman" w:hAnsi="Times New Roman" w:cs="Times New Roman"/>
          <w:sz w:val="24"/>
          <w:szCs w:val="24"/>
        </w:rPr>
      </w:pPr>
      <w:r w:rsidRPr="0091412B">
        <w:rPr>
          <w:rFonts w:ascii="Times New Roman" w:hAnsi="Times New Roman" w:cs="Times New Roman"/>
          <w:sz w:val="24"/>
          <w:szCs w:val="24"/>
        </w:rPr>
        <w:lastRenderedPageBreak/>
        <w:t xml:space="preserve">This section also allows for the action of forfeiture to be joined with any alternative civil or criminal action for damages. </w:t>
      </w:r>
    </w:p>
    <w:p w:rsidR="0091412B" w:rsidRDefault="0091412B" w:rsidP="0091412B">
      <w:pPr>
        <w:spacing w:after="0" w:line="240" w:lineRule="auto"/>
        <w:ind w:left="1440" w:hanging="1440"/>
        <w:rPr>
          <w:rFonts w:ascii="Times New Roman" w:hAnsi="Times New Roman" w:cs="Times New Roman"/>
          <w:sz w:val="24"/>
          <w:szCs w:val="24"/>
        </w:rPr>
      </w:pPr>
    </w:p>
    <w:p w:rsidR="006E4B63" w:rsidRPr="006E4B63" w:rsidRDefault="006E4B63" w:rsidP="006E4B63">
      <w:pPr>
        <w:spacing w:after="0" w:line="240" w:lineRule="auto"/>
        <w:ind w:left="1440" w:hanging="1440"/>
        <w:jc w:val="both"/>
        <w:rPr>
          <w:rFonts w:ascii="Times New Roman" w:eastAsia="Calibri" w:hAnsi="Times New Roman" w:cs="Times New Roman"/>
          <w:sz w:val="24"/>
          <w:szCs w:val="24"/>
        </w:rPr>
      </w:pPr>
      <w:r w:rsidRPr="006E4B63">
        <w:rPr>
          <w:rFonts w:ascii="Times New Roman" w:eastAsia="Calibri" w:hAnsi="Times New Roman" w:cs="Times New Roman"/>
          <w:sz w:val="24"/>
          <w:szCs w:val="24"/>
          <w:u w:val="single"/>
        </w:rPr>
        <w:t>Section 12</w:t>
      </w:r>
      <w:r w:rsidRPr="006E4B63">
        <w:rPr>
          <w:rFonts w:ascii="Times New Roman" w:eastAsia="Calibri" w:hAnsi="Times New Roman" w:cs="Times New Roman"/>
          <w:b/>
          <w:sz w:val="24"/>
          <w:szCs w:val="24"/>
        </w:rPr>
        <w:tab/>
      </w:r>
      <w:r w:rsidRPr="006E4B63">
        <w:rPr>
          <w:rFonts w:ascii="Times New Roman" w:eastAsia="Calibri" w:hAnsi="Times New Roman" w:cs="Times New Roman"/>
          <w:sz w:val="24"/>
          <w:szCs w:val="24"/>
        </w:rPr>
        <w:t>Amends AS 47.07.036 by adding new subsections (d) – (f) to outline cost containment and reform measures DHSS must undertake, including seeking demonstration waivers related to innovative service delivery models, applying for other options under the Social Security Act to obtain or increase federal match, and improving telemedicine for Medicaid recipients.  This section also requires DHSS to apply for an 1115 waiver for a demonstration project for one or more groups of Medicaid recipients in one or more geographic area.  The demonstration project may include managed care organizations, community care organizations, patient-centered medical homes, or other innovative payment models.</w:t>
      </w:r>
    </w:p>
    <w:p w:rsidR="006E4B63" w:rsidRPr="0091412B" w:rsidRDefault="006E4B63" w:rsidP="0091412B">
      <w:pPr>
        <w:spacing w:after="0" w:line="240" w:lineRule="auto"/>
        <w:ind w:left="1440" w:hanging="1440"/>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Section 1</w:t>
      </w:r>
      <w:r w:rsidR="00A3226B">
        <w:rPr>
          <w:rFonts w:ascii="Times New Roman" w:hAnsi="Times New Roman" w:cs="Times New Roman"/>
          <w:sz w:val="24"/>
          <w:szCs w:val="24"/>
          <w:u w:val="single"/>
        </w:rPr>
        <w:t>3</w:t>
      </w:r>
      <w:r w:rsidRPr="0091412B">
        <w:rPr>
          <w:rFonts w:ascii="Times New Roman" w:hAnsi="Times New Roman" w:cs="Times New Roman"/>
          <w:sz w:val="24"/>
          <w:szCs w:val="24"/>
        </w:rPr>
        <w:tab/>
        <w:t>Amends 47.07.900 (4), Medicaid Administration definitions</w:t>
      </w:r>
      <w:r w:rsidR="002C29C2">
        <w:rPr>
          <w:rFonts w:ascii="Times New Roman" w:hAnsi="Times New Roman" w:cs="Times New Roman"/>
          <w:sz w:val="24"/>
          <w:szCs w:val="24"/>
        </w:rPr>
        <w:t>,</w:t>
      </w:r>
      <w:r w:rsidR="001419A6">
        <w:rPr>
          <w:rFonts w:ascii="Times New Roman" w:hAnsi="Times New Roman" w:cs="Times New Roman"/>
          <w:sz w:val="24"/>
          <w:szCs w:val="24"/>
        </w:rPr>
        <w:t xml:space="preserve"> by </w:t>
      </w:r>
      <w:r w:rsidRPr="0091412B">
        <w:rPr>
          <w:rFonts w:ascii="Times New Roman" w:hAnsi="Times New Roman" w:cs="Times New Roman"/>
          <w:sz w:val="24"/>
          <w:szCs w:val="24"/>
        </w:rPr>
        <w:t>removing the grantee status requirement for outpatient community mental health clinics serving Medicaid patients.</w:t>
      </w:r>
    </w:p>
    <w:p w:rsidR="0091412B" w:rsidRPr="0091412B" w:rsidRDefault="0091412B" w:rsidP="0091412B">
      <w:pPr>
        <w:spacing w:after="0" w:line="240" w:lineRule="auto"/>
        <w:ind w:left="1440" w:hanging="1440"/>
        <w:rPr>
          <w:rFonts w:ascii="Times New Roman" w:hAnsi="Times New Roman" w:cs="Times New Roman"/>
          <w:sz w:val="24"/>
          <w:szCs w:val="24"/>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Section 1</w:t>
      </w:r>
      <w:r w:rsidR="00A3226B">
        <w:rPr>
          <w:rFonts w:ascii="Times New Roman" w:hAnsi="Times New Roman" w:cs="Times New Roman"/>
          <w:sz w:val="24"/>
          <w:szCs w:val="24"/>
          <w:u w:val="single"/>
        </w:rPr>
        <w:t>4</w:t>
      </w:r>
      <w:r w:rsidRPr="0091412B">
        <w:rPr>
          <w:rFonts w:ascii="Times New Roman" w:hAnsi="Times New Roman" w:cs="Times New Roman"/>
          <w:sz w:val="24"/>
          <w:szCs w:val="24"/>
        </w:rPr>
        <w:tab/>
        <w:t>Amends AS 47.07.900 (17</w:t>
      </w:r>
      <w:r w:rsidR="001419A6" w:rsidRPr="0091412B">
        <w:rPr>
          <w:rFonts w:ascii="Times New Roman" w:hAnsi="Times New Roman" w:cs="Times New Roman"/>
          <w:sz w:val="24"/>
          <w:szCs w:val="24"/>
        </w:rPr>
        <w:t>)</w:t>
      </w:r>
      <w:r w:rsidR="002C29C2">
        <w:rPr>
          <w:rFonts w:ascii="Times New Roman" w:hAnsi="Times New Roman" w:cs="Times New Roman"/>
          <w:sz w:val="24"/>
          <w:szCs w:val="24"/>
        </w:rPr>
        <w:t xml:space="preserve"> </w:t>
      </w:r>
      <w:r w:rsidR="001419A6">
        <w:rPr>
          <w:rFonts w:ascii="Times New Roman" w:hAnsi="Times New Roman" w:cs="Times New Roman"/>
          <w:sz w:val="24"/>
          <w:szCs w:val="24"/>
        </w:rPr>
        <w:t xml:space="preserve">by </w:t>
      </w:r>
      <w:r w:rsidRPr="0091412B">
        <w:rPr>
          <w:rFonts w:ascii="Times New Roman" w:hAnsi="Times New Roman" w:cs="Times New Roman"/>
          <w:sz w:val="24"/>
          <w:szCs w:val="24"/>
        </w:rPr>
        <w:t>removing the grantee/contractor status requirement from drug and alcohol treatment center</w:t>
      </w:r>
      <w:r w:rsidR="002C29C2">
        <w:rPr>
          <w:rFonts w:ascii="Times New Roman" w:hAnsi="Times New Roman" w:cs="Times New Roman"/>
          <w:sz w:val="24"/>
          <w:szCs w:val="24"/>
        </w:rPr>
        <w:t>s</w:t>
      </w:r>
      <w:r w:rsidRPr="0091412B">
        <w:rPr>
          <w:rFonts w:ascii="Times New Roman" w:hAnsi="Times New Roman" w:cs="Times New Roman"/>
          <w:sz w:val="24"/>
          <w:szCs w:val="24"/>
        </w:rPr>
        <w:t xml:space="preserve"> and outpatient community mental health clinics. This change, and the one in the previous section, allows mental health and drug treatment service providers who do not receive grants from the department to become enrolled Medicaid providers and deliver services to Medicaid recipients. </w:t>
      </w:r>
    </w:p>
    <w:p w:rsidR="00A3226B" w:rsidRDefault="00A3226B" w:rsidP="0091412B">
      <w:pPr>
        <w:spacing w:after="0" w:line="240" w:lineRule="auto"/>
        <w:ind w:left="1440" w:hanging="1440"/>
        <w:rPr>
          <w:rFonts w:ascii="Times New Roman" w:hAnsi="Times New Roman" w:cs="Times New Roman"/>
          <w:sz w:val="24"/>
          <w:szCs w:val="24"/>
          <w:u w:val="single"/>
        </w:rPr>
      </w:pPr>
    </w:p>
    <w:p w:rsidR="0091412B" w:rsidRPr="0091412B" w:rsidRDefault="0091412B" w:rsidP="0091412B">
      <w:pPr>
        <w:spacing w:after="0" w:line="240" w:lineRule="auto"/>
        <w:ind w:left="1440" w:hanging="1440"/>
        <w:rPr>
          <w:rFonts w:ascii="Times New Roman" w:hAnsi="Times New Roman" w:cs="Times New Roman"/>
          <w:sz w:val="24"/>
          <w:szCs w:val="24"/>
        </w:rPr>
      </w:pPr>
      <w:r w:rsidRPr="0091412B">
        <w:rPr>
          <w:rFonts w:ascii="Times New Roman" w:hAnsi="Times New Roman" w:cs="Times New Roman"/>
          <w:sz w:val="24"/>
          <w:szCs w:val="24"/>
          <w:u w:val="single"/>
        </w:rPr>
        <w:t>Section 1</w:t>
      </w:r>
      <w:r w:rsidR="00A3226B">
        <w:rPr>
          <w:rFonts w:ascii="Times New Roman" w:hAnsi="Times New Roman" w:cs="Times New Roman"/>
          <w:sz w:val="24"/>
          <w:szCs w:val="24"/>
          <w:u w:val="single"/>
        </w:rPr>
        <w:t>5</w:t>
      </w:r>
      <w:r w:rsidRPr="0091412B">
        <w:rPr>
          <w:rFonts w:ascii="Times New Roman" w:hAnsi="Times New Roman" w:cs="Times New Roman"/>
          <w:sz w:val="24"/>
          <w:szCs w:val="24"/>
        </w:rPr>
        <w:tab/>
        <w:t xml:space="preserve">Adds a new section to outline court rule amendments as a result of enactment of “section </w:t>
      </w:r>
      <w:r w:rsidR="001419A6">
        <w:rPr>
          <w:rFonts w:ascii="Times New Roman" w:hAnsi="Times New Roman" w:cs="Times New Roman"/>
          <w:sz w:val="24"/>
          <w:szCs w:val="24"/>
        </w:rPr>
        <w:t xml:space="preserve">2, 3, and 4 </w:t>
      </w:r>
      <w:r w:rsidRPr="0091412B">
        <w:rPr>
          <w:rFonts w:ascii="Times New Roman" w:hAnsi="Times New Roman" w:cs="Times New Roman"/>
          <w:sz w:val="24"/>
          <w:szCs w:val="24"/>
        </w:rPr>
        <w:t>” (AMFCA)</w:t>
      </w:r>
      <w:r w:rsidR="001419A6">
        <w:rPr>
          <w:rFonts w:ascii="Times New Roman" w:hAnsi="Times New Roman" w:cs="Times New Roman"/>
          <w:sz w:val="24"/>
          <w:szCs w:val="24"/>
        </w:rPr>
        <w:t xml:space="preserve"> of this Act</w:t>
      </w:r>
      <w:r w:rsidRPr="0091412B">
        <w:rPr>
          <w:rFonts w:ascii="Times New Roman" w:hAnsi="Times New Roman" w:cs="Times New Roman"/>
          <w:sz w:val="24"/>
          <w:szCs w:val="24"/>
        </w:rPr>
        <w:t>.</w:t>
      </w:r>
    </w:p>
    <w:p w:rsidR="0091412B" w:rsidRDefault="0091412B" w:rsidP="0091412B">
      <w:pPr>
        <w:spacing w:after="0" w:line="240" w:lineRule="auto"/>
        <w:ind w:left="1440" w:hanging="1440"/>
        <w:rPr>
          <w:rFonts w:ascii="Times New Roman" w:hAnsi="Times New Roman" w:cs="Times New Roman"/>
          <w:sz w:val="24"/>
          <w:szCs w:val="24"/>
        </w:rPr>
      </w:pPr>
    </w:p>
    <w:p w:rsidR="00A3226B" w:rsidRPr="00A3226B" w:rsidRDefault="00A3226B" w:rsidP="00A3226B">
      <w:pPr>
        <w:spacing w:after="0" w:line="240" w:lineRule="auto"/>
        <w:ind w:left="1440" w:hanging="1440"/>
        <w:jc w:val="both"/>
        <w:rPr>
          <w:rFonts w:ascii="Times New Roman" w:eastAsia="Calibri" w:hAnsi="Times New Roman" w:cs="Times New Roman"/>
          <w:sz w:val="24"/>
          <w:szCs w:val="24"/>
        </w:rPr>
      </w:pPr>
      <w:r w:rsidRPr="00A3226B">
        <w:rPr>
          <w:rFonts w:ascii="Times New Roman" w:eastAsia="Calibri" w:hAnsi="Times New Roman" w:cs="Times New Roman"/>
          <w:sz w:val="24"/>
          <w:szCs w:val="24"/>
          <w:u w:val="single"/>
        </w:rPr>
        <w:t>Section 16</w:t>
      </w:r>
      <w:r w:rsidRPr="00A3226B">
        <w:rPr>
          <w:rFonts w:ascii="Times New Roman" w:eastAsia="Calibri" w:hAnsi="Times New Roman" w:cs="Times New Roman"/>
          <w:sz w:val="24"/>
          <w:szCs w:val="24"/>
        </w:rPr>
        <w:t xml:space="preserve"> </w:t>
      </w:r>
      <w:r w:rsidRPr="00A3226B">
        <w:rPr>
          <w:rFonts w:ascii="Times New Roman" w:eastAsia="Calibri" w:hAnsi="Times New Roman" w:cs="Times New Roman"/>
          <w:sz w:val="24"/>
          <w:szCs w:val="24"/>
        </w:rPr>
        <w:tab/>
        <w:t>Requires DHSS to collaborate with Alaska Tribal health organizations and the U.S. DHHS to implement new federal policy regarding 100% federal funding for services provided to Medicaid-eligible American Indian and Alaska Native individuals.</w:t>
      </w:r>
    </w:p>
    <w:p w:rsidR="00A3226B" w:rsidRPr="00A3226B" w:rsidRDefault="00A3226B" w:rsidP="00A3226B">
      <w:pPr>
        <w:spacing w:after="0" w:line="240" w:lineRule="auto"/>
        <w:ind w:left="1440" w:hanging="1440"/>
        <w:jc w:val="both"/>
        <w:rPr>
          <w:rFonts w:ascii="Times New Roman" w:eastAsia="Calibri" w:hAnsi="Times New Roman" w:cs="Times New Roman"/>
          <w:sz w:val="24"/>
          <w:szCs w:val="24"/>
        </w:rPr>
      </w:pPr>
    </w:p>
    <w:p w:rsidR="00A3226B" w:rsidRPr="00A3226B" w:rsidRDefault="00A3226B" w:rsidP="00A3226B">
      <w:pPr>
        <w:spacing w:after="0" w:line="240" w:lineRule="auto"/>
        <w:ind w:left="1440" w:hanging="1440"/>
        <w:jc w:val="both"/>
        <w:rPr>
          <w:rFonts w:ascii="Times New Roman" w:eastAsia="Calibri" w:hAnsi="Times New Roman" w:cs="Times New Roman"/>
          <w:sz w:val="24"/>
          <w:szCs w:val="24"/>
        </w:rPr>
      </w:pPr>
      <w:r w:rsidRPr="00A3226B">
        <w:rPr>
          <w:rFonts w:ascii="Times New Roman" w:eastAsia="Calibri" w:hAnsi="Times New Roman" w:cs="Times New Roman"/>
          <w:sz w:val="24"/>
          <w:szCs w:val="24"/>
          <w:u w:val="single"/>
        </w:rPr>
        <w:t>Section 17</w:t>
      </w:r>
      <w:r w:rsidRPr="00A3226B">
        <w:rPr>
          <w:rFonts w:ascii="Times New Roman" w:eastAsia="Calibri" w:hAnsi="Times New Roman" w:cs="Times New Roman"/>
          <w:b/>
          <w:sz w:val="24"/>
          <w:szCs w:val="24"/>
        </w:rPr>
        <w:tab/>
      </w:r>
      <w:r w:rsidRPr="00A3226B">
        <w:rPr>
          <w:rFonts w:ascii="Times New Roman" w:eastAsia="Calibri" w:hAnsi="Times New Roman" w:cs="Times New Roman"/>
          <w:sz w:val="24"/>
          <w:szCs w:val="24"/>
        </w:rPr>
        <w:t>Requires DHSS to implement the primary care case management system authorized under AS 47.07.030(d).  The purpose of this new system is to increase Medicaid enrollees’ use of primary and preventive care, while decreasing the use of specialty care and hospital emergency department services.</w:t>
      </w:r>
    </w:p>
    <w:p w:rsidR="00A3226B" w:rsidRPr="00A3226B" w:rsidRDefault="00A3226B" w:rsidP="00A3226B">
      <w:pPr>
        <w:spacing w:after="0" w:line="240" w:lineRule="auto"/>
        <w:ind w:left="1440" w:hanging="1440"/>
        <w:jc w:val="both"/>
        <w:rPr>
          <w:rFonts w:ascii="Times New Roman" w:eastAsia="Calibri" w:hAnsi="Times New Roman" w:cs="Times New Roman"/>
          <w:sz w:val="24"/>
          <w:szCs w:val="24"/>
        </w:rPr>
      </w:pPr>
    </w:p>
    <w:p w:rsidR="00A3226B" w:rsidRPr="00A3226B" w:rsidRDefault="00A3226B" w:rsidP="00A3226B">
      <w:pPr>
        <w:spacing w:after="0" w:line="240" w:lineRule="auto"/>
        <w:ind w:left="1440" w:hanging="1440"/>
        <w:jc w:val="both"/>
        <w:rPr>
          <w:rFonts w:ascii="Times New Roman" w:hAnsi="Times New Roman" w:cs="Times New Roman"/>
          <w:sz w:val="24"/>
          <w:szCs w:val="24"/>
        </w:rPr>
      </w:pPr>
      <w:r w:rsidRPr="00A3226B">
        <w:rPr>
          <w:rFonts w:ascii="Times New Roman" w:hAnsi="Times New Roman" w:cs="Times New Roman"/>
          <w:sz w:val="24"/>
          <w:szCs w:val="24"/>
          <w:u w:val="single"/>
        </w:rPr>
        <w:lastRenderedPageBreak/>
        <w:t>Section 18</w:t>
      </w:r>
      <w:r w:rsidRPr="00A3226B">
        <w:rPr>
          <w:rFonts w:ascii="Times New Roman" w:hAnsi="Times New Roman" w:cs="Times New Roman"/>
          <w:sz w:val="24"/>
          <w:szCs w:val="24"/>
        </w:rPr>
        <w:t xml:space="preserve"> </w:t>
      </w:r>
      <w:r w:rsidRPr="00A3226B">
        <w:rPr>
          <w:rFonts w:ascii="Times New Roman" w:hAnsi="Times New Roman" w:cs="Times New Roman"/>
          <w:sz w:val="24"/>
          <w:szCs w:val="24"/>
        </w:rPr>
        <w:tab/>
        <w:t>Requires DHSS to develop a plan to strengthen the health information infrastructure, including health data analytics capability, to support transformation of the health system in Alaska.</w:t>
      </w:r>
    </w:p>
    <w:p w:rsidR="00A3226B" w:rsidRPr="00A3226B" w:rsidRDefault="00A3226B" w:rsidP="00A3226B">
      <w:pPr>
        <w:spacing w:after="0" w:line="240" w:lineRule="auto"/>
        <w:ind w:left="1440" w:hanging="1440"/>
        <w:jc w:val="both"/>
        <w:rPr>
          <w:rFonts w:ascii="Times New Roman" w:hAnsi="Times New Roman" w:cs="Times New Roman"/>
          <w:sz w:val="24"/>
          <w:szCs w:val="24"/>
        </w:rPr>
      </w:pPr>
    </w:p>
    <w:p w:rsidR="00A3226B" w:rsidRPr="00A3226B" w:rsidRDefault="00A3226B" w:rsidP="00A3226B">
      <w:pPr>
        <w:spacing w:after="0" w:line="240" w:lineRule="auto"/>
        <w:ind w:left="1440" w:hanging="1440"/>
        <w:jc w:val="both"/>
        <w:rPr>
          <w:rFonts w:ascii="Times New Roman" w:hAnsi="Times New Roman" w:cs="Times New Roman"/>
          <w:sz w:val="24"/>
          <w:szCs w:val="24"/>
        </w:rPr>
      </w:pPr>
      <w:r w:rsidRPr="00A3226B">
        <w:rPr>
          <w:rFonts w:ascii="Times New Roman" w:hAnsi="Times New Roman" w:cs="Times New Roman"/>
          <w:sz w:val="24"/>
          <w:szCs w:val="24"/>
          <w:u w:val="single"/>
        </w:rPr>
        <w:t>Section 19</w:t>
      </w:r>
      <w:r w:rsidRPr="00A3226B">
        <w:rPr>
          <w:rFonts w:ascii="Times New Roman" w:hAnsi="Times New Roman" w:cs="Times New Roman"/>
          <w:sz w:val="24"/>
          <w:szCs w:val="24"/>
        </w:rPr>
        <w:tab/>
        <w:t>Authorizes DHSS to support one or more private initiatives designed to reduce nonurgent use of emergency departments by Medicaid recipients.</w:t>
      </w:r>
    </w:p>
    <w:p w:rsidR="00A3226B" w:rsidRPr="00A3226B" w:rsidRDefault="00A3226B" w:rsidP="00A3226B">
      <w:pPr>
        <w:spacing w:after="0" w:line="240" w:lineRule="auto"/>
        <w:ind w:left="1440" w:hanging="1440"/>
        <w:jc w:val="both"/>
        <w:rPr>
          <w:rFonts w:ascii="Times New Roman" w:hAnsi="Times New Roman" w:cs="Times New Roman"/>
          <w:sz w:val="24"/>
          <w:szCs w:val="24"/>
          <w:u w:val="single"/>
        </w:rPr>
      </w:pPr>
      <w:r w:rsidRPr="00A3226B">
        <w:rPr>
          <w:rFonts w:ascii="Times New Roman" w:hAnsi="Times New Roman" w:cs="Times New Roman"/>
          <w:color w:val="FF0000"/>
          <w:sz w:val="24"/>
          <w:szCs w:val="24"/>
        </w:rPr>
        <w:tab/>
      </w:r>
    </w:p>
    <w:p w:rsidR="00A3226B" w:rsidRPr="00A3226B" w:rsidRDefault="00A3226B" w:rsidP="00A3226B">
      <w:pPr>
        <w:spacing w:line="240" w:lineRule="auto"/>
        <w:ind w:left="1440" w:hanging="1440"/>
        <w:rPr>
          <w:rFonts w:ascii="Times New Roman" w:hAnsi="Times New Roman" w:cs="Times New Roman"/>
          <w:sz w:val="24"/>
          <w:szCs w:val="24"/>
        </w:rPr>
      </w:pPr>
      <w:r w:rsidRPr="00A3226B">
        <w:rPr>
          <w:rFonts w:ascii="Times New Roman" w:hAnsi="Times New Roman" w:cs="Times New Roman"/>
          <w:sz w:val="24"/>
          <w:szCs w:val="24"/>
          <w:u w:val="single"/>
        </w:rPr>
        <w:t>Section 20</w:t>
      </w:r>
      <w:r w:rsidRPr="00A3226B">
        <w:rPr>
          <w:rFonts w:ascii="Times New Roman" w:hAnsi="Times New Roman" w:cs="Times New Roman"/>
          <w:sz w:val="24"/>
          <w:szCs w:val="24"/>
        </w:rPr>
        <w:tab/>
        <w:t>Authorizes DHSS to contract with one or more accountable care organizations to demonstrate the use of local, provider-led coordinated care entities that agree to monitor care across multiple care settings, and that will be accountable to DHSS for the overall cost and quality of care.  DHSS is authorized to participate in public-private partnerships with other purchasers of health care services, and is required to implement an evaluation plan to measure the success of this demonstration project.</w:t>
      </w:r>
    </w:p>
    <w:p w:rsidR="00A3226B" w:rsidRPr="00A3226B" w:rsidRDefault="00A3226B" w:rsidP="00A3226B">
      <w:pPr>
        <w:spacing w:line="240" w:lineRule="auto"/>
        <w:ind w:left="1440" w:hanging="1440"/>
        <w:rPr>
          <w:rFonts w:ascii="Times New Roman" w:hAnsi="Times New Roman" w:cs="Times New Roman"/>
          <w:sz w:val="24"/>
          <w:szCs w:val="24"/>
        </w:rPr>
      </w:pPr>
      <w:r w:rsidRPr="00A3226B">
        <w:rPr>
          <w:rFonts w:ascii="Times New Roman" w:hAnsi="Times New Roman" w:cs="Times New Roman"/>
          <w:sz w:val="24"/>
          <w:szCs w:val="24"/>
          <w:u w:val="single"/>
        </w:rPr>
        <w:t>Section 21</w:t>
      </w:r>
      <w:r w:rsidRPr="00A3226B">
        <w:rPr>
          <w:rFonts w:ascii="Times New Roman" w:hAnsi="Times New Roman" w:cs="Times New Roman"/>
          <w:sz w:val="24"/>
          <w:szCs w:val="24"/>
        </w:rPr>
        <w:tab/>
        <w:t xml:space="preserve">Instructs DHSS to immediately amend the Medicaid state plan to be consistent with this Act, and submit the amendments to the federal government for approval.   </w:t>
      </w:r>
      <w:r w:rsidRPr="00A3226B">
        <w:rPr>
          <w:rFonts w:ascii="Times New Roman" w:hAnsi="Times New Roman" w:cs="Times New Roman"/>
          <w:sz w:val="24"/>
          <w:szCs w:val="24"/>
        </w:rPr>
        <w:tab/>
      </w:r>
    </w:p>
    <w:p w:rsidR="00A3226B" w:rsidRPr="00A3226B" w:rsidRDefault="00A3226B" w:rsidP="00A3226B">
      <w:pPr>
        <w:spacing w:after="0" w:line="240" w:lineRule="auto"/>
        <w:ind w:left="1440" w:hanging="1440"/>
        <w:rPr>
          <w:rFonts w:ascii="Times New Roman" w:eastAsia="Calibri" w:hAnsi="Times New Roman" w:cs="Times New Roman"/>
          <w:sz w:val="24"/>
          <w:szCs w:val="24"/>
        </w:rPr>
      </w:pPr>
      <w:r w:rsidRPr="00A3226B">
        <w:rPr>
          <w:rFonts w:ascii="Times New Roman" w:eastAsia="Calibri" w:hAnsi="Times New Roman" w:cs="Times New Roman"/>
          <w:sz w:val="24"/>
          <w:szCs w:val="24"/>
          <w:u w:val="single"/>
        </w:rPr>
        <w:t>Section 22</w:t>
      </w:r>
      <w:r w:rsidRPr="00A3226B">
        <w:rPr>
          <w:rFonts w:ascii="Times New Roman" w:eastAsia="Calibri" w:hAnsi="Times New Roman" w:cs="Times New Roman"/>
          <w:sz w:val="24"/>
          <w:szCs w:val="24"/>
        </w:rPr>
        <w:tab/>
        <w:t>Authorizes DHSS to adopt regulations to implement provisions of this Act.</w:t>
      </w:r>
    </w:p>
    <w:p w:rsidR="00C354B8" w:rsidRDefault="00C354B8" w:rsidP="00C354B8">
      <w:pPr>
        <w:spacing w:after="0" w:line="240" w:lineRule="auto"/>
        <w:ind w:left="1440" w:hanging="1440"/>
        <w:rPr>
          <w:rFonts w:ascii="Times New Roman" w:eastAsia="Calibri" w:hAnsi="Times New Roman" w:cs="Times New Roman"/>
          <w:sz w:val="24"/>
          <w:szCs w:val="24"/>
          <w:u w:val="single"/>
        </w:rPr>
      </w:pPr>
    </w:p>
    <w:p w:rsidR="00C354B8" w:rsidRPr="00A3226B" w:rsidRDefault="00C354B8" w:rsidP="00C354B8">
      <w:pPr>
        <w:spacing w:after="0" w:line="240" w:lineRule="auto"/>
        <w:ind w:left="1440" w:hanging="1440"/>
        <w:rPr>
          <w:rFonts w:ascii="Times New Roman" w:eastAsia="Calibri" w:hAnsi="Times New Roman" w:cs="Times New Roman"/>
          <w:sz w:val="24"/>
          <w:szCs w:val="24"/>
        </w:rPr>
      </w:pPr>
      <w:r w:rsidRPr="00A3226B">
        <w:rPr>
          <w:rFonts w:ascii="Times New Roman" w:eastAsia="Calibri" w:hAnsi="Times New Roman" w:cs="Times New Roman"/>
          <w:sz w:val="24"/>
          <w:szCs w:val="24"/>
          <w:u w:val="single"/>
        </w:rPr>
        <w:t>Section 2</w:t>
      </w:r>
      <w:r>
        <w:rPr>
          <w:rFonts w:ascii="Times New Roman" w:eastAsia="Calibri" w:hAnsi="Times New Roman" w:cs="Times New Roman"/>
          <w:sz w:val="24"/>
          <w:szCs w:val="24"/>
          <w:u w:val="single"/>
        </w:rPr>
        <w:t>3</w:t>
      </w:r>
      <w:r w:rsidRPr="00A3226B">
        <w:rPr>
          <w:rFonts w:ascii="Times New Roman" w:eastAsia="Calibri" w:hAnsi="Times New Roman" w:cs="Times New Roman"/>
          <w:sz w:val="24"/>
          <w:szCs w:val="24"/>
        </w:rPr>
        <w:tab/>
        <w:t xml:space="preserve">Provides that Section </w:t>
      </w:r>
      <w:r>
        <w:rPr>
          <w:rFonts w:ascii="Times New Roman" w:eastAsia="Calibri" w:hAnsi="Times New Roman" w:cs="Times New Roman"/>
          <w:sz w:val="24"/>
          <w:szCs w:val="24"/>
        </w:rPr>
        <w:t>4</w:t>
      </w:r>
      <w:r w:rsidRPr="00A3226B">
        <w:rPr>
          <w:rFonts w:ascii="Times New Roman" w:eastAsia="Calibri" w:hAnsi="Times New Roman" w:cs="Times New Roman"/>
          <w:sz w:val="24"/>
          <w:szCs w:val="24"/>
        </w:rPr>
        <w:t xml:space="preserve"> is </w:t>
      </w:r>
      <w:r>
        <w:rPr>
          <w:rFonts w:ascii="Times New Roman" w:eastAsia="Calibri" w:hAnsi="Times New Roman" w:cs="Times New Roman"/>
          <w:sz w:val="24"/>
          <w:szCs w:val="24"/>
        </w:rPr>
        <w:t>effective conditional on Section 15 receiving a two-thirds majority vote</w:t>
      </w:r>
      <w:r w:rsidR="00394286">
        <w:rPr>
          <w:rFonts w:ascii="Times New Roman" w:eastAsia="Calibri" w:hAnsi="Times New Roman" w:cs="Times New Roman"/>
          <w:sz w:val="24"/>
          <w:szCs w:val="24"/>
        </w:rPr>
        <w:t>.  The new sections of law creating the civil Medicaid false claims act do not take effect unless the indirect court rule change sections of the bill receive the necessary two-thirds vote.</w:t>
      </w:r>
    </w:p>
    <w:p w:rsidR="00C354B8" w:rsidRPr="00A3226B" w:rsidRDefault="00C354B8" w:rsidP="00C354B8">
      <w:pPr>
        <w:spacing w:after="0" w:line="240" w:lineRule="auto"/>
        <w:ind w:left="1440" w:hanging="1440"/>
        <w:rPr>
          <w:rFonts w:ascii="Times New Roman" w:eastAsia="Calibri" w:hAnsi="Times New Roman" w:cs="Times New Roman"/>
          <w:sz w:val="24"/>
          <w:szCs w:val="24"/>
        </w:rPr>
      </w:pPr>
    </w:p>
    <w:p w:rsidR="00A3226B" w:rsidRPr="00A3226B" w:rsidRDefault="00A3226B" w:rsidP="00A3226B">
      <w:pPr>
        <w:spacing w:after="0" w:line="240" w:lineRule="auto"/>
        <w:ind w:left="1440" w:hanging="1440"/>
        <w:rPr>
          <w:rFonts w:ascii="Times New Roman" w:eastAsia="Calibri" w:hAnsi="Times New Roman" w:cs="Times New Roman"/>
          <w:sz w:val="24"/>
          <w:szCs w:val="24"/>
        </w:rPr>
      </w:pPr>
      <w:r w:rsidRPr="00A3226B">
        <w:rPr>
          <w:rFonts w:ascii="Times New Roman" w:eastAsia="Calibri" w:hAnsi="Times New Roman" w:cs="Times New Roman"/>
          <w:sz w:val="24"/>
          <w:szCs w:val="24"/>
          <w:u w:val="single"/>
        </w:rPr>
        <w:t>Section 24</w:t>
      </w:r>
      <w:r w:rsidRPr="00A3226B">
        <w:rPr>
          <w:rFonts w:ascii="Times New Roman" w:eastAsia="Calibri" w:hAnsi="Times New Roman" w:cs="Times New Roman"/>
          <w:sz w:val="24"/>
          <w:szCs w:val="24"/>
        </w:rPr>
        <w:tab/>
        <w:t>Provides that Section 22 is effective immediately under AS 01.10.070(c).</w:t>
      </w:r>
    </w:p>
    <w:p w:rsidR="00A3226B" w:rsidRPr="00A3226B" w:rsidRDefault="00A3226B" w:rsidP="00A3226B">
      <w:pPr>
        <w:spacing w:after="0" w:line="240" w:lineRule="auto"/>
        <w:ind w:left="1440" w:hanging="1440"/>
        <w:rPr>
          <w:rFonts w:ascii="Times New Roman" w:eastAsia="Calibri" w:hAnsi="Times New Roman" w:cs="Times New Roman"/>
          <w:sz w:val="24"/>
          <w:szCs w:val="24"/>
        </w:rPr>
      </w:pPr>
    </w:p>
    <w:p w:rsidR="00A3226B" w:rsidRPr="00A3226B" w:rsidRDefault="00A3226B" w:rsidP="00A3226B">
      <w:pPr>
        <w:spacing w:after="0" w:line="240" w:lineRule="auto"/>
        <w:ind w:left="1440" w:hanging="1440"/>
        <w:rPr>
          <w:rFonts w:ascii="Times New Roman" w:eastAsia="Calibri" w:hAnsi="Times New Roman" w:cs="Times New Roman"/>
          <w:sz w:val="24"/>
          <w:szCs w:val="24"/>
        </w:rPr>
      </w:pPr>
      <w:r w:rsidRPr="00A3226B">
        <w:rPr>
          <w:rFonts w:ascii="Times New Roman" w:eastAsia="Calibri" w:hAnsi="Times New Roman" w:cs="Times New Roman"/>
          <w:sz w:val="24"/>
          <w:szCs w:val="24"/>
          <w:u w:val="single"/>
        </w:rPr>
        <w:t>Section 25</w:t>
      </w:r>
      <w:r w:rsidRPr="00A3226B">
        <w:rPr>
          <w:rFonts w:ascii="Times New Roman" w:eastAsia="Calibri" w:hAnsi="Times New Roman" w:cs="Times New Roman"/>
          <w:sz w:val="24"/>
          <w:szCs w:val="24"/>
        </w:rPr>
        <w:tab/>
        <w:t>Provides that, except for Section 22, the provisions of this Act take effect on July 1, 2016.</w:t>
      </w:r>
    </w:p>
    <w:p w:rsidR="0091412B" w:rsidRPr="0091412B" w:rsidRDefault="0091412B" w:rsidP="0091412B">
      <w:pPr>
        <w:rPr>
          <w:rFonts w:ascii="Garamond" w:hAnsi="Garamond"/>
          <w:sz w:val="24"/>
        </w:rPr>
      </w:pPr>
    </w:p>
    <w:p w:rsidR="0091412B" w:rsidRDefault="0091412B" w:rsidP="0091412B">
      <w:pPr>
        <w:spacing w:after="0" w:line="220" w:lineRule="exact"/>
        <w:ind w:left="-72"/>
        <w:jc w:val="center"/>
        <w:rPr>
          <w:rFonts w:ascii="Minion Pro" w:hAnsi="Minion Pro"/>
          <w:color w:val="676C73"/>
          <w:sz w:val="20"/>
          <w:szCs w:val="20"/>
        </w:rPr>
      </w:pPr>
    </w:p>
    <w:p w:rsidR="0091412B" w:rsidRDefault="0091412B" w:rsidP="0091412B">
      <w:pPr>
        <w:spacing w:after="0" w:line="220" w:lineRule="exact"/>
        <w:ind w:left="-72"/>
        <w:jc w:val="right"/>
        <w:rPr>
          <w:rFonts w:ascii="Minion Pro" w:hAnsi="Minion Pro"/>
          <w:color w:val="676C73"/>
          <w:sz w:val="20"/>
          <w:szCs w:val="20"/>
        </w:rPr>
      </w:pPr>
    </w:p>
    <w:p w:rsidR="0091412B" w:rsidRDefault="0091412B" w:rsidP="0091412B">
      <w:pPr>
        <w:spacing w:after="0" w:line="220" w:lineRule="exact"/>
        <w:ind w:left="-72"/>
        <w:jc w:val="right"/>
        <w:rPr>
          <w:rFonts w:ascii="Minion Pro" w:hAnsi="Minion Pro"/>
          <w:color w:val="676C73"/>
          <w:sz w:val="20"/>
          <w:szCs w:val="20"/>
        </w:rPr>
      </w:pPr>
    </w:p>
    <w:p w:rsidR="0091412B" w:rsidRDefault="0091412B" w:rsidP="0091412B">
      <w:pPr>
        <w:spacing w:after="0" w:line="220" w:lineRule="exact"/>
        <w:ind w:left="-72"/>
        <w:jc w:val="right"/>
        <w:rPr>
          <w:rFonts w:ascii="Century Gothic" w:hAnsi="Century Gothic"/>
          <w:color w:val="0F243E" w:themeColor="text2" w:themeShade="80"/>
          <w:sz w:val="16"/>
          <w:szCs w:val="12"/>
        </w:rPr>
        <w:sectPr w:rsidR="0091412B" w:rsidSect="00E6412E">
          <w:headerReference w:type="even" r:id="rId9"/>
          <w:headerReference w:type="default" r:id="rId10"/>
          <w:headerReference w:type="first" r:id="rId11"/>
          <w:type w:val="continuous"/>
          <w:pgSz w:w="12240" w:h="15840"/>
          <w:pgMar w:top="720" w:right="720" w:bottom="994" w:left="1440" w:header="0" w:footer="0" w:gutter="0"/>
          <w:cols w:space="720"/>
          <w:titlePg/>
          <w:docGrid w:linePitch="360"/>
        </w:sectPr>
      </w:pPr>
    </w:p>
    <w:p w:rsidR="00F94391" w:rsidRPr="005F3B12" w:rsidRDefault="00F94391" w:rsidP="005F3B12">
      <w:pPr>
        <w:spacing w:after="0" w:line="240" w:lineRule="auto"/>
        <w:rPr>
          <w:rFonts w:ascii="Times New Roman" w:hAnsi="Times New Roman" w:cs="Times New Roman"/>
          <w:color w:val="0F243E" w:themeColor="text2" w:themeShade="80"/>
          <w:sz w:val="24"/>
          <w:szCs w:val="24"/>
        </w:rPr>
      </w:pPr>
    </w:p>
    <w:p w:rsidR="00F94391" w:rsidRPr="005F3B12" w:rsidRDefault="00F94391" w:rsidP="005F3B12">
      <w:pPr>
        <w:spacing w:after="0" w:line="240" w:lineRule="auto"/>
        <w:rPr>
          <w:rFonts w:ascii="Times New Roman" w:hAnsi="Times New Roman" w:cs="Times New Roman"/>
          <w:color w:val="0F243E" w:themeColor="text2" w:themeShade="80"/>
          <w:sz w:val="24"/>
          <w:szCs w:val="24"/>
        </w:rPr>
        <w:sectPr w:rsidR="00F94391" w:rsidRPr="005F3B12" w:rsidSect="001E274A">
          <w:type w:val="continuous"/>
          <w:pgSz w:w="12240" w:h="15840"/>
          <w:pgMar w:top="720" w:right="1440" w:bottom="994" w:left="1440" w:header="0" w:footer="0" w:gutter="0"/>
          <w:cols w:space="720"/>
          <w:titlePg/>
          <w:docGrid w:linePitch="360"/>
        </w:sectPr>
      </w:pPr>
    </w:p>
    <w:p w:rsidR="00E6412E" w:rsidRDefault="00E6412E" w:rsidP="00607E35">
      <w:pPr>
        <w:spacing w:after="0"/>
        <w:contextualSpacing/>
        <w:rPr>
          <w:rFonts w:ascii="Times New Roman" w:hAnsi="Times New Roman" w:cs="Times New Roman"/>
          <w:sz w:val="24"/>
          <w:szCs w:val="24"/>
        </w:rPr>
      </w:pPr>
    </w:p>
    <w:p w:rsidR="000A0162" w:rsidRDefault="000A0162" w:rsidP="00607E35">
      <w:pPr>
        <w:spacing w:after="0"/>
        <w:contextualSpacing/>
        <w:rPr>
          <w:rFonts w:ascii="Times New Roman" w:hAnsi="Times New Roman" w:cs="Times New Roman"/>
          <w:sz w:val="24"/>
          <w:szCs w:val="24"/>
        </w:rPr>
      </w:pPr>
    </w:p>
    <w:p w:rsidR="000A0162" w:rsidRDefault="000A0162" w:rsidP="00607E35">
      <w:pPr>
        <w:spacing w:after="0"/>
        <w:contextualSpacing/>
        <w:rPr>
          <w:rFonts w:ascii="Times New Roman" w:hAnsi="Times New Roman" w:cs="Times New Roman"/>
          <w:sz w:val="24"/>
          <w:szCs w:val="24"/>
        </w:rPr>
      </w:pPr>
    </w:p>
    <w:sectPr w:rsidR="000A0162" w:rsidSect="00607E35">
      <w:type w:val="continuous"/>
      <w:pgSz w:w="12240" w:h="15840"/>
      <w:pgMar w:top="720" w:right="1440" w:bottom="994"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490" w:rsidRDefault="00E64490" w:rsidP="004742F4">
      <w:pPr>
        <w:spacing w:after="0" w:line="240" w:lineRule="auto"/>
      </w:pPr>
      <w:r>
        <w:separator/>
      </w:r>
    </w:p>
  </w:endnote>
  <w:endnote w:type="continuationSeparator" w:id="0">
    <w:p w:rsidR="00E64490" w:rsidRDefault="00E64490" w:rsidP="004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490" w:rsidRDefault="00E64490" w:rsidP="004742F4">
      <w:pPr>
        <w:spacing w:after="0" w:line="240" w:lineRule="auto"/>
      </w:pPr>
      <w:r>
        <w:separator/>
      </w:r>
    </w:p>
  </w:footnote>
  <w:footnote w:type="continuationSeparator" w:id="0">
    <w:p w:rsidR="00E64490" w:rsidRDefault="00E64490" w:rsidP="00474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87" w:rsidRDefault="005B5A5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8" o:spid="_x0000_s2049" type="#_x0000_t75" style="position:absolute;margin-left:0;margin-top:0;width:612pt;height:11in;z-index:-251658240;mso-position-horizontal:center;mso-position-horizontal-relative:margin;mso-position-vertical:center;mso-position-vertical-relative:margin" o:allowincell="f">
          <v:imagedata r:id="rId1" o:title="AK Watermark (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87" w:rsidRDefault="006B5787" w:rsidP="004F5020">
    <w:pPr>
      <w:pStyle w:val="Header"/>
      <w:ind w:left="-720"/>
    </w:pPr>
  </w:p>
  <w:p w:rsidR="0091412B" w:rsidRDefault="0091412B" w:rsidP="004F5020">
    <w:pPr>
      <w:pStyle w:val="Header"/>
      <w:ind w:left="-720"/>
    </w:pPr>
  </w:p>
  <w:p w:rsidR="0091412B" w:rsidRPr="0091412B" w:rsidRDefault="0091412B" w:rsidP="004F5020">
    <w:pPr>
      <w:pStyle w:val="Header"/>
      <w:ind w:left="-720"/>
      <w:rPr>
        <w:rFonts w:ascii="Times New Roman" w:hAnsi="Times New Roman" w:cs="Times New Roman"/>
      </w:rPr>
    </w:pPr>
    <w:r w:rsidRPr="0091412B">
      <w:rPr>
        <w:rFonts w:ascii="Times New Roman" w:hAnsi="Times New Roman" w:cs="Times New Roman"/>
      </w:rPr>
      <w:t>Sectional Analysis</w:t>
    </w:r>
  </w:p>
  <w:p w:rsidR="0091412B" w:rsidRDefault="006E4B63" w:rsidP="004F5020">
    <w:pPr>
      <w:pStyle w:val="Header"/>
      <w:ind w:left="-720"/>
      <w:rPr>
        <w:rFonts w:ascii="Times New Roman" w:hAnsi="Times New Roman" w:cs="Times New Roman"/>
      </w:rPr>
    </w:pPr>
    <w:r>
      <w:rPr>
        <w:rFonts w:ascii="Times New Roman" w:hAnsi="Times New Roman" w:cs="Times New Roman"/>
      </w:rPr>
      <w:t>CSSB 78(FIN)</w:t>
    </w:r>
  </w:p>
  <w:p w:rsidR="0091412B" w:rsidRPr="0091412B" w:rsidRDefault="0091412B" w:rsidP="004F5020">
    <w:pPr>
      <w:pStyle w:val="Header"/>
      <w:ind w:left="-720"/>
      <w:rPr>
        <w:rFonts w:ascii="Times New Roman" w:hAnsi="Times New Roman" w:cs="Times New Roman"/>
      </w:rPr>
    </w:pPr>
    <w:r>
      <w:rPr>
        <w:rFonts w:ascii="Times New Roman" w:hAnsi="Times New Roman" w:cs="Times New Roman"/>
      </w:rPr>
      <w:t>January 2</w:t>
    </w:r>
    <w:r w:rsidR="006E4B63">
      <w:rPr>
        <w:rFonts w:ascii="Times New Roman" w:hAnsi="Times New Roman" w:cs="Times New Roman"/>
      </w:rPr>
      <w:t>6</w:t>
    </w:r>
    <w:r>
      <w:rPr>
        <w:rFonts w:ascii="Times New Roman" w:hAnsi="Times New Roman" w:cs="Times New Roman"/>
      </w:rPr>
      <w:t>, 2016</w:t>
    </w:r>
  </w:p>
  <w:p w:rsidR="0091412B" w:rsidRPr="0091412B" w:rsidRDefault="0091412B" w:rsidP="004F5020">
    <w:pPr>
      <w:pStyle w:val="Header"/>
      <w:ind w:left="-720"/>
      <w:rPr>
        <w:rFonts w:ascii="Times New Roman" w:hAnsi="Times New Roman" w:cs="Times New Roman"/>
      </w:rPr>
    </w:pPr>
    <w:r w:rsidRPr="0091412B">
      <w:rPr>
        <w:rFonts w:ascii="Times New Roman" w:hAnsi="Times New Roman" w:cs="Times New Roman"/>
      </w:rPr>
      <w:t xml:space="preserve">Page </w:t>
    </w:r>
    <w:r w:rsidRPr="0091412B">
      <w:rPr>
        <w:rFonts w:ascii="Times New Roman" w:hAnsi="Times New Roman" w:cs="Times New Roman"/>
      </w:rPr>
      <w:fldChar w:fldCharType="begin"/>
    </w:r>
    <w:r w:rsidRPr="0091412B">
      <w:rPr>
        <w:rFonts w:ascii="Times New Roman" w:hAnsi="Times New Roman" w:cs="Times New Roman"/>
      </w:rPr>
      <w:instrText xml:space="preserve"> PAGE   \* MERGEFORMAT </w:instrText>
    </w:r>
    <w:r w:rsidRPr="0091412B">
      <w:rPr>
        <w:rFonts w:ascii="Times New Roman" w:hAnsi="Times New Roman" w:cs="Times New Roman"/>
      </w:rPr>
      <w:fldChar w:fldCharType="separate"/>
    </w:r>
    <w:r w:rsidR="005B5A50">
      <w:rPr>
        <w:rFonts w:ascii="Times New Roman" w:hAnsi="Times New Roman" w:cs="Times New Roman"/>
        <w:noProof/>
      </w:rPr>
      <w:t>2</w:t>
    </w:r>
    <w:r w:rsidRPr="0091412B">
      <w:rPr>
        <w:rFonts w:ascii="Times New Roman" w:hAnsi="Times New Roman" w:cs="Times New Roman"/>
        <w:noProof/>
      </w:rPr>
      <w:fldChar w:fldCharType="end"/>
    </w:r>
  </w:p>
  <w:p w:rsidR="0091412B" w:rsidRDefault="0091412B" w:rsidP="004F5020">
    <w:pPr>
      <w:pStyle w:val="Header"/>
      <w:ind w:left="-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87" w:rsidRDefault="00C41640" w:rsidP="00020508">
    <w:pPr>
      <w:pStyle w:val="Header"/>
      <w:ind w:left="-864"/>
    </w:pPr>
    <w:r w:rsidRPr="00C41640">
      <w:rPr>
        <w:noProof/>
      </w:rPr>
      <w:drawing>
        <wp:anchor distT="0" distB="0" distL="114300" distR="114300" simplePos="0" relativeHeight="251657216" behindDoc="1" locked="0" layoutInCell="1" allowOverlap="1" wp14:anchorId="34120241" wp14:editId="31ED531A">
          <wp:simplePos x="0" y="0"/>
          <wp:positionH relativeFrom="column">
            <wp:posOffset>-525932</wp:posOffset>
          </wp:positionH>
          <wp:positionV relativeFrom="paragraph">
            <wp:posOffset>0</wp:posOffset>
          </wp:positionV>
          <wp:extent cx="7852105" cy="10168128"/>
          <wp:effectExtent l="19050" t="0" r="0" b="0"/>
          <wp:wrapNone/>
          <wp:docPr id="2" name="Picture 2" descr="AK Water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 Watermark (2).jpg"/>
                  <pic:cNvPicPr/>
                </pic:nvPicPr>
                <pic:blipFill>
                  <a:blip r:embed="rId1"/>
                  <a:stretch>
                    <a:fillRect/>
                  </a:stretch>
                </pic:blipFill>
                <pic:spPr>
                  <a:xfrm>
                    <a:off x="0" y="0"/>
                    <a:ext cx="7855323" cy="10172407"/>
                  </a:xfrm>
                  <a:prstGeom prst="rect">
                    <a:avLst/>
                  </a:prstGeom>
                </pic:spPr>
              </pic:pic>
            </a:graphicData>
          </a:graphic>
        </wp:anchor>
      </w:drawing>
    </w:r>
    <w:r w:rsidR="006B5787">
      <w:rPr>
        <w:noProof/>
      </w:rPr>
      <w:drawing>
        <wp:inline distT="0" distB="0" distL="0" distR="0" wp14:anchorId="7899DDF7" wp14:editId="41E53E8C">
          <wp:extent cx="8966891" cy="234086"/>
          <wp:effectExtent l="19050" t="0" r="565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rotWithShape="1">
                  <a:blip r:embed="rId2" cstate="print">
                    <a:extLst>
                      <a:ext uri="{28A0092B-C50C-407E-A947-70E740481C1C}">
                        <a14:useLocalDpi xmlns:a14="http://schemas.microsoft.com/office/drawing/2010/main" val="0"/>
                      </a:ext>
                    </a:extLst>
                  </a:blip>
                  <a:srcRect l="1142" r="171"/>
                  <a:stretch/>
                </pic:blipFill>
                <pic:spPr bwMode="auto">
                  <a:xfrm>
                    <a:off x="0" y="0"/>
                    <a:ext cx="9045418" cy="23613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614DE"/>
    <w:multiLevelType w:val="hybridMultilevel"/>
    <w:tmpl w:val="17E2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72652"/>
    <w:multiLevelType w:val="hybridMultilevel"/>
    <w:tmpl w:val="A9C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76D62"/>
    <w:multiLevelType w:val="multilevel"/>
    <w:tmpl w:val="2DB4C84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69"/>
    <w:rsid w:val="00020508"/>
    <w:rsid w:val="00032E8E"/>
    <w:rsid w:val="00082155"/>
    <w:rsid w:val="000918BB"/>
    <w:rsid w:val="000A0162"/>
    <w:rsid w:val="000A2DFE"/>
    <w:rsid w:val="000B10E0"/>
    <w:rsid w:val="000F6B43"/>
    <w:rsid w:val="00113B73"/>
    <w:rsid w:val="001259D9"/>
    <w:rsid w:val="00131741"/>
    <w:rsid w:val="001419A6"/>
    <w:rsid w:val="00157585"/>
    <w:rsid w:val="00170061"/>
    <w:rsid w:val="001B7363"/>
    <w:rsid w:val="001C2197"/>
    <w:rsid w:val="001E274A"/>
    <w:rsid w:val="001E7470"/>
    <w:rsid w:val="001F5F1E"/>
    <w:rsid w:val="00215D85"/>
    <w:rsid w:val="002432F5"/>
    <w:rsid w:val="00264252"/>
    <w:rsid w:val="00266145"/>
    <w:rsid w:val="00277371"/>
    <w:rsid w:val="002C29C2"/>
    <w:rsid w:val="002C3C98"/>
    <w:rsid w:val="002F60D9"/>
    <w:rsid w:val="002F7211"/>
    <w:rsid w:val="00300378"/>
    <w:rsid w:val="00337B8B"/>
    <w:rsid w:val="00363578"/>
    <w:rsid w:val="00394286"/>
    <w:rsid w:val="003A232F"/>
    <w:rsid w:val="003E63C4"/>
    <w:rsid w:val="003F4A94"/>
    <w:rsid w:val="00432EEF"/>
    <w:rsid w:val="004742F4"/>
    <w:rsid w:val="004A2251"/>
    <w:rsid w:val="004C0235"/>
    <w:rsid w:val="004C4935"/>
    <w:rsid w:val="004D6286"/>
    <w:rsid w:val="004F5020"/>
    <w:rsid w:val="00522194"/>
    <w:rsid w:val="00536A9A"/>
    <w:rsid w:val="00553B91"/>
    <w:rsid w:val="005B5A50"/>
    <w:rsid w:val="005F3B12"/>
    <w:rsid w:val="00607E35"/>
    <w:rsid w:val="00632383"/>
    <w:rsid w:val="0063659F"/>
    <w:rsid w:val="00671BB1"/>
    <w:rsid w:val="00677069"/>
    <w:rsid w:val="006B5787"/>
    <w:rsid w:val="006C18AD"/>
    <w:rsid w:val="006D39B9"/>
    <w:rsid w:val="006E4B63"/>
    <w:rsid w:val="00700D08"/>
    <w:rsid w:val="00714914"/>
    <w:rsid w:val="00723931"/>
    <w:rsid w:val="0076503D"/>
    <w:rsid w:val="007E56B0"/>
    <w:rsid w:val="00807663"/>
    <w:rsid w:val="0080772A"/>
    <w:rsid w:val="00842AB7"/>
    <w:rsid w:val="0085763F"/>
    <w:rsid w:val="008732AE"/>
    <w:rsid w:val="008B35A9"/>
    <w:rsid w:val="0091412B"/>
    <w:rsid w:val="00921003"/>
    <w:rsid w:val="0096216E"/>
    <w:rsid w:val="009720A8"/>
    <w:rsid w:val="009A3AC3"/>
    <w:rsid w:val="009C0230"/>
    <w:rsid w:val="009C22D9"/>
    <w:rsid w:val="009E7A92"/>
    <w:rsid w:val="00A15CAE"/>
    <w:rsid w:val="00A3226B"/>
    <w:rsid w:val="00A451CF"/>
    <w:rsid w:val="00A62281"/>
    <w:rsid w:val="00A80896"/>
    <w:rsid w:val="00AA5E3E"/>
    <w:rsid w:val="00AE5307"/>
    <w:rsid w:val="00B20571"/>
    <w:rsid w:val="00B21AC6"/>
    <w:rsid w:val="00B25720"/>
    <w:rsid w:val="00B50C54"/>
    <w:rsid w:val="00B65AD1"/>
    <w:rsid w:val="00B71364"/>
    <w:rsid w:val="00BD307D"/>
    <w:rsid w:val="00BD7F57"/>
    <w:rsid w:val="00BF43CC"/>
    <w:rsid w:val="00C2101D"/>
    <w:rsid w:val="00C34297"/>
    <w:rsid w:val="00C354B8"/>
    <w:rsid w:val="00C41640"/>
    <w:rsid w:val="00C43C6A"/>
    <w:rsid w:val="00C63A12"/>
    <w:rsid w:val="00C65EB1"/>
    <w:rsid w:val="00C7028D"/>
    <w:rsid w:val="00C7517F"/>
    <w:rsid w:val="00C84FBD"/>
    <w:rsid w:val="00C91A13"/>
    <w:rsid w:val="00CA3ED6"/>
    <w:rsid w:val="00D33774"/>
    <w:rsid w:val="00D56F8B"/>
    <w:rsid w:val="00D61F5D"/>
    <w:rsid w:val="00E1665D"/>
    <w:rsid w:val="00E3752D"/>
    <w:rsid w:val="00E63D7E"/>
    <w:rsid w:val="00E6412E"/>
    <w:rsid w:val="00E64490"/>
    <w:rsid w:val="00E93F81"/>
    <w:rsid w:val="00E95F3C"/>
    <w:rsid w:val="00EF070E"/>
    <w:rsid w:val="00F05A25"/>
    <w:rsid w:val="00F65111"/>
    <w:rsid w:val="00F92288"/>
    <w:rsid w:val="00F94391"/>
    <w:rsid w:val="00FB52FC"/>
    <w:rsid w:val="00FC24B7"/>
    <w:rsid w:val="00FE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4087336-16E1-4E39-B8E8-DEBDFB0E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069"/>
    <w:rPr>
      <w:rFonts w:ascii="Tahoma" w:hAnsi="Tahoma" w:cs="Tahoma"/>
      <w:sz w:val="16"/>
      <w:szCs w:val="16"/>
    </w:rPr>
  </w:style>
  <w:style w:type="paragraph" w:styleId="Header">
    <w:name w:val="header"/>
    <w:basedOn w:val="Normal"/>
    <w:link w:val="HeaderChar"/>
    <w:uiPriority w:val="99"/>
    <w:unhideWhenUsed/>
    <w:rsid w:val="00474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F4"/>
  </w:style>
  <w:style w:type="paragraph" w:styleId="Footer">
    <w:name w:val="footer"/>
    <w:basedOn w:val="Normal"/>
    <w:link w:val="FooterChar"/>
    <w:uiPriority w:val="99"/>
    <w:unhideWhenUsed/>
    <w:rsid w:val="00474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F4"/>
  </w:style>
  <w:style w:type="character" w:styleId="PlaceholderText">
    <w:name w:val="Placeholder Text"/>
    <w:basedOn w:val="DefaultParagraphFont"/>
    <w:uiPriority w:val="99"/>
    <w:semiHidden/>
    <w:rsid w:val="00B50C54"/>
    <w:rPr>
      <w:color w:val="808080"/>
    </w:rPr>
  </w:style>
  <w:style w:type="character" w:styleId="Hyperlink">
    <w:name w:val="Hyperlink"/>
    <w:basedOn w:val="DefaultParagraphFont"/>
    <w:uiPriority w:val="99"/>
    <w:unhideWhenUsed/>
    <w:rsid w:val="00E6412E"/>
    <w:rPr>
      <w:color w:val="0000FF" w:themeColor="hyperlink"/>
      <w:u w:val="single"/>
    </w:rPr>
  </w:style>
  <w:style w:type="paragraph" w:styleId="NoSpacing">
    <w:name w:val="No Spacing"/>
    <w:uiPriority w:val="1"/>
    <w:qFormat/>
    <w:rsid w:val="001E274A"/>
    <w:pPr>
      <w:spacing w:after="0" w:line="240" w:lineRule="auto"/>
    </w:pPr>
  </w:style>
  <w:style w:type="paragraph" w:styleId="ListParagraph">
    <w:name w:val="List Paragraph"/>
    <w:basedOn w:val="Normal"/>
    <w:uiPriority w:val="34"/>
    <w:qFormat/>
    <w:rsid w:val="000A0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3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CDD8-4BB3-4C1A-B5A1-267ED685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 Soukup</dc:creator>
  <cp:lastModifiedBy>Doniece Gott</cp:lastModifiedBy>
  <cp:revision>2</cp:revision>
  <cp:lastPrinted>2016-01-27T17:35:00Z</cp:lastPrinted>
  <dcterms:created xsi:type="dcterms:W3CDTF">2016-01-27T17:38:00Z</dcterms:created>
  <dcterms:modified xsi:type="dcterms:W3CDTF">2016-01-27T17:38:00Z</dcterms:modified>
</cp:coreProperties>
</file>