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7F" w:rsidRPr="00F25743" w:rsidRDefault="00CC593C" w:rsidP="00D8597F">
      <w:pPr>
        <w:spacing w:line="48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Sectional Analysis</w:t>
      </w:r>
      <w:r w:rsidR="00566645" w:rsidRPr="00F25743">
        <w:rPr>
          <w:rFonts w:ascii="Garamond" w:hAnsi="Garamond"/>
          <w:b/>
          <w:sz w:val="24"/>
          <w:szCs w:val="24"/>
        </w:rPr>
        <w:t xml:space="preserve"> </w:t>
      </w:r>
      <w:r w:rsidR="00D8597F" w:rsidRPr="00F25743">
        <w:rPr>
          <w:rFonts w:ascii="Garamond" w:hAnsi="Garamond"/>
          <w:b/>
          <w:sz w:val="24"/>
          <w:szCs w:val="24"/>
        </w:rPr>
        <w:t xml:space="preserve">for House Bill </w:t>
      </w:r>
      <w:r w:rsidR="00787EC9">
        <w:rPr>
          <w:rFonts w:ascii="Garamond" w:hAnsi="Garamond"/>
          <w:b/>
          <w:sz w:val="24"/>
          <w:szCs w:val="24"/>
        </w:rPr>
        <w:t>140</w:t>
      </w:r>
    </w:p>
    <w:p w:rsidR="00F25743" w:rsidRPr="00787EC9" w:rsidRDefault="00787EC9" w:rsidP="004528EE">
      <w:pPr>
        <w:ind w:left="-90" w:firstLine="90"/>
        <w:jc w:val="center"/>
        <w:rPr>
          <w:rFonts w:ascii="Garamond" w:hAnsi="Garamond" w:cs="Times New Roman"/>
          <w:i/>
          <w:sz w:val="24"/>
          <w:szCs w:val="24"/>
        </w:rPr>
      </w:pPr>
      <w:r w:rsidRPr="00787EC9">
        <w:rPr>
          <w:rFonts w:ascii="Garamond" w:hAnsi="Garamond" w:cs="Times New Roman"/>
          <w:i/>
          <w:sz w:val="24"/>
          <w:szCs w:val="24"/>
        </w:rPr>
        <w:t>"An Act relating to the information that must be included with certain notices provided for the proposed adoption, amendment, or repeal of a regulation."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sz w:val="24"/>
          <w:szCs w:val="24"/>
        </w:rPr>
        <w:t>In this summary, “RCA” refers to the Regulatory Commission of Alaska, “BOF” refers to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the Board of Fisheries, “BOG’ refers to the Board of Game, and “AOGCC” refers to the Alaska Oil and Gas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Conservation Commission.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1.</w:t>
      </w:r>
      <w:r w:rsidRPr="008C18A8">
        <w:rPr>
          <w:rFonts w:ascii="Garamond" w:hAnsi="Garamond" w:cs="Times New Roman"/>
          <w:sz w:val="24"/>
          <w:szCs w:val="24"/>
        </w:rPr>
        <w:t xml:space="preserve"> Gives the Act a short title.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 xml:space="preserve">Bill section 2. </w:t>
      </w:r>
      <w:r w:rsidRPr="008C18A8">
        <w:rPr>
          <w:rFonts w:ascii="Garamond" w:hAnsi="Garamond" w:cs="Times New Roman"/>
          <w:sz w:val="24"/>
          <w:szCs w:val="24"/>
        </w:rPr>
        <w:t>Amends AS 44.62.040(c) to remove the general exemption for boards and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commissions. Retains exemptions for the RCA, BOF, BOG, and AOGCC.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Allows the governor 30 days to return regulations to the adopting agency</w:t>
      </w:r>
      <w:r w:rsidRPr="008C18A8">
        <w:rPr>
          <w:rFonts w:ascii="Garamond" w:hAnsi="Garamond" w:cs="Times New Roman"/>
          <w:sz w:val="24"/>
          <w:szCs w:val="24"/>
        </w:rPr>
        <w:t xml:space="preserve"> if there is an inconsistency with state law or specific concerns raised by the Administrative Regulation Review Committee. 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3.</w:t>
      </w:r>
      <w:r w:rsidRPr="008C18A8">
        <w:rPr>
          <w:rFonts w:ascii="Garamond" w:hAnsi="Garamond" w:cs="Times New Roman"/>
          <w:sz w:val="24"/>
          <w:szCs w:val="24"/>
        </w:rPr>
        <w:t xml:space="preserve"> Amends AS 44.62.190(d) to identify additi</w:t>
      </w:r>
      <w:r w:rsidRPr="008C18A8">
        <w:rPr>
          <w:rFonts w:ascii="Garamond" w:hAnsi="Garamond" w:cs="Times New Roman"/>
          <w:sz w:val="24"/>
          <w:szCs w:val="24"/>
        </w:rPr>
        <w:t xml:space="preserve">onal information to include, if </w:t>
      </w:r>
      <w:r w:rsidRPr="008C18A8">
        <w:rPr>
          <w:rFonts w:ascii="Garamond" w:hAnsi="Garamond" w:cs="Times New Roman"/>
          <w:sz w:val="24"/>
          <w:szCs w:val="24"/>
        </w:rPr>
        <w:t>applicable, about the reason for the proposed action, including federal or state action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requiring the proposed action. Adds information that is to be provided for the estimated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annual costs of the proposed action, including the costs to private persons, other state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agencies, and municipalities. States that the estimated annual costs are to be based on a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good faith effort to estimate the costs using information available to the state agency.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sz w:val="24"/>
          <w:szCs w:val="24"/>
        </w:rPr>
        <w:t>Exempts the RCA, BOF, BOG, and AOGCC from this subsection.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4.</w:t>
      </w:r>
      <w:r w:rsidRPr="008C18A8">
        <w:rPr>
          <w:rFonts w:ascii="Garamond" w:hAnsi="Garamond" w:cs="Times New Roman"/>
          <w:sz w:val="24"/>
          <w:szCs w:val="24"/>
        </w:rPr>
        <w:t xml:space="preserve"> Adds new subsections to the notice statute, AS 44.62.190. The first,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sz w:val="24"/>
          <w:szCs w:val="24"/>
        </w:rPr>
        <w:t>sec. 44.62.190(f), requires, as feasible, that the subject lines of electronic mail and titles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of written publications providing the information required by AS 44.62.190(d) give the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reader a fair idea of the substance of the proposed regulation, amended regulation, or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repealed regulation.</w:t>
      </w:r>
      <w:r w:rsidR="00464157">
        <w:rPr>
          <w:rFonts w:ascii="Garamond" w:hAnsi="Garamond" w:cs="Times New Roman"/>
          <w:sz w:val="24"/>
          <w:szCs w:val="24"/>
        </w:rPr>
        <w:t xml:space="preserve"> </w:t>
      </w:r>
      <w:bookmarkStart w:id="0" w:name="_GoBack"/>
      <w:bookmarkEnd w:id="0"/>
      <w:r w:rsidRPr="008C18A8">
        <w:rPr>
          <w:rFonts w:ascii="Garamond" w:hAnsi="Garamond" w:cs="Times New Roman"/>
          <w:sz w:val="24"/>
          <w:szCs w:val="24"/>
        </w:rPr>
        <w:t>The second, sec. 44.62.190(g), requires the RCA, BOF, BOG, and AOGCC to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include certain information along with a notice furnished under specific provisions of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AS 44.62.190. This language is basically taken from the current language of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AS 44.62.190(d).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5.</w:t>
      </w:r>
      <w:r w:rsidRPr="008C18A8">
        <w:rPr>
          <w:rFonts w:ascii="Garamond" w:hAnsi="Garamond" w:cs="Times New Roman"/>
          <w:sz w:val="24"/>
          <w:szCs w:val="24"/>
        </w:rPr>
        <w:t xml:space="preserve"> Amends AS 44.62.200(c) to require that a complete copy of each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regulatory action, and, if feasible, the material incorporated by reference, be made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available on the Alaska Online Public Notice System by providing an electronic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 xml:space="preserve">attachment or link. 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sz w:val="24"/>
          <w:szCs w:val="24"/>
        </w:rPr>
        <w:t>Exempts the RCA, BOF, BOG, and AOGCC from these new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requirements.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lastRenderedPageBreak/>
        <w:t>Bill section 6.</w:t>
      </w:r>
      <w:r w:rsidRPr="008C18A8">
        <w:rPr>
          <w:rFonts w:ascii="Garamond" w:hAnsi="Garamond" w:cs="Times New Roman"/>
          <w:sz w:val="24"/>
          <w:szCs w:val="24"/>
        </w:rPr>
        <w:t xml:space="preserve"> Amends AS 44.62.200(d) to add </w:t>
      </w:r>
      <w:r w:rsidRPr="008C18A8">
        <w:rPr>
          <w:rFonts w:ascii="Garamond" w:hAnsi="Garamond" w:cs="Times New Roman"/>
          <w:sz w:val="24"/>
          <w:szCs w:val="24"/>
        </w:rPr>
        <w:t xml:space="preserve">back in the </w:t>
      </w:r>
      <w:r w:rsidRPr="008C18A8">
        <w:rPr>
          <w:rFonts w:ascii="Garamond" w:hAnsi="Garamond" w:cs="Times New Roman"/>
          <w:sz w:val="24"/>
          <w:szCs w:val="24"/>
        </w:rPr>
        <w:t xml:space="preserve">exemptions for the </w:t>
      </w:r>
      <w:r w:rsidRPr="008C18A8">
        <w:rPr>
          <w:rFonts w:ascii="Garamond" w:hAnsi="Garamond" w:cs="Times New Roman"/>
          <w:sz w:val="24"/>
          <w:szCs w:val="24"/>
        </w:rPr>
        <w:t xml:space="preserve">RCA, BOF, and BOG </w:t>
      </w:r>
      <w:r w:rsidRPr="008C18A8">
        <w:rPr>
          <w:rFonts w:ascii="Garamond" w:hAnsi="Garamond" w:cs="Times New Roman"/>
          <w:sz w:val="24"/>
          <w:szCs w:val="24"/>
        </w:rPr>
        <w:t>from the requirement to provide a brief description of the changes made by the proposed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regulation, amended regulation, or repealed regulation. Removes the language (now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appearing in bill sec. 10) that prohibits an action for failure of the brief description to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comply with certain description, clarity, and readability requirements.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7.</w:t>
      </w:r>
      <w:r w:rsidRPr="008C18A8">
        <w:rPr>
          <w:rFonts w:ascii="Garamond" w:hAnsi="Garamond" w:cs="Times New Roman"/>
          <w:sz w:val="24"/>
          <w:szCs w:val="24"/>
        </w:rPr>
        <w:t xml:space="preserve"> Adds sec. 44.62.213(a) to authorize contact between agencies and the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public when developing regulations.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Adds sec. 44.62.213(b), which directs agencies to make a good faith effort to answer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written or at-meeting questions before the public comment period ends. After that,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allows an agency to answer the questions. Requires an answer to be written and that the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question and answer be made available to the public. A</w:t>
      </w:r>
      <w:r w:rsidRPr="008C18A8">
        <w:rPr>
          <w:rFonts w:ascii="Garamond" w:hAnsi="Garamond" w:cs="Times New Roman"/>
          <w:sz w:val="24"/>
          <w:szCs w:val="24"/>
        </w:rPr>
        <w:t xml:space="preserve">llows an agency to post answers </w:t>
      </w:r>
      <w:r w:rsidRPr="008C18A8">
        <w:rPr>
          <w:rFonts w:ascii="Garamond" w:hAnsi="Garamond" w:cs="Times New Roman"/>
          <w:sz w:val="24"/>
          <w:szCs w:val="24"/>
        </w:rPr>
        <w:t>to frequently asked questions on the Alaska Online Public Notice System, to aggregate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substantially similar questions and responses, and to provide a single consolidated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response to similar questions.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sz w:val="24"/>
          <w:szCs w:val="24"/>
        </w:rPr>
        <w:t>In sec. 44.62.213(c), exempts the RCA, BOF, BOG, and AOGCC from</w:t>
      </w:r>
      <w:r w:rsidRPr="008C18A8">
        <w:rPr>
          <w:rFonts w:ascii="Garamond" w:hAnsi="Garamond" w:cs="Times New Roman"/>
          <w:sz w:val="24"/>
          <w:szCs w:val="24"/>
        </w:rPr>
        <w:t xml:space="preserve"> sec.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="00854F84" w:rsidRPr="008C18A8">
        <w:rPr>
          <w:rFonts w:ascii="Garamond" w:hAnsi="Garamond" w:cs="Times New Roman"/>
          <w:sz w:val="24"/>
          <w:szCs w:val="24"/>
        </w:rPr>
        <w:t>44.62.21</w:t>
      </w:r>
      <w:r w:rsidRPr="008C18A8">
        <w:rPr>
          <w:rFonts w:ascii="Garamond" w:hAnsi="Garamond" w:cs="Times New Roman"/>
          <w:sz w:val="24"/>
          <w:szCs w:val="24"/>
        </w:rPr>
        <w:t>3.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8.</w:t>
      </w:r>
      <w:r w:rsidRPr="008C18A8">
        <w:rPr>
          <w:rFonts w:ascii="Garamond" w:hAnsi="Garamond" w:cs="Times New Roman"/>
          <w:sz w:val="24"/>
          <w:szCs w:val="24"/>
        </w:rPr>
        <w:t xml:space="preserve"> Amends AS 44.62.215, which requires an agency to keep a record of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public comment when adopting a regulation, to delete the general exemption for boards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and</w:t>
      </w:r>
      <w:r w:rsidRPr="008C18A8">
        <w:rPr>
          <w:rFonts w:ascii="Garamond" w:hAnsi="Garamond" w:cs="Times New Roman"/>
          <w:sz w:val="24"/>
          <w:szCs w:val="24"/>
        </w:rPr>
        <w:t xml:space="preserve"> Commissions,</w:t>
      </w:r>
      <w:r w:rsidRPr="008C18A8">
        <w:rPr>
          <w:rFonts w:ascii="Garamond" w:hAnsi="Garamond" w:cs="Times New Roman"/>
          <w:sz w:val="24"/>
          <w:szCs w:val="24"/>
        </w:rPr>
        <w:t xml:space="preserve"> and to require that an agency keep a record of public comment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 xml:space="preserve">received electronically or orally as well as in writing. </w:t>
      </w:r>
    </w:p>
    <w:p w:rsidR="008C18A8" w:rsidRDefault="008C18A8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sz w:val="24"/>
          <w:szCs w:val="24"/>
        </w:rPr>
        <w:t>Exempts</w:t>
      </w:r>
      <w:r w:rsidRPr="008C18A8">
        <w:rPr>
          <w:rFonts w:ascii="Garamond" w:hAnsi="Garamond" w:cs="Times New Roman"/>
          <w:sz w:val="24"/>
          <w:szCs w:val="24"/>
        </w:rPr>
        <w:t xml:space="preserve"> the RCA,</w:t>
      </w:r>
      <w:r w:rsidRPr="008C18A8">
        <w:rPr>
          <w:rFonts w:ascii="Garamond" w:hAnsi="Garamond" w:cs="Times New Roman"/>
          <w:sz w:val="24"/>
          <w:szCs w:val="24"/>
        </w:rPr>
        <w:t xml:space="preserve"> BOF, BOG, </w:t>
      </w:r>
      <w:r w:rsidRPr="008C18A8">
        <w:rPr>
          <w:rFonts w:ascii="Garamond" w:hAnsi="Garamond" w:cs="Times New Roman"/>
          <w:sz w:val="24"/>
          <w:szCs w:val="24"/>
        </w:rPr>
        <w:t>and AOGCC.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9.</w:t>
      </w:r>
      <w:r w:rsidRPr="008C18A8">
        <w:rPr>
          <w:rFonts w:ascii="Garamond" w:hAnsi="Garamond" w:cs="Times New Roman"/>
          <w:sz w:val="24"/>
          <w:szCs w:val="24"/>
        </w:rPr>
        <w:t xml:space="preserve"> Amends AS 44.62.245(c) to require an agency to send certain notices to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 xml:space="preserve">the members of the Administrative Regulation Review Committee. 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 xml:space="preserve">Bill section 10. </w:t>
      </w:r>
      <w:r w:rsidRPr="008C18A8">
        <w:rPr>
          <w:rFonts w:ascii="Garamond" w:hAnsi="Garamond" w:cs="Times New Roman"/>
          <w:sz w:val="24"/>
          <w:szCs w:val="24"/>
        </w:rPr>
        <w:t>Adds a new subsection to the section that provides for judicial review of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the validity of regulations. The new subsection prohibits actions to challenge the validity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of regulations for certain failures related to certain new requirements of the bill.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11.</w:t>
      </w:r>
      <w:r w:rsidRPr="008C18A8">
        <w:rPr>
          <w:rFonts w:ascii="Garamond" w:hAnsi="Garamond" w:cs="Times New Roman"/>
          <w:sz w:val="24"/>
          <w:szCs w:val="24"/>
        </w:rPr>
        <w:t xml:space="preserve"> Amends AS 44.62.320 to add two new subsections. The first,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sec. 44.62.320(c), directs a state agency to submit its proposed regulations (and fiscal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information) to the Administrative Regulation Review Committee for review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when the regulations are submitted to the governor under AS 44,62.040(c). The second,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sec. 44.62.320(d), allows the Administrative Regulation Review Committee chair to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submit comments on a regulation to the governor within 10 days after receiving the</w:t>
      </w:r>
      <w:r w:rsidRPr="008C18A8">
        <w:rPr>
          <w:rFonts w:ascii="Garamond" w:hAnsi="Garamond" w:cs="Times New Roman"/>
          <w:sz w:val="24"/>
          <w:szCs w:val="24"/>
        </w:rPr>
        <w:t xml:space="preserve"> </w:t>
      </w:r>
      <w:r w:rsidRPr="008C18A8">
        <w:rPr>
          <w:rFonts w:ascii="Garamond" w:hAnsi="Garamond" w:cs="Times New Roman"/>
          <w:sz w:val="24"/>
          <w:szCs w:val="24"/>
        </w:rPr>
        <w:t>regulation from the agency under (c) of the section.</w:t>
      </w: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F5130" w:rsidRPr="008C18A8" w:rsidRDefault="002F5130" w:rsidP="002F513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C18A8">
        <w:rPr>
          <w:rFonts w:ascii="Garamond" w:hAnsi="Garamond" w:cs="Times New Roman"/>
          <w:b/>
          <w:sz w:val="24"/>
          <w:szCs w:val="24"/>
        </w:rPr>
        <w:t>Bill section 12.</w:t>
      </w:r>
      <w:r w:rsidRPr="008C18A8">
        <w:rPr>
          <w:rFonts w:ascii="Garamond" w:hAnsi="Garamond" w:cs="Times New Roman"/>
          <w:sz w:val="24"/>
          <w:szCs w:val="24"/>
        </w:rPr>
        <w:t xml:space="preserve"> Provides applicability provisions for the sections of the bill.</w:t>
      </w:r>
    </w:p>
    <w:sectPr w:rsidR="002F5130" w:rsidRPr="008C18A8" w:rsidSect="002F5130">
      <w:headerReference w:type="default" r:id="rId9"/>
      <w:footerReference w:type="default" r:id="rId10"/>
      <w:pgSz w:w="12240" w:h="15840"/>
      <w:pgMar w:top="1440" w:right="1440" w:bottom="450" w:left="1350" w:header="360" w:footer="4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75" w:rsidRDefault="00E52C75" w:rsidP="00996094">
      <w:pPr>
        <w:spacing w:after="0" w:line="240" w:lineRule="auto"/>
      </w:pPr>
      <w:r>
        <w:separator/>
      </w:r>
    </w:p>
  </w:endnote>
  <w:endnote w:type="continuationSeparator" w:id="0">
    <w:p w:rsidR="00E52C75" w:rsidRDefault="00E52C75" w:rsidP="009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8A8" w:rsidRPr="008C18A8" w:rsidRDefault="008C18A8">
    <w:pPr>
      <w:pStyle w:val="Footer"/>
      <w:pBdr>
        <w:top w:val="single" w:sz="4" w:space="1" w:color="D9D9D9" w:themeColor="background1" w:themeShade="D9"/>
      </w:pBdr>
      <w:jc w:val="right"/>
      <w:rPr>
        <w:rFonts w:ascii="Garamond" w:hAnsi="Garamond"/>
        <w:sz w:val="18"/>
        <w:szCs w:val="18"/>
      </w:rPr>
    </w:pPr>
  </w:p>
  <w:p w:rsidR="008C18A8" w:rsidRPr="00F609B0" w:rsidRDefault="008C18A8" w:rsidP="008C18A8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April 16, 2014</w:t>
    </w:r>
    <w:r w:rsidRPr="00F609B0">
      <w:rPr>
        <w:rFonts w:ascii="Garamond" w:hAnsi="Garamond"/>
        <w:sz w:val="20"/>
        <w:szCs w:val="20"/>
      </w:rPr>
      <w:ptab w:relativeTo="margin" w:alignment="center" w:leader="none"/>
    </w:r>
    <w:r w:rsidRPr="00F609B0">
      <w:rPr>
        <w:rFonts w:ascii="Garamond" w:hAnsi="Garamond"/>
        <w:sz w:val="20"/>
        <w:szCs w:val="20"/>
      </w:rPr>
      <w:t>28-LS0478\</w:t>
    </w:r>
    <w:r>
      <w:rPr>
        <w:rFonts w:ascii="Garamond" w:hAnsi="Garamond"/>
        <w:sz w:val="20"/>
        <w:szCs w:val="20"/>
      </w:rPr>
      <w:t>L</w:t>
    </w:r>
    <w:r w:rsidRPr="00F609B0">
      <w:rPr>
        <w:rFonts w:ascii="Garamond" w:hAnsi="Garamond"/>
        <w:sz w:val="20"/>
        <w:szCs w:val="20"/>
      </w:rPr>
      <w:ptab w:relativeTo="margin" w:alignment="right" w:leader="none"/>
    </w:r>
    <w:r w:rsidRPr="00F609B0">
      <w:rPr>
        <w:rFonts w:ascii="Garamond" w:hAnsi="Garamond"/>
        <w:sz w:val="20"/>
        <w:szCs w:val="20"/>
      </w:rPr>
      <w:t xml:space="preserve">Page </w:t>
    </w:r>
    <w:r w:rsidRPr="00F609B0">
      <w:rPr>
        <w:rFonts w:ascii="Garamond" w:hAnsi="Garamond"/>
        <w:sz w:val="20"/>
        <w:szCs w:val="20"/>
      </w:rPr>
      <w:fldChar w:fldCharType="begin"/>
    </w:r>
    <w:r w:rsidRPr="00F609B0">
      <w:rPr>
        <w:rFonts w:ascii="Garamond" w:hAnsi="Garamond"/>
        <w:sz w:val="20"/>
        <w:szCs w:val="20"/>
      </w:rPr>
      <w:instrText xml:space="preserve"> PAGE   \* MERGEFORMAT </w:instrText>
    </w:r>
    <w:r w:rsidRPr="00F609B0">
      <w:rPr>
        <w:rFonts w:ascii="Garamond" w:hAnsi="Garamond"/>
        <w:sz w:val="20"/>
        <w:szCs w:val="20"/>
      </w:rPr>
      <w:fldChar w:fldCharType="separate"/>
    </w:r>
    <w:r w:rsidR="004C7397">
      <w:rPr>
        <w:rFonts w:ascii="Garamond" w:hAnsi="Garamond"/>
        <w:noProof/>
        <w:sz w:val="20"/>
        <w:szCs w:val="20"/>
      </w:rPr>
      <w:t>2</w:t>
    </w:r>
    <w:r w:rsidRPr="00F609B0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75" w:rsidRDefault="00E52C75" w:rsidP="00996094">
      <w:pPr>
        <w:spacing w:after="0" w:line="240" w:lineRule="auto"/>
      </w:pPr>
      <w:r>
        <w:separator/>
      </w:r>
    </w:p>
  </w:footnote>
  <w:footnote w:type="continuationSeparator" w:id="0">
    <w:p w:rsidR="00E52C75" w:rsidRDefault="00E52C75" w:rsidP="0099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4" w:rsidRPr="00D8597F" w:rsidRDefault="00D8597F" w:rsidP="00D8597F">
    <w:pPr>
      <w:pStyle w:val="Header"/>
      <w:jc w:val="center"/>
      <w:rPr>
        <w:rFonts w:ascii="Book Antiqua" w:hAnsi="Book Antiqua"/>
        <w:sz w:val="28"/>
      </w:rPr>
    </w:pPr>
    <w:r w:rsidRPr="00D8597F">
      <w:rPr>
        <w:rFonts w:ascii="Book Antiqua" w:hAnsi="Book Antiqua"/>
        <w:sz w:val="28"/>
      </w:rPr>
      <w:t>Alaska State Legislature</w:t>
    </w:r>
  </w:p>
  <w:p w:rsidR="00D8597F" w:rsidRDefault="00D8597F" w:rsidP="00D8597F">
    <w:pPr>
      <w:pStyle w:val="Header"/>
      <w:jc w:val="center"/>
    </w:pPr>
    <w:r>
      <w:rPr>
        <w:noProof/>
      </w:rPr>
      <w:drawing>
        <wp:inline distT="0" distB="0" distL="0" distR="0" wp14:anchorId="3557D673" wp14:editId="05CABEB7">
          <wp:extent cx="1333500" cy="1257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5"/>
                  <a:stretch/>
                </pic:blipFill>
                <pic:spPr bwMode="auto">
                  <a:xfrm>
                    <a:off x="0" y="0"/>
                    <a:ext cx="1336727" cy="1260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31A7" w:rsidRPr="002F5130" w:rsidRDefault="00D631A7" w:rsidP="00D8597F">
    <w:pPr>
      <w:pStyle w:val="Header"/>
      <w:jc w:val="center"/>
      <w:rPr>
        <w:rFonts w:ascii="Book Antiqua" w:hAnsi="Book Antiqua"/>
        <w:b/>
        <w:sz w:val="16"/>
        <w:szCs w:val="16"/>
      </w:rPr>
    </w:pPr>
  </w:p>
  <w:p w:rsidR="00D8597F" w:rsidRPr="00D631A7" w:rsidRDefault="00D8597F" w:rsidP="00D8597F">
    <w:pPr>
      <w:pStyle w:val="Header"/>
      <w:jc w:val="center"/>
      <w:rPr>
        <w:rFonts w:ascii="Book Antiqua" w:hAnsi="Book Antiqua"/>
        <w:b/>
        <w:sz w:val="24"/>
      </w:rPr>
    </w:pPr>
    <w:r w:rsidRPr="00D631A7">
      <w:rPr>
        <w:rFonts w:ascii="Book Antiqua" w:hAnsi="Book Antiqua"/>
        <w:b/>
        <w:sz w:val="24"/>
      </w:rPr>
      <w:t>Representative Lora Reinbold</w:t>
    </w:r>
  </w:p>
  <w:p w:rsidR="00D8597F" w:rsidRDefault="00D8597F" w:rsidP="00D8597F">
    <w:pPr>
      <w:pStyle w:val="Header"/>
      <w:jc w:val="center"/>
      <w:rPr>
        <w:rFonts w:ascii="Book Antiqua" w:hAnsi="Book Antiqua"/>
      </w:rPr>
    </w:pPr>
    <w:r>
      <w:rPr>
        <w:rFonts w:ascii="Book Antiqua" w:hAnsi="Book Antiqua"/>
      </w:rPr>
      <w:t>House District 26</w:t>
    </w:r>
  </w:p>
  <w:p w:rsidR="002F5130" w:rsidRPr="00D8597F" w:rsidRDefault="002F5130" w:rsidP="00D8597F">
    <w:pPr>
      <w:pStyle w:val="Header"/>
      <w:jc w:val="center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156F9"/>
    <w:multiLevelType w:val="hybridMultilevel"/>
    <w:tmpl w:val="950C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4"/>
    <w:rsid w:val="00246BCD"/>
    <w:rsid w:val="002B68E8"/>
    <w:rsid w:val="002D2F8A"/>
    <w:rsid w:val="002D4F58"/>
    <w:rsid w:val="002F5130"/>
    <w:rsid w:val="004528EE"/>
    <w:rsid w:val="00464157"/>
    <w:rsid w:val="004A0019"/>
    <w:rsid w:val="004C7397"/>
    <w:rsid w:val="00566645"/>
    <w:rsid w:val="007025EC"/>
    <w:rsid w:val="00787EC9"/>
    <w:rsid w:val="0079198F"/>
    <w:rsid w:val="007C0196"/>
    <w:rsid w:val="00854F84"/>
    <w:rsid w:val="008C18A8"/>
    <w:rsid w:val="00996094"/>
    <w:rsid w:val="00BA7459"/>
    <w:rsid w:val="00CC593C"/>
    <w:rsid w:val="00D631A7"/>
    <w:rsid w:val="00D8597F"/>
    <w:rsid w:val="00E113C6"/>
    <w:rsid w:val="00E52C75"/>
    <w:rsid w:val="00F06386"/>
    <w:rsid w:val="00F2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94"/>
  </w:style>
  <w:style w:type="paragraph" w:styleId="Footer">
    <w:name w:val="footer"/>
    <w:basedOn w:val="Normal"/>
    <w:link w:val="Foot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94"/>
  </w:style>
  <w:style w:type="paragraph" w:styleId="BalloonText">
    <w:name w:val="Balloon Text"/>
    <w:basedOn w:val="Normal"/>
    <w:link w:val="BalloonTextChar"/>
    <w:uiPriority w:val="99"/>
    <w:semiHidden/>
    <w:unhideWhenUsed/>
    <w:rsid w:val="00D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94"/>
  </w:style>
  <w:style w:type="paragraph" w:styleId="Footer">
    <w:name w:val="footer"/>
    <w:basedOn w:val="Normal"/>
    <w:link w:val="Foot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94"/>
  </w:style>
  <w:style w:type="paragraph" w:styleId="BalloonText">
    <w:name w:val="Balloon Text"/>
    <w:basedOn w:val="Normal"/>
    <w:link w:val="BalloonTextChar"/>
    <w:uiPriority w:val="99"/>
    <w:semiHidden/>
    <w:unhideWhenUsed/>
    <w:rsid w:val="00D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1448-5D90-4593-A98F-608015B8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Legislative Affairs</dc:creator>
  <cp:lastModifiedBy>Legislative Affairs</cp:lastModifiedBy>
  <cp:revision>2</cp:revision>
  <cp:lastPrinted>2014-04-16T23:53:00Z</cp:lastPrinted>
  <dcterms:created xsi:type="dcterms:W3CDTF">2014-04-17T00:09:00Z</dcterms:created>
  <dcterms:modified xsi:type="dcterms:W3CDTF">2014-04-17T00:09:00Z</dcterms:modified>
</cp:coreProperties>
</file>