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81" w:rsidRPr="00F53848" w:rsidRDefault="002C4681" w:rsidP="00E42F2B">
      <w:pPr>
        <w:spacing w:after="120"/>
        <w:jc w:val="center"/>
        <w:rPr>
          <w:caps/>
          <w:sz w:val="40"/>
          <w:szCs w:val="40"/>
        </w:rPr>
      </w:pPr>
      <w:bookmarkStart w:id="0" w:name="_GoBack"/>
      <w:bookmarkEnd w:id="0"/>
      <w:r>
        <w:rPr>
          <w:bCs/>
          <w:caps/>
          <w:sz w:val="40"/>
          <w:szCs w:val="40"/>
        </w:rPr>
        <w:t xml:space="preserve">Statehood entitlement </w:t>
      </w:r>
    </w:p>
    <w:p w:rsidR="002C4681" w:rsidRPr="00E42F2B" w:rsidRDefault="002C4681" w:rsidP="00E42F2B">
      <w:pPr>
        <w:shd w:val="clear" w:color="auto" w:fill="1F497D"/>
        <w:contextualSpacing/>
        <w:jc w:val="center"/>
        <w:rPr>
          <w:bCs/>
          <w:smallCaps/>
          <w:color w:val="FFFFFF"/>
          <w:sz w:val="28"/>
          <w:szCs w:val="28"/>
        </w:rPr>
      </w:pPr>
      <w:r>
        <w:rPr>
          <w:bCs/>
          <w:smallCaps/>
          <w:color w:val="FFFFFF"/>
          <w:sz w:val="28"/>
          <w:szCs w:val="28"/>
        </w:rPr>
        <w:t xml:space="preserve">Comprehensive Overview and Outlook Briefing – </w:t>
      </w:r>
      <w:r w:rsidR="007D653D">
        <w:rPr>
          <w:bCs/>
          <w:smallCaps/>
          <w:color w:val="FFFFFF"/>
          <w:sz w:val="28"/>
          <w:szCs w:val="28"/>
        </w:rPr>
        <w:t>2</w:t>
      </w:r>
      <w:r>
        <w:rPr>
          <w:bCs/>
          <w:smallCaps/>
          <w:color w:val="FFFFFF"/>
          <w:sz w:val="28"/>
          <w:szCs w:val="28"/>
        </w:rPr>
        <w:t>/</w:t>
      </w:r>
      <w:r w:rsidR="007D653D">
        <w:rPr>
          <w:bCs/>
          <w:smallCaps/>
          <w:color w:val="FFFFFF"/>
          <w:sz w:val="28"/>
          <w:szCs w:val="28"/>
        </w:rPr>
        <w:t>19/2015</w:t>
      </w:r>
    </w:p>
    <w:p w:rsidR="00CA2F13" w:rsidRPr="00E42F2B" w:rsidRDefault="00CA2F13" w:rsidP="00CA2F13">
      <w:pPr>
        <w:pStyle w:val="Heading5"/>
        <w:rPr>
          <w:rStyle w:val="Strong"/>
          <w:rFonts w:ascii="Times New Roman" w:hAnsi="Times New Roman" w:cs="Times New Roman"/>
          <w:b/>
          <w:sz w:val="22"/>
          <w:szCs w:val="22"/>
          <w:u w:val="single"/>
        </w:rPr>
      </w:pPr>
      <w:r w:rsidRPr="00E42F2B">
        <w:rPr>
          <w:rStyle w:val="Strong"/>
          <w:rFonts w:ascii="Times New Roman" w:hAnsi="Times New Roman" w:cs="Times New Roman"/>
          <w:b/>
          <w:sz w:val="22"/>
          <w:szCs w:val="22"/>
          <w:u w:val="single"/>
        </w:rPr>
        <w:t xml:space="preserve">Purpose </w:t>
      </w:r>
    </w:p>
    <w:p w:rsidR="00CA2F13" w:rsidRPr="00E42F2B" w:rsidRDefault="00033321" w:rsidP="007D653D">
      <w:pPr>
        <w:pStyle w:val="NoSpacing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In the context of the Statehood land entitlement, t</w:t>
      </w:r>
      <w:r w:rsidR="007D653D">
        <w:rPr>
          <w:rFonts w:ascii="Times New Roman" w:hAnsi="Times New Roman"/>
          <w:szCs w:val="22"/>
        </w:rPr>
        <w:t xml:space="preserve">o provide a summary of the </w:t>
      </w:r>
      <w:r w:rsidR="00CA2F13" w:rsidRPr="00E42F2B">
        <w:rPr>
          <w:rFonts w:ascii="Times New Roman" w:hAnsi="Times New Roman"/>
          <w:szCs w:val="22"/>
        </w:rPr>
        <w:t xml:space="preserve">State of Alaska’s land entitlement history, processes, </w:t>
      </w:r>
      <w:r w:rsidR="007D653D">
        <w:rPr>
          <w:rFonts w:ascii="Times New Roman" w:hAnsi="Times New Roman"/>
          <w:szCs w:val="22"/>
        </w:rPr>
        <w:t xml:space="preserve">and </w:t>
      </w:r>
      <w:r w:rsidR="00CA2F13" w:rsidRPr="00E42F2B">
        <w:rPr>
          <w:rFonts w:ascii="Times New Roman" w:hAnsi="Times New Roman"/>
          <w:szCs w:val="22"/>
        </w:rPr>
        <w:t>rema</w:t>
      </w:r>
      <w:r w:rsidR="007D653D">
        <w:rPr>
          <w:rFonts w:ascii="Times New Roman" w:hAnsi="Times New Roman"/>
          <w:szCs w:val="22"/>
        </w:rPr>
        <w:t>ining entitlement.</w:t>
      </w:r>
    </w:p>
    <w:p w:rsidR="00CA2F13" w:rsidRPr="00E42F2B" w:rsidRDefault="00CA2F13" w:rsidP="00CA2F13">
      <w:pPr>
        <w:pStyle w:val="Heading5"/>
        <w:rPr>
          <w:rStyle w:val="Strong"/>
          <w:rFonts w:ascii="Times New Roman" w:hAnsi="Times New Roman" w:cs="Times New Roman"/>
          <w:b/>
          <w:sz w:val="22"/>
          <w:szCs w:val="22"/>
          <w:u w:val="single"/>
        </w:rPr>
      </w:pPr>
      <w:r w:rsidRPr="00E42F2B">
        <w:rPr>
          <w:rStyle w:val="Strong"/>
          <w:rFonts w:ascii="Times New Roman" w:hAnsi="Times New Roman" w:cs="Times New Roman"/>
          <w:b/>
          <w:sz w:val="22"/>
          <w:szCs w:val="22"/>
          <w:u w:val="single"/>
        </w:rPr>
        <w:t>Background</w:t>
      </w:r>
      <w:r w:rsidR="00957A51" w:rsidRPr="00E42F2B">
        <w:rPr>
          <w:rStyle w:val="Strong"/>
          <w:rFonts w:ascii="Times New Roman" w:hAnsi="Times New Roman" w:cs="Times New Roman"/>
          <w:b/>
          <w:sz w:val="22"/>
          <w:szCs w:val="22"/>
          <w:u w:val="single"/>
        </w:rPr>
        <w:t xml:space="preserve"> – History and Process</w:t>
      </w:r>
    </w:p>
    <w:p w:rsidR="00CA2F13" w:rsidRPr="00E42F2B" w:rsidRDefault="00CA2F13" w:rsidP="00CA2F13">
      <w:pPr>
        <w:pStyle w:val="NoSpacing"/>
        <w:rPr>
          <w:rFonts w:ascii="Times New Roman" w:hAnsi="Times New Roman"/>
          <w:szCs w:val="22"/>
        </w:rPr>
      </w:pPr>
      <w:r w:rsidRPr="00E42F2B">
        <w:rPr>
          <w:rFonts w:ascii="Times New Roman" w:hAnsi="Times New Roman"/>
          <w:szCs w:val="22"/>
        </w:rPr>
        <w:t xml:space="preserve">Under the 1959 Alaska Statehood Act, the federal government provided Alaska with </w:t>
      </w:r>
      <w:r w:rsidR="00273D1C" w:rsidRPr="00E42F2B">
        <w:rPr>
          <w:rFonts w:ascii="Times New Roman" w:hAnsi="Times New Roman"/>
          <w:szCs w:val="22"/>
        </w:rPr>
        <w:t xml:space="preserve">an approximately 100 </w:t>
      </w:r>
      <w:r w:rsidRPr="00E42F2B">
        <w:rPr>
          <w:rFonts w:ascii="Times New Roman" w:hAnsi="Times New Roman"/>
          <w:szCs w:val="22"/>
        </w:rPr>
        <w:t>million acre land entitlement – lands that would be taken into state ownership to</w:t>
      </w:r>
      <w:r w:rsidR="00273D1C" w:rsidRPr="00E42F2B">
        <w:rPr>
          <w:rFonts w:ascii="Times New Roman" w:hAnsi="Times New Roman"/>
          <w:szCs w:val="22"/>
        </w:rPr>
        <w:t xml:space="preserve"> </w:t>
      </w:r>
      <w:r w:rsidR="001951E8" w:rsidRPr="00E42F2B">
        <w:rPr>
          <w:rFonts w:ascii="Times New Roman" w:hAnsi="Times New Roman"/>
          <w:szCs w:val="22"/>
        </w:rPr>
        <w:t>provide a</w:t>
      </w:r>
      <w:r w:rsidR="001951E8">
        <w:rPr>
          <w:rFonts w:ascii="Times New Roman" w:hAnsi="Times New Roman"/>
          <w:szCs w:val="22"/>
        </w:rPr>
        <w:t xml:space="preserve"> self-sufficient</w:t>
      </w:r>
      <w:r w:rsidRPr="00E42F2B">
        <w:rPr>
          <w:rFonts w:ascii="Times New Roman" w:hAnsi="Times New Roman"/>
          <w:szCs w:val="22"/>
        </w:rPr>
        <w:t xml:space="preserve"> economic base for the State.  </w:t>
      </w:r>
    </w:p>
    <w:p w:rsidR="00CA2F13" w:rsidRPr="00E42F2B" w:rsidRDefault="00CA2F13" w:rsidP="00CA2F13">
      <w:pPr>
        <w:pStyle w:val="NoSpacing"/>
        <w:rPr>
          <w:rFonts w:ascii="Times New Roman" w:eastAsia="Times New Roman" w:hAnsi="Times New Roman"/>
          <w:b/>
          <w:bCs/>
          <w:szCs w:val="22"/>
        </w:rPr>
      </w:pPr>
      <w:r w:rsidRPr="00E42F2B">
        <w:rPr>
          <w:rFonts w:ascii="Times New Roman" w:hAnsi="Times New Roman"/>
          <w:szCs w:val="22"/>
        </w:rPr>
        <w:t>The Statehood Act’s entitlement provisions were amended through several pieces of subsequent federal legislation that extended, expanded, modified, limited</w:t>
      </w:r>
      <w:r w:rsidR="001951E8">
        <w:rPr>
          <w:rFonts w:ascii="Times New Roman" w:hAnsi="Times New Roman"/>
          <w:szCs w:val="22"/>
        </w:rPr>
        <w:t>,</w:t>
      </w:r>
      <w:r w:rsidRPr="00E42F2B">
        <w:rPr>
          <w:rFonts w:ascii="Times New Roman" w:hAnsi="Times New Roman"/>
          <w:szCs w:val="22"/>
        </w:rPr>
        <w:t xml:space="preserve"> or otherwise affected the State’s entitlement, including:</w:t>
      </w:r>
    </w:p>
    <w:p w:rsidR="00CA2F13" w:rsidRPr="00E42F2B" w:rsidRDefault="00CA2F13" w:rsidP="00CA2F13">
      <w:pPr>
        <w:pStyle w:val="NoSpacing"/>
        <w:numPr>
          <w:ilvl w:val="0"/>
          <w:numId w:val="17"/>
        </w:numPr>
        <w:rPr>
          <w:rFonts w:ascii="Times New Roman" w:eastAsia="Times New Roman" w:hAnsi="Times New Roman"/>
          <w:b/>
          <w:bCs/>
          <w:szCs w:val="22"/>
        </w:rPr>
      </w:pPr>
      <w:r w:rsidRPr="00E42F2B">
        <w:rPr>
          <w:rFonts w:ascii="Times New Roman" w:eastAsia="Times New Roman" w:hAnsi="Times New Roman"/>
          <w:bCs/>
          <w:szCs w:val="22"/>
        </w:rPr>
        <w:t>The 1971 Alaska Native Claims Settlement Act (ANCSA);</w:t>
      </w:r>
    </w:p>
    <w:p w:rsidR="00CA2F13" w:rsidRPr="00E42F2B" w:rsidRDefault="00CA2F13" w:rsidP="00CA2F13">
      <w:pPr>
        <w:pStyle w:val="NoSpacing"/>
        <w:numPr>
          <w:ilvl w:val="0"/>
          <w:numId w:val="17"/>
        </w:numPr>
        <w:rPr>
          <w:rFonts w:ascii="Times New Roman" w:eastAsia="Times New Roman" w:hAnsi="Times New Roman"/>
          <w:b/>
          <w:bCs/>
          <w:szCs w:val="22"/>
        </w:rPr>
      </w:pPr>
      <w:r w:rsidRPr="00E42F2B">
        <w:rPr>
          <w:rFonts w:ascii="Times New Roman" w:hAnsi="Times New Roman"/>
          <w:szCs w:val="22"/>
        </w:rPr>
        <w:t>The 1979 Cook Inlet Region, Inc. (CIRI) Land Exchange;</w:t>
      </w:r>
    </w:p>
    <w:p w:rsidR="00CA2F13" w:rsidRPr="00E42F2B" w:rsidRDefault="00CA2F13" w:rsidP="00CA2F13">
      <w:pPr>
        <w:pStyle w:val="NoSpacing"/>
        <w:numPr>
          <w:ilvl w:val="0"/>
          <w:numId w:val="17"/>
        </w:numPr>
        <w:rPr>
          <w:rFonts w:ascii="Times New Roman" w:eastAsia="Times New Roman" w:hAnsi="Times New Roman"/>
          <w:b/>
          <w:bCs/>
          <w:szCs w:val="22"/>
        </w:rPr>
      </w:pPr>
      <w:r w:rsidRPr="00E42F2B">
        <w:rPr>
          <w:rFonts w:ascii="Times New Roman" w:eastAsia="Times New Roman" w:hAnsi="Times New Roman"/>
          <w:bCs/>
          <w:szCs w:val="22"/>
        </w:rPr>
        <w:t>The 1980 Alaska National Interest Lands Conservation Act (ANILCA);</w:t>
      </w:r>
    </w:p>
    <w:p w:rsidR="00CA2F13" w:rsidRPr="00E42F2B" w:rsidRDefault="00CA2F13" w:rsidP="00CA2F13">
      <w:pPr>
        <w:pStyle w:val="NoSpacing"/>
        <w:numPr>
          <w:ilvl w:val="0"/>
          <w:numId w:val="17"/>
        </w:numPr>
        <w:spacing w:line="360" w:lineRule="auto"/>
        <w:rPr>
          <w:rFonts w:ascii="Times New Roman" w:eastAsia="Times New Roman" w:hAnsi="Times New Roman"/>
          <w:b/>
          <w:bCs/>
          <w:szCs w:val="22"/>
        </w:rPr>
      </w:pPr>
      <w:r w:rsidRPr="00E42F2B">
        <w:rPr>
          <w:rFonts w:ascii="Times New Roman" w:hAnsi="Times New Roman"/>
          <w:szCs w:val="22"/>
        </w:rPr>
        <w:t xml:space="preserve">The 2004 Alaska Land Transfer Acceleration Act (ALTAA).  </w:t>
      </w:r>
    </w:p>
    <w:p w:rsidR="00273D1C" w:rsidRPr="00E42F2B" w:rsidRDefault="00CA2F13" w:rsidP="00CA2F13">
      <w:pPr>
        <w:pStyle w:val="NoSpacing"/>
        <w:rPr>
          <w:rFonts w:ascii="Times New Roman" w:hAnsi="Times New Roman"/>
          <w:szCs w:val="22"/>
        </w:rPr>
      </w:pPr>
      <w:r w:rsidRPr="00E42F2B">
        <w:rPr>
          <w:rFonts w:ascii="Times New Roman" w:hAnsi="Times New Roman"/>
          <w:szCs w:val="22"/>
        </w:rPr>
        <w:t xml:space="preserve">Under these laws, the State’s entitlement was finalized at </w:t>
      </w:r>
      <w:r w:rsidRPr="00E42F2B">
        <w:rPr>
          <w:rFonts w:ascii="Times New Roman" w:hAnsi="Times New Roman"/>
          <w:b/>
          <w:szCs w:val="22"/>
        </w:rPr>
        <w:t>105.9 million acres</w:t>
      </w:r>
      <w:r w:rsidRPr="00E42F2B">
        <w:rPr>
          <w:rFonts w:ascii="Times New Roman" w:hAnsi="Times New Roman"/>
          <w:szCs w:val="22"/>
        </w:rPr>
        <w:t xml:space="preserve"> and the State was given until January 3, 1994, to submit their final list of “selected” lands to the U.S. Department of Interior (DOI)’s Bureau of Land Management (BLM).  </w:t>
      </w:r>
    </w:p>
    <w:p w:rsidR="00CA2F13" w:rsidRDefault="00273D1C" w:rsidP="00CA2F13">
      <w:pPr>
        <w:pStyle w:val="NoSpacing"/>
        <w:rPr>
          <w:rFonts w:ascii="Times New Roman" w:hAnsi="Times New Roman"/>
          <w:szCs w:val="22"/>
        </w:rPr>
      </w:pPr>
      <w:r w:rsidRPr="00E42F2B">
        <w:rPr>
          <w:rFonts w:ascii="Times New Roman" w:hAnsi="Times New Roman"/>
          <w:szCs w:val="22"/>
        </w:rPr>
        <w:t xml:space="preserve">Lands that are selected may, at the State’s </w:t>
      </w:r>
      <w:r w:rsidR="006C14D2" w:rsidRPr="00E42F2B">
        <w:rPr>
          <w:rFonts w:ascii="Times New Roman" w:hAnsi="Times New Roman"/>
          <w:szCs w:val="22"/>
        </w:rPr>
        <w:t xml:space="preserve">request, be adjudicated by </w:t>
      </w:r>
      <w:r w:rsidR="007A4079" w:rsidRPr="00E42F2B">
        <w:rPr>
          <w:rFonts w:ascii="Times New Roman" w:hAnsi="Times New Roman"/>
          <w:szCs w:val="22"/>
        </w:rPr>
        <w:t>BLM</w:t>
      </w:r>
      <w:r w:rsidR="006C14D2" w:rsidRPr="00E42F2B">
        <w:rPr>
          <w:rFonts w:ascii="Times New Roman" w:hAnsi="Times New Roman"/>
          <w:szCs w:val="22"/>
        </w:rPr>
        <w:t xml:space="preserve"> for tentative approval </w:t>
      </w:r>
      <w:r w:rsidR="001274E5" w:rsidRPr="00E42F2B">
        <w:rPr>
          <w:rFonts w:ascii="Times New Roman" w:hAnsi="Times New Roman"/>
          <w:szCs w:val="22"/>
        </w:rPr>
        <w:t xml:space="preserve">for transfer </w:t>
      </w:r>
      <w:r w:rsidR="006C14D2" w:rsidRPr="00E42F2B">
        <w:rPr>
          <w:rFonts w:ascii="Times New Roman" w:hAnsi="Times New Roman"/>
          <w:szCs w:val="22"/>
        </w:rPr>
        <w:t>and then patenting to the State</w:t>
      </w:r>
      <w:r w:rsidR="00956EB5">
        <w:rPr>
          <w:rFonts w:ascii="Times New Roman" w:hAnsi="Times New Roman"/>
          <w:szCs w:val="22"/>
        </w:rPr>
        <w:t xml:space="preserve"> or directly patented to the State</w:t>
      </w:r>
      <w:r w:rsidR="006C14D2" w:rsidRPr="00E42F2B">
        <w:rPr>
          <w:rFonts w:ascii="Times New Roman" w:hAnsi="Times New Roman"/>
          <w:szCs w:val="22"/>
        </w:rPr>
        <w:t>.  Once BLM provides tentative approval</w:t>
      </w:r>
      <w:r w:rsidR="001274E5" w:rsidRPr="00E42F2B">
        <w:rPr>
          <w:rFonts w:ascii="Times New Roman" w:hAnsi="Times New Roman"/>
          <w:szCs w:val="22"/>
        </w:rPr>
        <w:t>,</w:t>
      </w:r>
      <w:r w:rsidR="006C14D2" w:rsidRPr="00E42F2B">
        <w:rPr>
          <w:rFonts w:ascii="Times New Roman" w:hAnsi="Times New Roman"/>
          <w:szCs w:val="22"/>
        </w:rPr>
        <w:t xml:space="preserve"> management authority vests in the State, but the land still has to be surveyed pursuant to the Statehood Act prior to the issuance of the final patent.</w:t>
      </w:r>
      <w:r w:rsidR="006C14D2" w:rsidRPr="00E42F2B">
        <w:rPr>
          <w:rStyle w:val="FootnoteReference"/>
          <w:rFonts w:ascii="Times New Roman" w:hAnsi="Times New Roman"/>
          <w:szCs w:val="22"/>
        </w:rPr>
        <w:footnoteReference w:id="1"/>
      </w:r>
      <w:r w:rsidR="007A4079" w:rsidRPr="00E42F2B">
        <w:rPr>
          <w:rFonts w:ascii="Times New Roman" w:hAnsi="Times New Roman"/>
          <w:szCs w:val="22"/>
        </w:rPr>
        <w:t xml:space="preserve">  While there is cost and administrative work association with the adjudication, the primary federal expense associated with resolution of the State’s entitlement</w:t>
      </w:r>
      <w:r w:rsidR="00957A51" w:rsidRPr="00E42F2B">
        <w:rPr>
          <w:rFonts w:ascii="Times New Roman" w:hAnsi="Times New Roman"/>
          <w:szCs w:val="22"/>
        </w:rPr>
        <w:t xml:space="preserve"> going forward</w:t>
      </w:r>
      <w:r w:rsidR="007A4079" w:rsidRPr="00E42F2B">
        <w:rPr>
          <w:rFonts w:ascii="Times New Roman" w:hAnsi="Times New Roman"/>
          <w:szCs w:val="22"/>
        </w:rPr>
        <w:t xml:space="preserve"> is expected surveying costs.</w:t>
      </w:r>
      <w:r w:rsidR="006C14D2" w:rsidRPr="00E42F2B">
        <w:rPr>
          <w:rFonts w:ascii="Times New Roman" w:hAnsi="Times New Roman"/>
          <w:szCs w:val="22"/>
        </w:rPr>
        <w:t xml:space="preserve">  </w:t>
      </w:r>
    </w:p>
    <w:p w:rsidR="000B4610" w:rsidRPr="00E42F2B" w:rsidRDefault="000B4610" w:rsidP="00CA2F13">
      <w:pPr>
        <w:pStyle w:val="NoSpacing"/>
        <w:rPr>
          <w:rFonts w:ascii="Times New Roman" w:hAnsi="Times New Roman"/>
          <w:szCs w:val="22"/>
        </w:rPr>
      </w:pPr>
      <w:r w:rsidRPr="00A35704">
        <w:rPr>
          <w:rFonts w:ascii="Times New Roman" w:hAnsi="Times New Roman"/>
          <w:szCs w:val="22"/>
        </w:rPr>
        <w:t>ANILCA also gave the State the right to make “top-filings” on certain parcels.  A top-filing is effectively a contingent selection – where the underlying land is subject to a federal restriction or withdrawal</w:t>
      </w:r>
      <w:r w:rsidRPr="00A35704">
        <w:rPr>
          <w:rStyle w:val="FootnoteReference"/>
          <w:rFonts w:ascii="Times New Roman" w:hAnsi="Times New Roman"/>
          <w:szCs w:val="22"/>
        </w:rPr>
        <w:footnoteReference w:id="2"/>
      </w:r>
      <w:r w:rsidRPr="00A35704">
        <w:rPr>
          <w:rFonts w:ascii="Times New Roman" w:hAnsi="Times New Roman"/>
          <w:szCs w:val="22"/>
        </w:rPr>
        <w:t xml:space="preserve">  that prevents the land’s adjudication as an entitlement selection – but, in the event the restriction is lifted, a state selection automatically attaches to the land.  It is thus a future interest in a selection for the State, but not considered an actual selection until the relevant withdrawal is lifted.  The State’s ability to make “top-filings” has also closed</w:t>
      </w:r>
      <w:r>
        <w:rPr>
          <w:rFonts w:ascii="Times New Roman" w:hAnsi="Times New Roman"/>
          <w:szCs w:val="22"/>
        </w:rPr>
        <w:t>.</w:t>
      </w:r>
      <w:r w:rsidRPr="000B4610">
        <w:rPr>
          <w:rStyle w:val="FootnoteReference"/>
          <w:rFonts w:ascii="Times New Roman" w:hAnsi="Times New Roman"/>
          <w:szCs w:val="22"/>
        </w:rPr>
        <w:t xml:space="preserve"> </w:t>
      </w:r>
      <w:r w:rsidRPr="00A35704">
        <w:rPr>
          <w:rStyle w:val="FootnoteReference"/>
          <w:rFonts w:ascii="Times New Roman" w:hAnsi="Times New Roman"/>
          <w:szCs w:val="22"/>
        </w:rPr>
        <w:footnoteReference w:id="3"/>
      </w:r>
    </w:p>
    <w:p w:rsidR="00CA2F13" w:rsidRPr="00E42F2B" w:rsidRDefault="00957A51" w:rsidP="007D653D">
      <w:pPr>
        <w:pStyle w:val="Heading5"/>
        <w:rPr>
          <w:rStyle w:val="Strong"/>
          <w:rFonts w:ascii="Times New Roman" w:hAnsi="Times New Roman" w:cs="Times New Roman"/>
          <w:b/>
          <w:sz w:val="22"/>
          <w:szCs w:val="22"/>
          <w:u w:val="single"/>
        </w:rPr>
      </w:pPr>
      <w:r w:rsidRPr="00E42F2B">
        <w:rPr>
          <w:rStyle w:val="Strong"/>
          <w:rFonts w:ascii="Times New Roman" w:hAnsi="Times New Roman" w:cs="Times New Roman"/>
          <w:b/>
          <w:sz w:val="22"/>
          <w:szCs w:val="22"/>
          <w:u w:val="single"/>
        </w:rPr>
        <w:lastRenderedPageBreak/>
        <w:t xml:space="preserve">Background – </w:t>
      </w:r>
      <w:r w:rsidR="00CA2F13" w:rsidRPr="00E42F2B">
        <w:rPr>
          <w:rStyle w:val="Strong"/>
          <w:rFonts w:ascii="Times New Roman" w:hAnsi="Times New Roman" w:cs="Times New Roman"/>
          <w:b/>
          <w:sz w:val="22"/>
          <w:szCs w:val="22"/>
          <w:u w:val="single"/>
        </w:rPr>
        <w:t xml:space="preserve">Current Status </w:t>
      </w:r>
    </w:p>
    <w:p w:rsidR="00CA2F13" w:rsidRDefault="00CA2F13" w:rsidP="007D653D">
      <w:pPr>
        <w:pStyle w:val="NoSpacing"/>
        <w:rPr>
          <w:rFonts w:ascii="Times New Roman" w:hAnsi="Times New Roman"/>
          <w:szCs w:val="22"/>
        </w:rPr>
      </w:pPr>
      <w:r w:rsidRPr="00E42F2B">
        <w:rPr>
          <w:rFonts w:ascii="Times New Roman" w:hAnsi="Times New Roman"/>
          <w:szCs w:val="22"/>
        </w:rPr>
        <w:t xml:space="preserve">As of </w:t>
      </w:r>
      <w:r w:rsidR="00104EEA">
        <w:rPr>
          <w:rFonts w:ascii="Times New Roman" w:hAnsi="Times New Roman"/>
          <w:szCs w:val="22"/>
        </w:rPr>
        <w:t>January</w:t>
      </w:r>
      <w:r w:rsidR="007D653D">
        <w:rPr>
          <w:rFonts w:ascii="Times New Roman" w:hAnsi="Times New Roman"/>
          <w:szCs w:val="22"/>
        </w:rPr>
        <w:t xml:space="preserve"> of 2015</w:t>
      </w:r>
      <w:r w:rsidRPr="00E42F2B">
        <w:rPr>
          <w:rFonts w:ascii="Times New Roman" w:hAnsi="Times New Roman"/>
          <w:szCs w:val="22"/>
        </w:rPr>
        <w:t xml:space="preserve">, the vast majority of the State’s entitlement has been transferred </w:t>
      </w:r>
      <w:r w:rsidR="00362BEF">
        <w:rPr>
          <w:rFonts w:ascii="Times New Roman" w:hAnsi="Times New Roman"/>
          <w:szCs w:val="22"/>
        </w:rPr>
        <w:t>into State control</w:t>
      </w:r>
      <w:r w:rsidRPr="00E42F2B">
        <w:rPr>
          <w:rFonts w:ascii="Times New Roman" w:hAnsi="Times New Roman"/>
          <w:szCs w:val="22"/>
        </w:rPr>
        <w:t xml:space="preserve">.  Of the 105.9 million acre total entitlement, </w:t>
      </w:r>
      <w:r w:rsidR="00957A51" w:rsidRPr="00E42F2B">
        <w:rPr>
          <w:rFonts w:ascii="Times New Roman" w:hAnsi="Times New Roman"/>
          <w:szCs w:val="22"/>
        </w:rPr>
        <w:t>t</w:t>
      </w:r>
      <w:r w:rsidRPr="00E42F2B">
        <w:rPr>
          <w:rFonts w:ascii="Times New Roman" w:hAnsi="Times New Roman"/>
          <w:szCs w:val="22"/>
        </w:rPr>
        <w:t>he State has received ~ 100.5 million acres</w:t>
      </w:r>
      <w:r w:rsidR="003F06E1" w:rsidRPr="00E42F2B">
        <w:rPr>
          <w:rFonts w:ascii="Times New Roman" w:hAnsi="Times New Roman"/>
          <w:szCs w:val="22"/>
        </w:rPr>
        <w:t xml:space="preserve"> (with ~3</w:t>
      </w:r>
      <w:r w:rsidR="007D653D">
        <w:rPr>
          <w:rFonts w:ascii="Times New Roman" w:hAnsi="Times New Roman"/>
          <w:szCs w:val="22"/>
        </w:rPr>
        <w:t>5.</w:t>
      </w:r>
      <w:r w:rsidR="003F06E1" w:rsidRPr="00E42F2B">
        <w:rPr>
          <w:rFonts w:ascii="Times New Roman" w:hAnsi="Times New Roman"/>
          <w:szCs w:val="22"/>
        </w:rPr>
        <w:t>6 million acre</w:t>
      </w:r>
      <w:r w:rsidR="007D653D">
        <w:rPr>
          <w:rFonts w:ascii="Times New Roman" w:hAnsi="Times New Roman"/>
          <w:szCs w:val="22"/>
        </w:rPr>
        <w:t>s tentatively approved and ~64.9 million acres</w:t>
      </w:r>
      <w:r w:rsidR="003F06E1" w:rsidRPr="00E42F2B">
        <w:rPr>
          <w:rFonts w:ascii="Times New Roman" w:hAnsi="Times New Roman"/>
          <w:szCs w:val="22"/>
        </w:rPr>
        <w:t xml:space="preserve"> finally surveyed and patented)</w:t>
      </w:r>
      <w:r w:rsidRPr="00E42F2B">
        <w:rPr>
          <w:rFonts w:ascii="Times New Roman" w:hAnsi="Times New Roman"/>
          <w:szCs w:val="22"/>
        </w:rPr>
        <w:t xml:space="preserve">.  This leaves </w:t>
      </w:r>
      <w:r w:rsidRPr="00E42F2B">
        <w:rPr>
          <w:rFonts w:ascii="Times New Roman" w:hAnsi="Times New Roman"/>
          <w:b/>
          <w:szCs w:val="22"/>
        </w:rPr>
        <w:t>~5.4 million</w:t>
      </w:r>
      <w:r w:rsidRPr="00E42F2B">
        <w:rPr>
          <w:rFonts w:ascii="Times New Roman" w:hAnsi="Times New Roman"/>
          <w:szCs w:val="22"/>
        </w:rPr>
        <w:t xml:space="preserve"> acres of remaining entitlement that has not yet been fulfilled by the federal government.</w:t>
      </w:r>
    </w:p>
    <w:p w:rsidR="00993D5C" w:rsidRPr="00E42F2B" w:rsidRDefault="007D653D" w:rsidP="007D653D">
      <w:pPr>
        <w:pStyle w:val="NoSpacing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The State currently has ~10</w:t>
      </w:r>
      <w:r w:rsidR="00863368">
        <w:rPr>
          <w:rFonts w:ascii="Times New Roman" w:hAnsi="Times New Roman"/>
          <w:szCs w:val="22"/>
        </w:rPr>
        <w:t>.9</w:t>
      </w:r>
      <w:r w:rsidR="000B4610">
        <w:rPr>
          <w:rFonts w:ascii="Times New Roman" w:hAnsi="Times New Roman"/>
          <w:szCs w:val="22"/>
        </w:rPr>
        <w:t xml:space="preserve"> million acres of selections from which to receive these ~5.4 million acres of entitlement, as well as</w:t>
      </w:r>
      <w:r w:rsidR="00863368">
        <w:rPr>
          <w:rFonts w:ascii="Times New Roman" w:hAnsi="Times New Roman"/>
          <w:szCs w:val="22"/>
        </w:rPr>
        <w:t xml:space="preserve"> ~10.2</w:t>
      </w:r>
      <w:r w:rsidR="001E66F5" w:rsidRPr="00E42F2B">
        <w:rPr>
          <w:rFonts w:ascii="Times New Roman" w:hAnsi="Times New Roman"/>
          <w:szCs w:val="22"/>
        </w:rPr>
        <w:t xml:space="preserve"> million acres</w:t>
      </w:r>
      <w:r w:rsidR="000B4610">
        <w:rPr>
          <w:rFonts w:ascii="Times New Roman" w:hAnsi="Times New Roman"/>
          <w:szCs w:val="22"/>
        </w:rPr>
        <w:t xml:space="preserve"> of top-</w:t>
      </w:r>
      <w:r w:rsidR="00640F3C">
        <w:rPr>
          <w:rFonts w:ascii="Times New Roman" w:hAnsi="Times New Roman"/>
          <w:szCs w:val="22"/>
        </w:rPr>
        <w:t>filings</w:t>
      </w:r>
      <w:r w:rsidR="000B4610" w:rsidRPr="00E42F2B">
        <w:rPr>
          <w:rFonts w:ascii="Times New Roman" w:hAnsi="Times New Roman"/>
          <w:szCs w:val="22"/>
        </w:rPr>
        <w:t xml:space="preserve"> that </w:t>
      </w:r>
      <w:r w:rsidR="000B4610">
        <w:rPr>
          <w:rFonts w:ascii="Times New Roman" w:hAnsi="Times New Roman"/>
          <w:szCs w:val="22"/>
        </w:rPr>
        <w:t>may eventually</w:t>
      </w:r>
      <w:r w:rsidR="001E66F5" w:rsidRPr="00E42F2B">
        <w:rPr>
          <w:rFonts w:ascii="Times New Roman" w:hAnsi="Times New Roman"/>
          <w:szCs w:val="22"/>
        </w:rPr>
        <w:t xml:space="preserve"> be</w:t>
      </w:r>
      <w:r w:rsidR="00640F3C" w:rsidRPr="00E42F2B">
        <w:rPr>
          <w:rFonts w:ascii="Times New Roman" w:hAnsi="Times New Roman"/>
          <w:szCs w:val="22"/>
        </w:rPr>
        <w:t xml:space="preserve">come selections in the future </w:t>
      </w:r>
      <w:r w:rsidR="00640F3C">
        <w:rPr>
          <w:rFonts w:ascii="Times New Roman" w:hAnsi="Times New Roman"/>
          <w:szCs w:val="22"/>
        </w:rPr>
        <w:t>should</w:t>
      </w:r>
      <w:r w:rsidR="00640F3C" w:rsidRPr="00E42F2B">
        <w:rPr>
          <w:rFonts w:ascii="Times New Roman" w:hAnsi="Times New Roman"/>
          <w:szCs w:val="22"/>
        </w:rPr>
        <w:t xml:space="preserve"> the applicable withdrawals </w:t>
      </w:r>
      <w:r w:rsidR="00640F3C">
        <w:rPr>
          <w:rFonts w:ascii="Times New Roman" w:hAnsi="Times New Roman"/>
          <w:szCs w:val="22"/>
        </w:rPr>
        <w:t>be</w:t>
      </w:r>
      <w:r w:rsidR="001E66F5" w:rsidRPr="00E42F2B">
        <w:rPr>
          <w:rFonts w:ascii="Times New Roman" w:hAnsi="Times New Roman"/>
          <w:szCs w:val="22"/>
        </w:rPr>
        <w:t xml:space="preserve"> lifted. </w:t>
      </w:r>
      <w:r w:rsidR="00734934" w:rsidRPr="00E42F2B">
        <w:rPr>
          <w:rFonts w:ascii="Times New Roman" w:hAnsi="Times New Roman"/>
          <w:szCs w:val="22"/>
        </w:rPr>
        <w:t xml:space="preserve">  </w:t>
      </w:r>
    </w:p>
    <w:p w:rsidR="0077556D" w:rsidRPr="00E42F2B" w:rsidRDefault="00993D5C" w:rsidP="007D653D">
      <w:pPr>
        <w:pStyle w:val="NoSpacing"/>
        <w:rPr>
          <w:rFonts w:ascii="Times New Roman" w:hAnsi="Times New Roman"/>
          <w:szCs w:val="22"/>
        </w:rPr>
      </w:pPr>
      <w:r w:rsidRPr="00E42F2B">
        <w:rPr>
          <w:rFonts w:ascii="Times New Roman" w:hAnsi="Times New Roman"/>
          <w:szCs w:val="22"/>
        </w:rPr>
        <w:t>Theoretically</w:t>
      </w:r>
      <w:r w:rsidR="000B4610">
        <w:rPr>
          <w:rFonts w:ascii="Times New Roman" w:hAnsi="Times New Roman"/>
          <w:szCs w:val="22"/>
        </w:rPr>
        <w:t xml:space="preserve"> </w:t>
      </w:r>
      <w:r w:rsidR="00903DAD">
        <w:rPr>
          <w:rFonts w:ascii="Times New Roman" w:hAnsi="Times New Roman"/>
          <w:szCs w:val="22"/>
        </w:rPr>
        <w:t>all of these top-filings can</w:t>
      </w:r>
      <w:r w:rsidRPr="00E42F2B">
        <w:rPr>
          <w:rFonts w:ascii="Times New Roman" w:hAnsi="Times New Roman"/>
          <w:szCs w:val="22"/>
        </w:rPr>
        <w:t xml:space="preserve"> convert to state selections and be eligible for transfer.  Thus the total scope of lands the State is evaluating for potential adjudicat</w:t>
      </w:r>
      <w:r w:rsidR="000B4610" w:rsidRPr="00E42F2B">
        <w:rPr>
          <w:rFonts w:ascii="Times New Roman" w:hAnsi="Times New Roman"/>
          <w:szCs w:val="22"/>
        </w:rPr>
        <w:t xml:space="preserve">ion and transfer </w:t>
      </w:r>
      <w:r w:rsidRPr="00E42F2B">
        <w:rPr>
          <w:rFonts w:ascii="Times New Roman" w:hAnsi="Times New Roman"/>
          <w:szCs w:val="22"/>
        </w:rPr>
        <w:t xml:space="preserve">include </w:t>
      </w:r>
      <w:r w:rsidR="000B4610">
        <w:rPr>
          <w:rFonts w:ascii="Times New Roman" w:hAnsi="Times New Roman"/>
          <w:szCs w:val="22"/>
        </w:rPr>
        <w:t xml:space="preserve">both </w:t>
      </w:r>
      <w:r w:rsidRPr="00E42F2B">
        <w:rPr>
          <w:rFonts w:ascii="Times New Roman" w:hAnsi="Times New Roman"/>
          <w:szCs w:val="22"/>
        </w:rPr>
        <w:t xml:space="preserve">the </w:t>
      </w:r>
      <w:r w:rsidR="001274E5" w:rsidRPr="00E42F2B">
        <w:rPr>
          <w:rFonts w:ascii="Times New Roman" w:hAnsi="Times New Roman"/>
          <w:szCs w:val="22"/>
        </w:rPr>
        <w:t>~</w:t>
      </w:r>
      <w:r w:rsidR="00863368">
        <w:rPr>
          <w:rFonts w:ascii="Times New Roman" w:hAnsi="Times New Roman"/>
          <w:szCs w:val="22"/>
        </w:rPr>
        <w:t>10.9</w:t>
      </w:r>
      <w:r w:rsidRPr="00E42F2B">
        <w:rPr>
          <w:rFonts w:ascii="Times New Roman" w:hAnsi="Times New Roman"/>
          <w:szCs w:val="22"/>
        </w:rPr>
        <w:t xml:space="preserve"> million acres </w:t>
      </w:r>
      <w:r w:rsidR="001E66F5" w:rsidRPr="00E42F2B">
        <w:rPr>
          <w:rFonts w:ascii="Times New Roman" w:hAnsi="Times New Roman"/>
          <w:szCs w:val="22"/>
        </w:rPr>
        <w:t>that currently are under a valid</w:t>
      </w:r>
      <w:r w:rsidR="000B4610" w:rsidRPr="00E42F2B">
        <w:rPr>
          <w:rFonts w:ascii="Times New Roman" w:hAnsi="Times New Roman"/>
          <w:szCs w:val="22"/>
        </w:rPr>
        <w:t xml:space="preserve"> state selection</w:t>
      </w:r>
      <w:r w:rsidR="000B4610">
        <w:rPr>
          <w:rFonts w:ascii="Times New Roman" w:hAnsi="Times New Roman"/>
          <w:szCs w:val="22"/>
        </w:rPr>
        <w:t xml:space="preserve"> and</w:t>
      </w:r>
      <w:r w:rsidR="00863368">
        <w:rPr>
          <w:rFonts w:ascii="Times New Roman" w:hAnsi="Times New Roman"/>
          <w:szCs w:val="22"/>
        </w:rPr>
        <w:t xml:space="preserve"> the ~10.2</w:t>
      </w:r>
      <w:r w:rsidRPr="00E42F2B">
        <w:rPr>
          <w:rFonts w:ascii="Times New Roman" w:hAnsi="Times New Roman"/>
          <w:szCs w:val="22"/>
        </w:rPr>
        <w:t xml:space="preserve"> million acres subject to </w:t>
      </w:r>
      <w:r w:rsidR="001E66F5" w:rsidRPr="00E42F2B">
        <w:rPr>
          <w:rFonts w:ascii="Times New Roman" w:hAnsi="Times New Roman"/>
          <w:szCs w:val="22"/>
        </w:rPr>
        <w:t>the “top-filings,”</w:t>
      </w:r>
      <w:r w:rsidR="00863368">
        <w:rPr>
          <w:rFonts w:ascii="Times New Roman" w:hAnsi="Times New Roman"/>
          <w:szCs w:val="22"/>
        </w:rPr>
        <w:t xml:space="preserve"> for a total of ~21.1</w:t>
      </w:r>
      <w:r w:rsidRPr="00E42F2B">
        <w:rPr>
          <w:rFonts w:ascii="Times New Roman" w:hAnsi="Times New Roman"/>
          <w:szCs w:val="22"/>
        </w:rPr>
        <w:t xml:space="preserve"> million acres.</w:t>
      </w:r>
      <w:r w:rsidR="001274E5" w:rsidRPr="00E42F2B">
        <w:rPr>
          <w:rStyle w:val="FootnoteReference"/>
          <w:rFonts w:ascii="Times New Roman" w:hAnsi="Times New Roman"/>
          <w:szCs w:val="22"/>
        </w:rPr>
        <w:t xml:space="preserve"> </w:t>
      </w:r>
      <w:r w:rsidR="001274E5" w:rsidRPr="00E42F2B">
        <w:rPr>
          <w:rStyle w:val="FootnoteReference"/>
          <w:rFonts w:ascii="Times New Roman" w:hAnsi="Times New Roman"/>
          <w:szCs w:val="22"/>
        </w:rPr>
        <w:footnoteReference w:id="4"/>
      </w:r>
    </w:p>
    <w:sectPr w:rsidR="0077556D" w:rsidRPr="00E42F2B" w:rsidSect="00DB4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06" w:footer="6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F5A" w:rsidRDefault="00171F5A" w:rsidP="00B44B8B">
      <w:r>
        <w:separator/>
      </w:r>
    </w:p>
  </w:endnote>
  <w:endnote w:type="continuationSeparator" w:id="0">
    <w:p w:rsidR="00171F5A" w:rsidRDefault="00171F5A" w:rsidP="00B4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31" w:rsidRDefault="007D1A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2995"/>
      <w:docPartObj>
        <w:docPartGallery w:val="Page Numbers (Bottom of Page)"/>
        <w:docPartUnique/>
      </w:docPartObj>
    </w:sdtPr>
    <w:sdtEndPr/>
    <w:sdtContent>
      <w:p w:rsidR="00A02EA7" w:rsidRDefault="00A02E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A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2EA7" w:rsidRDefault="00A02E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31" w:rsidRDefault="007D1A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F5A" w:rsidRDefault="00171F5A" w:rsidP="00B44B8B">
      <w:r>
        <w:separator/>
      </w:r>
    </w:p>
  </w:footnote>
  <w:footnote w:type="continuationSeparator" w:id="0">
    <w:p w:rsidR="00171F5A" w:rsidRDefault="00171F5A" w:rsidP="00B44B8B">
      <w:r>
        <w:continuationSeparator/>
      </w:r>
    </w:p>
  </w:footnote>
  <w:footnote w:id="1">
    <w:p w:rsidR="00A02EA7" w:rsidRDefault="00A02EA7" w:rsidP="008C304F">
      <w:pPr>
        <w:pStyle w:val="FootnoteText"/>
      </w:pPr>
      <w:r w:rsidRPr="00ED3DB5">
        <w:rPr>
          <w:rStyle w:val="FootnoteReference"/>
        </w:rPr>
        <w:footnoteRef/>
      </w:r>
      <w:r w:rsidRPr="00E42F2B">
        <w:t xml:space="preserve"> There are several technical issues raised by these steps – one is that a formally surveyed set of patented parcels typically includes less land than the amount estimated at the tentatively approved stage – because meanderable waters, inholdings, and other small pieces are accounted for and “surveyed out” when preparing the patent.</w:t>
      </w:r>
      <w:r w:rsidR="00640F3C" w:rsidRPr="00E42F2B">
        <w:t xml:space="preserve">  Typically this</w:t>
      </w:r>
      <w:r w:rsidR="00640F3C">
        <w:t xml:space="preserve"> variation </w:t>
      </w:r>
      <w:r w:rsidRPr="00E42F2B">
        <w:t xml:space="preserve">is around 5% - where 100 acres of tentatively approved lands, when surveyed, is found to be 95 acres for purposes of issuing the patents and debiting the State’s entitlement.  While a very imprecise number, the State could potentially see 1.8 million acres of </w:t>
      </w:r>
      <w:r w:rsidR="00640F3C">
        <w:t xml:space="preserve">surveyed-out acreage </w:t>
      </w:r>
      <w:r w:rsidRPr="00E42F2B">
        <w:t>from the 36 million acres that are currently tentatively approved – 1.8 million acres that will be available to request adjudication of additional selections.</w:t>
      </w:r>
    </w:p>
    <w:p w:rsidR="00ED3DB5" w:rsidRPr="00E42F2B" w:rsidRDefault="00ED3DB5" w:rsidP="00E42F2B">
      <w:pPr>
        <w:pStyle w:val="FootnoteText"/>
      </w:pPr>
    </w:p>
  </w:footnote>
  <w:footnote w:id="2">
    <w:p w:rsidR="000B4610" w:rsidRPr="00E42F2B" w:rsidRDefault="000B4610" w:rsidP="00E42F2B">
      <w:pPr>
        <w:pStyle w:val="FootnoteText"/>
      </w:pPr>
      <w:r w:rsidRPr="00E42F2B">
        <w:rPr>
          <w:rStyle w:val="FootnoteReference"/>
        </w:rPr>
        <w:footnoteRef/>
      </w:r>
      <w:r w:rsidRPr="00E42F2B">
        <w:t xml:space="preserve"> There is an immense variety of federal actions and process that may create what is termed a “withdrawal.”  Two common executive branch actions that create withdrawals are</w:t>
      </w:r>
      <w:r w:rsidR="00640F3C" w:rsidRPr="00E42F2B">
        <w:t xml:space="preserve"> </w:t>
      </w:r>
      <w:r w:rsidR="00640F3C">
        <w:t>P</w:t>
      </w:r>
      <w:r w:rsidRPr="00E42F2B">
        <w:t xml:space="preserve">ublic </w:t>
      </w:r>
      <w:r w:rsidR="00640F3C">
        <w:t>L</w:t>
      </w:r>
      <w:r w:rsidRPr="00E42F2B">
        <w:t xml:space="preserve">and </w:t>
      </w:r>
      <w:r w:rsidR="00640F3C">
        <w:t>O</w:t>
      </w:r>
      <w:r w:rsidRPr="00E42F2B">
        <w:t>rders (PLOs) issued by the Department of the Interior (DOI) and Executive Orders (EOs) issued by the President.</w:t>
      </w:r>
    </w:p>
  </w:footnote>
  <w:footnote w:id="3">
    <w:p w:rsidR="000B4610" w:rsidRDefault="000B4610" w:rsidP="00E42F2B">
      <w:pPr>
        <w:pStyle w:val="NoSpacing"/>
        <w:spacing w:after="0"/>
        <w:rPr>
          <w:rFonts w:ascii="Times New Roman" w:hAnsi="Times New Roman"/>
          <w:i/>
          <w:iCs/>
          <w:sz w:val="20"/>
          <w:szCs w:val="20"/>
        </w:rPr>
      </w:pPr>
      <w:r w:rsidRPr="00E42F2B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E42F2B">
        <w:rPr>
          <w:rFonts w:ascii="Times New Roman" w:hAnsi="Times New Roman"/>
          <w:sz w:val="20"/>
          <w:szCs w:val="20"/>
        </w:rPr>
        <w:t xml:space="preserve"> </w:t>
      </w:r>
      <w:r w:rsidRPr="00E42F2B">
        <w:rPr>
          <w:rFonts w:ascii="Times New Roman" w:hAnsi="Times New Roman"/>
          <w:iCs/>
          <w:sz w:val="20"/>
          <w:szCs w:val="20"/>
        </w:rPr>
        <w:t>No additional lands may be added to those selected or top-filed.  The existing claims may only be adjudicated and transferred to the State, or relinquished by the State.</w:t>
      </w:r>
      <w:r w:rsidRPr="00E42F2B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:rsidR="00ED3DB5" w:rsidRPr="00E42F2B" w:rsidRDefault="00ED3DB5" w:rsidP="00E42F2B">
      <w:pPr>
        <w:pStyle w:val="NoSpacing"/>
        <w:spacing w:after="0"/>
        <w:rPr>
          <w:rFonts w:ascii="Times New Roman" w:hAnsi="Times New Roman"/>
          <w:sz w:val="20"/>
          <w:szCs w:val="20"/>
        </w:rPr>
      </w:pPr>
    </w:p>
  </w:footnote>
  <w:footnote w:id="4">
    <w:p w:rsidR="006B34CC" w:rsidRDefault="00A02EA7" w:rsidP="00E42F2B">
      <w:pPr>
        <w:pStyle w:val="FootnoteText"/>
      </w:pPr>
      <w:r w:rsidRPr="00E42F2B">
        <w:rPr>
          <w:rStyle w:val="FootnoteReference"/>
        </w:rPr>
        <w:footnoteRef/>
      </w:r>
      <w:r w:rsidRPr="00E42F2B">
        <w:t xml:space="preserve"> Subject to the possible increases from </w:t>
      </w:r>
      <w:r w:rsidR="00362BEF">
        <w:t>survey acreage changes</w:t>
      </w:r>
      <w:r w:rsidRPr="00E42F2B">
        <w:t xml:space="preserve"> as detailed in note 1.</w:t>
      </w:r>
      <w:r w:rsidR="00362BEF">
        <w:t xml:space="preserve">  </w:t>
      </w:r>
      <w:r w:rsidR="00362BEF" w:rsidRPr="00A35704">
        <w:t xml:space="preserve">While a very imprecise number, the State could potentially see 1.8 million acres of </w:t>
      </w:r>
      <w:r w:rsidR="00362BEF">
        <w:t xml:space="preserve">surveyed-out acreage </w:t>
      </w:r>
      <w:r w:rsidR="00362BEF" w:rsidRPr="00A35704">
        <w:t>from the 36 million acres that are currently tentatively approved – 1.8 million acres that will be available to request adjudication of additional selections.</w:t>
      </w:r>
    </w:p>
    <w:p w:rsidR="00E36848" w:rsidRPr="00E42F2B" w:rsidRDefault="00E36848" w:rsidP="00E42F2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31" w:rsidRDefault="007D1A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31" w:rsidRDefault="007D1A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31" w:rsidRDefault="007D1A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2CB"/>
    <w:multiLevelType w:val="multilevel"/>
    <w:tmpl w:val="B30A1E6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numFmt w:val="bullet"/>
      <w:lvlText w:val="o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">
    <w:nsid w:val="00545191"/>
    <w:multiLevelType w:val="hybridMultilevel"/>
    <w:tmpl w:val="EB6E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E07A3"/>
    <w:multiLevelType w:val="hybridMultilevel"/>
    <w:tmpl w:val="3D4E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65BF9"/>
    <w:multiLevelType w:val="multilevel"/>
    <w:tmpl w:val="3F922D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4">
    <w:nsid w:val="0CA83F67"/>
    <w:multiLevelType w:val="hybridMultilevel"/>
    <w:tmpl w:val="B48C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E23FE"/>
    <w:multiLevelType w:val="multilevel"/>
    <w:tmpl w:val="F1D650F6"/>
    <w:styleLink w:val="List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A607B7D"/>
    <w:multiLevelType w:val="multilevel"/>
    <w:tmpl w:val="8648190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1E1C5157"/>
    <w:multiLevelType w:val="hybridMultilevel"/>
    <w:tmpl w:val="9ED2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01257"/>
    <w:multiLevelType w:val="hybridMultilevel"/>
    <w:tmpl w:val="7E3A06D4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>
    <w:nsid w:val="1EEA250B"/>
    <w:multiLevelType w:val="multilevel"/>
    <w:tmpl w:val="A8BCC8DE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10">
    <w:nsid w:val="218512E9"/>
    <w:multiLevelType w:val="hybridMultilevel"/>
    <w:tmpl w:val="462A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369A5"/>
    <w:multiLevelType w:val="multilevel"/>
    <w:tmpl w:val="4C36084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2">
    <w:nsid w:val="380D0939"/>
    <w:multiLevelType w:val="hybridMultilevel"/>
    <w:tmpl w:val="EA288C3E"/>
    <w:lvl w:ilvl="0" w:tplc="E6E224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6A0A26"/>
    <w:multiLevelType w:val="multilevel"/>
    <w:tmpl w:val="05F4C844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396924FA"/>
    <w:multiLevelType w:val="multilevel"/>
    <w:tmpl w:val="6FB0463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>
    <w:nsid w:val="399434C7"/>
    <w:multiLevelType w:val="multilevel"/>
    <w:tmpl w:val="EE76E37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6">
    <w:nsid w:val="3E1C0185"/>
    <w:multiLevelType w:val="hybridMultilevel"/>
    <w:tmpl w:val="85CC52E6"/>
    <w:lvl w:ilvl="0" w:tplc="B192CD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A43D5E"/>
    <w:multiLevelType w:val="multilevel"/>
    <w:tmpl w:val="21C4DC9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>
    <w:nsid w:val="43350B36"/>
    <w:multiLevelType w:val="hybridMultilevel"/>
    <w:tmpl w:val="87289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86C55"/>
    <w:multiLevelType w:val="multilevel"/>
    <w:tmpl w:val="7E922F84"/>
    <w:styleLink w:val="List3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numFmt w:val="bullet"/>
      <w:lvlText w:val="o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0">
    <w:nsid w:val="507A2300"/>
    <w:multiLevelType w:val="hybridMultilevel"/>
    <w:tmpl w:val="87289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F2330"/>
    <w:multiLevelType w:val="multilevel"/>
    <w:tmpl w:val="2CC86C2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22">
    <w:nsid w:val="53801949"/>
    <w:multiLevelType w:val="hybridMultilevel"/>
    <w:tmpl w:val="7316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0D689A"/>
    <w:multiLevelType w:val="multilevel"/>
    <w:tmpl w:val="361EAAD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4">
    <w:nsid w:val="62CB5249"/>
    <w:multiLevelType w:val="multilevel"/>
    <w:tmpl w:val="0FF2FD28"/>
    <w:styleLink w:val="List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5">
    <w:nsid w:val="6B237009"/>
    <w:multiLevelType w:val="hybridMultilevel"/>
    <w:tmpl w:val="9D82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234FE8"/>
    <w:multiLevelType w:val="multilevel"/>
    <w:tmpl w:val="5D6A22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27">
    <w:nsid w:val="771F260D"/>
    <w:multiLevelType w:val="multilevel"/>
    <w:tmpl w:val="E1E0DE5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28">
    <w:nsid w:val="7C324CEA"/>
    <w:multiLevelType w:val="hybridMultilevel"/>
    <w:tmpl w:val="75AC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3"/>
  </w:num>
  <w:num w:numId="4">
    <w:abstractNumId w:val="21"/>
  </w:num>
  <w:num w:numId="5">
    <w:abstractNumId w:val="27"/>
  </w:num>
  <w:num w:numId="6">
    <w:abstractNumId w:val="9"/>
  </w:num>
  <w:num w:numId="7">
    <w:abstractNumId w:val="13"/>
  </w:num>
  <w:num w:numId="8">
    <w:abstractNumId w:val="17"/>
  </w:num>
  <w:num w:numId="9">
    <w:abstractNumId w:val="6"/>
  </w:num>
  <w:num w:numId="10">
    <w:abstractNumId w:val="5"/>
  </w:num>
  <w:num w:numId="11">
    <w:abstractNumId w:val="15"/>
  </w:num>
  <w:num w:numId="12">
    <w:abstractNumId w:val="11"/>
  </w:num>
  <w:num w:numId="13">
    <w:abstractNumId w:val="24"/>
  </w:num>
  <w:num w:numId="14">
    <w:abstractNumId w:val="23"/>
  </w:num>
  <w:num w:numId="15">
    <w:abstractNumId w:val="0"/>
  </w:num>
  <w:num w:numId="16">
    <w:abstractNumId w:val="19"/>
  </w:num>
  <w:num w:numId="17">
    <w:abstractNumId w:val="22"/>
  </w:num>
  <w:num w:numId="18">
    <w:abstractNumId w:val="2"/>
  </w:num>
  <w:num w:numId="19">
    <w:abstractNumId w:val="20"/>
  </w:num>
  <w:num w:numId="20">
    <w:abstractNumId w:val="28"/>
  </w:num>
  <w:num w:numId="21">
    <w:abstractNumId w:val="7"/>
  </w:num>
  <w:num w:numId="22">
    <w:abstractNumId w:val="10"/>
  </w:num>
  <w:num w:numId="23">
    <w:abstractNumId w:val="16"/>
  </w:num>
  <w:num w:numId="24">
    <w:abstractNumId w:val="12"/>
  </w:num>
  <w:num w:numId="25">
    <w:abstractNumId w:val="8"/>
  </w:num>
  <w:num w:numId="26">
    <w:abstractNumId w:val="1"/>
  </w:num>
  <w:num w:numId="27">
    <w:abstractNumId w:val="18"/>
  </w:num>
  <w:num w:numId="28">
    <w:abstractNumId w:val="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8B"/>
    <w:rsid w:val="00012CA9"/>
    <w:rsid w:val="00021AB5"/>
    <w:rsid w:val="00026D2E"/>
    <w:rsid w:val="00033321"/>
    <w:rsid w:val="0004743C"/>
    <w:rsid w:val="000520CB"/>
    <w:rsid w:val="00054059"/>
    <w:rsid w:val="000648E7"/>
    <w:rsid w:val="000709E6"/>
    <w:rsid w:val="00091E81"/>
    <w:rsid w:val="00091F60"/>
    <w:rsid w:val="000B0EEA"/>
    <w:rsid w:val="000B4610"/>
    <w:rsid w:val="000C4CE6"/>
    <w:rsid w:val="0010419F"/>
    <w:rsid w:val="00104EEA"/>
    <w:rsid w:val="001274E5"/>
    <w:rsid w:val="0013496A"/>
    <w:rsid w:val="0013756B"/>
    <w:rsid w:val="00142538"/>
    <w:rsid w:val="001701F9"/>
    <w:rsid w:val="00171F5A"/>
    <w:rsid w:val="001951E8"/>
    <w:rsid w:val="001C3E6A"/>
    <w:rsid w:val="001E66F5"/>
    <w:rsid w:val="002107DD"/>
    <w:rsid w:val="00211407"/>
    <w:rsid w:val="00213080"/>
    <w:rsid w:val="0022073B"/>
    <w:rsid w:val="002372D2"/>
    <w:rsid w:val="00273D1C"/>
    <w:rsid w:val="00274A8C"/>
    <w:rsid w:val="002A3705"/>
    <w:rsid w:val="002B0005"/>
    <w:rsid w:val="002B60FA"/>
    <w:rsid w:val="002C01F5"/>
    <w:rsid w:val="002C2678"/>
    <w:rsid w:val="002C4681"/>
    <w:rsid w:val="00303926"/>
    <w:rsid w:val="00307CD0"/>
    <w:rsid w:val="003406F7"/>
    <w:rsid w:val="00362BEF"/>
    <w:rsid w:val="00394C9E"/>
    <w:rsid w:val="003B17DB"/>
    <w:rsid w:val="003B3A57"/>
    <w:rsid w:val="003B7854"/>
    <w:rsid w:val="003C5DA2"/>
    <w:rsid w:val="003D18DB"/>
    <w:rsid w:val="003D2E94"/>
    <w:rsid w:val="003F06E1"/>
    <w:rsid w:val="003F541F"/>
    <w:rsid w:val="004058A6"/>
    <w:rsid w:val="004165C0"/>
    <w:rsid w:val="00436DB3"/>
    <w:rsid w:val="00452160"/>
    <w:rsid w:val="004671F2"/>
    <w:rsid w:val="004A24FA"/>
    <w:rsid w:val="004B1B00"/>
    <w:rsid w:val="004E00D3"/>
    <w:rsid w:val="00507DFB"/>
    <w:rsid w:val="00533A83"/>
    <w:rsid w:val="0054127C"/>
    <w:rsid w:val="00546AFB"/>
    <w:rsid w:val="005A7CBF"/>
    <w:rsid w:val="005D481D"/>
    <w:rsid w:val="005F2831"/>
    <w:rsid w:val="00603B1E"/>
    <w:rsid w:val="006215B8"/>
    <w:rsid w:val="00640F3C"/>
    <w:rsid w:val="00644F28"/>
    <w:rsid w:val="00697CD3"/>
    <w:rsid w:val="006A7850"/>
    <w:rsid w:val="006B34CC"/>
    <w:rsid w:val="006C14D2"/>
    <w:rsid w:val="006F7070"/>
    <w:rsid w:val="00734934"/>
    <w:rsid w:val="0073729D"/>
    <w:rsid w:val="00745F64"/>
    <w:rsid w:val="00754979"/>
    <w:rsid w:val="007723B7"/>
    <w:rsid w:val="0077556D"/>
    <w:rsid w:val="0079089E"/>
    <w:rsid w:val="007A4079"/>
    <w:rsid w:val="007A54EF"/>
    <w:rsid w:val="007C134F"/>
    <w:rsid w:val="007C23D9"/>
    <w:rsid w:val="007D0E3B"/>
    <w:rsid w:val="007D1A31"/>
    <w:rsid w:val="007D653D"/>
    <w:rsid w:val="007F69C2"/>
    <w:rsid w:val="0080584B"/>
    <w:rsid w:val="00815947"/>
    <w:rsid w:val="008203DF"/>
    <w:rsid w:val="00845E80"/>
    <w:rsid w:val="00850E49"/>
    <w:rsid w:val="008530CB"/>
    <w:rsid w:val="00863368"/>
    <w:rsid w:val="00871A61"/>
    <w:rsid w:val="00884C74"/>
    <w:rsid w:val="00892E12"/>
    <w:rsid w:val="008C304F"/>
    <w:rsid w:val="008D1153"/>
    <w:rsid w:val="008F3BB0"/>
    <w:rsid w:val="008F3F7F"/>
    <w:rsid w:val="00903DAD"/>
    <w:rsid w:val="0091317C"/>
    <w:rsid w:val="009132E2"/>
    <w:rsid w:val="00922414"/>
    <w:rsid w:val="00922B17"/>
    <w:rsid w:val="00924D8E"/>
    <w:rsid w:val="00942202"/>
    <w:rsid w:val="00947F76"/>
    <w:rsid w:val="00952C6C"/>
    <w:rsid w:val="00956EB5"/>
    <w:rsid w:val="00957A51"/>
    <w:rsid w:val="0097565B"/>
    <w:rsid w:val="00993D5C"/>
    <w:rsid w:val="009F6F35"/>
    <w:rsid w:val="00A02EA7"/>
    <w:rsid w:val="00A05AC9"/>
    <w:rsid w:val="00A25E99"/>
    <w:rsid w:val="00A33515"/>
    <w:rsid w:val="00A348BA"/>
    <w:rsid w:val="00A44EEE"/>
    <w:rsid w:val="00A57724"/>
    <w:rsid w:val="00A70352"/>
    <w:rsid w:val="00A76592"/>
    <w:rsid w:val="00A8259D"/>
    <w:rsid w:val="00A8519B"/>
    <w:rsid w:val="00A9208B"/>
    <w:rsid w:val="00A924CD"/>
    <w:rsid w:val="00A95DAE"/>
    <w:rsid w:val="00AE52A1"/>
    <w:rsid w:val="00B15827"/>
    <w:rsid w:val="00B167D8"/>
    <w:rsid w:val="00B435BA"/>
    <w:rsid w:val="00B44B8B"/>
    <w:rsid w:val="00B66620"/>
    <w:rsid w:val="00B67840"/>
    <w:rsid w:val="00B77BF2"/>
    <w:rsid w:val="00B9628A"/>
    <w:rsid w:val="00BA13AF"/>
    <w:rsid w:val="00BB10D4"/>
    <w:rsid w:val="00BB54BE"/>
    <w:rsid w:val="00BC2F4F"/>
    <w:rsid w:val="00C0284F"/>
    <w:rsid w:val="00C14580"/>
    <w:rsid w:val="00C2252B"/>
    <w:rsid w:val="00C56C95"/>
    <w:rsid w:val="00C6148E"/>
    <w:rsid w:val="00C96F39"/>
    <w:rsid w:val="00CA0CCC"/>
    <w:rsid w:val="00CA2F13"/>
    <w:rsid w:val="00CC11A1"/>
    <w:rsid w:val="00CC1CEA"/>
    <w:rsid w:val="00CE4A90"/>
    <w:rsid w:val="00D261AC"/>
    <w:rsid w:val="00D3469F"/>
    <w:rsid w:val="00D57238"/>
    <w:rsid w:val="00D70463"/>
    <w:rsid w:val="00D75838"/>
    <w:rsid w:val="00D90EC9"/>
    <w:rsid w:val="00D93082"/>
    <w:rsid w:val="00DB2913"/>
    <w:rsid w:val="00DB4417"/>
    <w:rsid w:val="00DB6389"/>
    <w:rsid w:val="00DC4166"/>
    <w:rsid w:val="00DD0405"/>
    <w:rsid w:val="00DD324E"/>
    <w:rsid w:val="00DE7CB5"/>
    <w:rsid w:val="00E0446D"/>
    <w:rsid w:val="00E1798B"/>
    <w:rsid w:val="00E25A47"/>
    <w:rsid w:val="00E31533"/>
    <w:rsid w:val="00E35541"/>
    <w:rsid w:val="00E36848"/>
    <w:rsid w:val="00E42F2B"/>
    <w:rsid w:val="00E57573"/>
    <w:rsid w:val="00E711F5"/>
    <w:rsid w:val="00E747B8"/>
    <w:rsid w:val="00E92719"/>
    <w:rsid w:val="00EC6808"/>
    <w:rsid w:val="00ED27A4"/>
    <w:rsid w:val="00ED3DB5"/>
    <w:rsid w:val="00ED5320"/>
    <w:rsid w:val="00F052DE"/>
    <w:rsid w:val="00F27AE7"/>
    <w:rsid w:val="00F67A97"/>
    <w:rsid w:val="00F71938"/>
    <w:rsid w:val="00F85C8C"/>
    <w:rsid w:val="00F96848"/>
    <w:rsid w:val="00FA7B4C"/>
    <w:rsid w:val="00FA7C24"/>
    <w:rsid w:val="00FB6D15"/>
    <w:rsid w:val="00FC6287"/>
    <w:rsid w:val="00FD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E5249D-D325-457F-96F4-41B9E1F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44B8B"/>
    <w:rPr>
      <w:sz w:val="24"/>
      <w:szCs w:val="24"/>
    </w:rPr>
  </w:style>
  <w:style w:type="paragraph" w:styleId="Heading3">
    <w:name w:val="heading 3"/>
    <w:next w:val="Body"/>
    <w:rsid w:val="00B44B8B"/>
    <w:pPr>
      <w:spacing w:before="240" w:after="60"/>
      <w:outlineLvl w:val="2"/>
    </w:pPr>
    <w:rPr>
      <w:rFonts w:ascii="Arial" w:eastAsia="Arial" w:hAnsi="Arial" w:cs="Arial"/>
      <w:b/>
      <w:bCs/>
      <w:color w:val="000000"/>
      <w:sz w:val="26"/>
      <w:szCs w:val="26"/>
      <w:u w:color="000000"/>
    </w:rPr>
  </w:style>
  <w:style w:type="paragraph" w:styleId="Heading4">
    <w:name w:val="heading 4"/>
    <w:next w:val="Body"/>
    <w:rsid w:val="00B44B8B"/>
    <w:pPr>
      <w:spacing w:before="240" w:after="60"/>
      <w:outlineLvl w:val="3"/>
    </w:pPr>
    <w:rPr>
      <w:rFonts w:ascii="Cambria" w:eastAsia="Cambria" w:hAnsi="Cambria" w:cs="Cambria"/>
      <w:b/>
      <w:bCs/>
      <w:color w:val="000000"/>
      <w:sz w:val="28"/>
      <w:szCs w:val="28"/>
      <w:u w:color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6F39"/>
    <w:pPr>
      <w:keepNext/>
      <w:keepLines/>
      <w:spacing w:before="120" w:after="120"/>
      <w:outlineLvl w:val="4"/>
    </w:pPr>
    <w:rPr>
      <w:rFonts w:ascii="Calibri" w:eastAsiaTheme="majorEastAsia" w:hAnsi="Calibri" w:cstheme="majorBidi"/>
      <w:b/>
    </w:rPr>
  </w:style>
  <w:style w:type="paragraph" w:styleId="Heading6">
    <w:name w:val="heading 6"/>
    <w:next w:val="Body"/>
    <w:rsid w:val="00B44B8B"/>
    <w:pPr>
      <w:spacing w:before="240" w:after="60"/>
      <w:outlineLvl w:val="5"/>
    </w:pPr>
    <w:rPr>
      <w:rFonts w:ascii="Cambria" w:eastAsia="Cambria" w:hAnsi="Cambria" w:cs="Cambria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4B8B"/>
    <w:rPr>
      <w:u w:val="single"/>
    </w:rPr>
  </w:style>
  <w:style w:type="paragraph" w:customStyle="1" w:styleId="HeaderFooter">
    <w:name w:val="Header &amp; Footer"/>
    <w:rsid w:val="00B44B8B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B44B8B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rsid w:val="00B44B8B"/>
    <w:pPr>
      <w:numPr>
        <w:numId w:val="6"/>
      </w:numPr>
    </w:pPr>
  </w:style>
  <w:style w:type="numbering" w:customStyle="1" w:styleId="ImportedStyle1">
    <w:name w:val="Imported Style 1"/>
    <w:rsid w:val="00B44B8B"/>
  </w:style>
  <w:style w:type="paragraph" w:styleId="ListParagraph">
    <w:name w:val="List Paragraph"/>
    <w:rsid w:val="00B44B8B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B44B8B"/>
    <w:pPr>
      <w:numPr>
        <w:numId w:val="10"/>
      </w:numPr>
    </w:pPr>
  </w:style>
  <w:style w:type="numbering" w:customStyle="1" w:styleId="ImportedStyle2">
    <w:name w:val="Imported Style 2"/>
    <w:rsid w:val="00B44B8B"/>
  </w:style>
  <w:style w:type="numbering" w:customStyle="1" w:styleId="List21">
    <w:name w:val="List 21"/>
    <w:basedOn w:val="ImportedStyle3"/>
    <w:rsid w:val="00B44B8B"/>
    <w:pPr>
      <w:numPr>
        <w:numId w:val="13"/>
      </w:numPr>
    </w:pPr>
  </w:style>
  <w:style w:type="numbering" w:customStyle="1" w:styleId="ImportedStyle3">
    <w:name w:val="Imported Style 3"/>
    <w:rsid w:val="00B44B8B"/>
  </w:style>
  <w:style w:type="numbering" w:customStyle="1" w:styleId="List31">
    <w:name w:val="List 31"/>
    <w:basedOn w:val="ImportedStyle3"/>
    <w:rsid w:val="00B44B8B"/>
    <w:pPr>
      <w:numPr>
        <w:numId w:val="16"/>
      </w:numPr>
    </w:pPr>
  </w:style>
  <w:style w:type="paragraph" w:customStyle="1" w:styleId="Heading">
    <w:name w:val="Heading"/>
    <w:next w:val="Body"/>
    <w:rsid w:val="00B44B8B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table" w:styleId="TableGrid">
    <w:name w:val="Table Grid"/>
    <w:basedOn w:val="TableNormal"/>
    <w:uiPriority w:val="59"/>
    <w:rsid w:val="00C56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0E49"/>
    <w:rPr>
      <w:rFonts w:ascii="Calibri" w:hAnsi="Calibri"/>
      <w:b/>
      <w:bCs/>
    </w:rPr>
  </w:style>
  <w:style w:type="character" w:styleId="IntenseEmphasis">
    <w:name w:val="Intense Emphasis"/>
    <w:basedOn w:val="DefaultParagraphFont"/>
    <w:uiPriority w:val="21"/>
    <w:qFormat/>
    <w:rsid w:val="00F052DE"/>
    <w:rPr>
      <w:b/>
      <w:bCs/>
      <w:i/>
      <w:iCs/>
      <w:color w:val="499BC9" w:themeColor="accent1"/>
    </w:rPr>
  </w:style>
  <w:style w:type="character" w:styleId="Emphasis">
    <w:name w:val="Emphasis"/>
    <w:basedOn w:val="DefaultParagraphFont"/>
    <w:uiPriority w:val="20"/>
    <w:qFormat/>
    <w:rsid w:val="00F052DE"/>
    <w:rPr>
      <w:i/>
      <w:iCs/>
    </w:rPr>
  </w:style>
  <w:style w:type="paragraph" w:styleId="NoSpacing">
    <w:name w:val="No Spacing"/>
    <w:uiPriority w:val="1"/>
    <w:qFormat/>
    <w:rsid w:val="00026D2E"/>
    <w:pPr>
      <w:spacing w:after="120"/>
    </w:pPr>
    <w:rPr>
      <w:rFonts w:ascii="Calibri" w:hAnsi="Calibri"/>
      <w:sz w:val="2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0E49"/>
    <w:pPr>
      <w:pBdr>
        <w:bottom w:val="single" w:sz="8" w:space="4" w:color="499BC9" w:themeColor="accent1"/>
      </w:pBdr>
      <w:spacing w:after="300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E49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C96F39"/>
    <w:rPr>
      <w:rFonts w:ascii="Calibri" w:eastAsiaTheme="majorEastAsia" w:hAnsi="Calibri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7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4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4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417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F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F13"/>
  </w:style>
  <w:style w:type="character" w:styleId="FootnoteReference">
    <w:name w:val="footnote reference"/>
    <w:basedOn w:val="DefaultParagraphFont"/>
    <w:uiPriority w:val="99"/>
    <w:semiHidden/>
    <w:unhideWhenUsed/>
    <w:rsid w:val="00CA2F1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58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5827"/>
  </w:style>
  <w:style w:type="character" w:styleId="EndnoteReference">
    <w:name w:val="endnote reference"/>
    <w:basedOn w:val="DefaultParagraphFont"/>
    <w:uiPriority w:val="99"/>
    <w:semiHidden/>
    <w:unhideWhenUsed/>
    <w:rsid w:val="00B15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3C8D6-BEC1-4DE2-AE1B-DCDE9B3F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Natural Resources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Parsons, Martin W (DNR)</dc:creator>
  <cp:lastModifiedBy>Tom Wright</cp:lastModifiedBy>
  <cp:revision>2</cp:revision>
  <cp:lastPrinted>2015-02-20T02:51:00Z</cp:lastPrinted>
  <dcterms:created xsi:type="dcterms:W3CDTF">2015-02-20T02:52:00Z</dcterms:created>
  <dcterms:modified xsi:type="dcterms:W3CDTF">2015-02-20T02:52:00Z</dcterms:modified>
</cp:coreProperties>
</file>