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77" w:rsidRDefault="00136177" w:rsidP="00655321">
      <w:pPr>
        <w:spacing w:after="120"/>
        <w:rPr>
          <w:sz w:val="32"/>
          <w:szCs w:val="32"/>
        </w:rPr>
      </w:pPr>
      <w:bookmarkStart w:id="0" w:name="_GoBack"/>
      <w:bookmarkEnd w:id="0"/>
    </w:p>
    <w:p w:rsidR="00136177" w:rsidRDefault="00136177" w:rsidP="00655321">
      <w:pPr>
        <w:spacing w:after="120"/>
        <w:rPr>
          <w:sz w:val="32"/>
          <w:szCs w:val="32"/>
        </w:rPr>
      </w:pPr>
    </w:p>
    <w:p w:rsidR="00136177" w:rsidRDefault="00136177" w:rsidP="00655321">
      <w:pPr>
        <w:spacing w:after="120"/>
        <w:rPr>
          <w:sz w:val="32"/>
          <w:szCs w:val="32"/>
        </w:rPr>
      </w:pPr>
    </w:p>
    <w:p w:rsidR="00136177" w:rsidRDefault="00136177" w:rsidP="00655321">
      <w:pPr>
        <w:spacing w:after="120"/>
        <w:rPr>
          <w:sz w:val="32"/>
          <w:szCs w:val="32"/>
        </w:rPr>
      </w:pPr>
    </w:p>
    <w:p w:rsidR="00136177" w:rsidRDefault="00136177" w:rsidP="00655321">
      <w:pPr>
        <w:spacing w:after="120"/>
        <w:rPr>
          <w:sz w:val="32"/>
          <w:szCs w:val="32"/>
        </w:rPr>
      </w:pPr>
    </w:p>
    <w:p w:rsidR="00136177" w:rsidRDefault="00136177" w:rsidP="00655321">
      <w:pPr>
        <w:spacing w:after="120"/>
        <w:rPr>
          <w:sz w:val="32"/>
          <w:szCs w:val="32"/>
        </w:rPr>
      </w:pPr>
    </w:p>
    <w:p w:rsidR="00655321" w:rsidRPr="00655321" w:rsidRDefault="00655321" w:rsidP="00655321">
      <w:pPr>
        <w:spacing w:after="120"/>
        <w:rPr>
          <w:sz w:val="32"/>
          <w:szCs w:val="32"/>
        </w:rPr>
      </w:pPr>
      <w:r w:rsidRPr="00655321">
        <w:rPr>
          <w:sz w:val="32"/>
          <w:szCs w:val="32"/>
        </w:rPr>
        <w:t>The Case for Coal:</w:t>
      </w:r>
    </w:p>
    <w:p w:rsidR="00655321" w:rsidRPr="00655321" w:rsidRDefault="00655321" w:rsidP="00655321">
      <w:pPr>
        <w:spacing w:after="120"/>
        <w:rPr>
          <w:sz w:val="32"/>
          <w:szCs w:val="32"/>
        </w:rPr>
      </w:pPr>
      <w:r w:rsidRPr="00655321">
        <w:rPr>
          <w:sz w:val="32"/>
          <w:szCs w:val="32"/>
        </w:rPr>
        <w:t xml:space="preserve">·         Just like an investment portfolio, diversification in an energy portfolio is </w:t>
      </w:r>
      <w:proofErr w:type="gramStart"/>
      <w:r w:rsidRPr="00655321">
        <w:rPr>
          <w:sz w:val="32"/>
          <w:szCs w:val="32"/>
        </w:rPr>
        <w:t>key</w:t>
      </w:r>
      <w:proofErr w:type="gramEnd"/>
      <w:r w:rsidRPr="00655321">
        <w:rPr>
          <w:sz w:val="32"/>
          <w:szCs w:val="32"/>
        </w:rPr>
        <w:t xml:space="preserve"> to stable energy pricing</w:t>
      </w:r>
    </w:p>
    <w:p w:rsidR="00655321" w:rsidRPr="00655321" w:rsidRDefault="00655321" w:rsidP="00655321">
      <w:pPr>
        <w:spacing w:after="120"/>
        <w:rPr>
          <w:sz w:val="32"/>
          <w:szCs w:val="32"/>
        </w:rPr>
      </w:pPr>
      <w:r w:rsidRPr="00655321">
        <w:rPr>
          <w:sz w:val="32"/>
          <w:szCs w:val="32"/>
        </w:rPr>
        <w:t>·         The Lower 48 uses a mix of coal (35-50%), gas (20-30%), Nuclear (20%) and a mix of other minor sources to provide it energy to Americans</w:t>
      </w:r>
    </w:p>
    <w:p w:rsidR="00655321" w:rsidRPr="00655321" w:rsidRDefault="00655321" w:rsidP="00655321">
      <w:pPr>
        <w:spacing w:after="120"/>
        <w:rPr>
          <w:sz w:val="32"/>
          <w:szCs w:val="32"/>
        </w:rPr>
      </w:pPr>
      <w:r w:rsidRPr="00655321">
        <w:rPr>
          <w:sz w:val="32"/>
          <w:szCs w:val="32"/>
        </w:rPr>
        <w:t>·         Alaska, on the other hand, relies on over 70% of its electrical generation fuel on gas and oil, with hydro kicking in just over 20%</w:t>
      </w:r>
    </w:p>
    <w:p w:rsidR="00655321" w:rsidRPr="00655321" w:rsidRDefault="00655321" w:rsidP="00655321">
      <w:pPr>
        <w:spacing w:after="120"/>
        <w:rPr>
          <w:sz w:val="32"/>
          <w:szCs w:val="32"/>
        </w:rPr>
      </w:pPr>
      <w:r w:rsidRPr="00655321">
        <w:rPr>
          <w:sz w:val="32"/>
          <w:szCs w:val="32"/>
        </w:rPr>
        <w:t xml:space="preserve">·         Recent construction – to exacerbate our reliance, we have added an additional 450 MW (or are in the process of adding) in the </w:t>
      </w:r>
      <w:proofErr w:type="spellStart"/>
      <w:r w:rsidRPr="00655321">
        <w:rPr>
          <w:sz w:val="32"/>
          <w:szCs w:val="32"/>
        </w:rPr>
        <w:t>Railbelt</w:t>
      </w:r>
      <w:proofErr w:type="spellEnd"/>
      <w:r w:rsidRPr="00655321">
        <w:rPr>
          <w:sz w:val="32"/>
          <w:szCs w:val="32"/>
        </w:rPr>
        <w:t xml:space="preserve"> over the past decade.  This includes GVEA’s North Pole plant (naphtha, a derivative of oil)</w:t>
      </w:r>
      <w:proofErr w:type="gramStart"/>
      <w:r w:rsidRPr="00655321">
        <w:rPr>
          <w:sz w:val="32"/>
          <w:szCs w:val="32"/>
        </w:rPr>
        <w:t>,CEA</w:t>
      </w:r>
      <w:proofErr w:type="gramEnd"/>
      <w:r w:rsidRPr="00655321">
        <w:rPr>
          <w:sz w:val="32"/>
          <w:szCs w:val="32"/>
        </w:rPr>
        <w:t>/ML&amp;P (gas), MEA (Gas with oil back-up) and HEA (gas)</w:t>
      </w:r>
    </w:p>
    <w:p w:rsidR="00655321" w:rsidRPr="00655321" w:rsidRDefault="00655321" w:rsidP="00655321">
      <w:pPr>
        <w:spacing w:after="120"/>
        <w:rPr>
          <w:sz w:val="32"/>
          <w:szCs w:val="32"/>
        </w:rPr>
      </w:pPr>
      <w:r w:rsidRPr="00655321">
        <w:rPr>
          <w:sz w:val="32"/>
          <w:szCs w:val="32"/>
        </w:rPr>
        <w:t>·         Pricing – when gas was $2 per unit in Cook Inlet and oil was coming in at $45 per barrel, these sources were affordable, although the coal fired power in Healy and Fairbanks was always at or near the cheapest power even at these prices</w:t>
      </w:r>
    </w:p>
    <w:p w:rsidR="00655321" w:rsidRPr="00655321" w:rsidRDefault="00655321" w:rsidP="00655321">
      <w:pPr>
        <w:spacing w:after="120"/>
        <w:rPr>
          <w:sz w:val="32"/>
          <w:szCs w:val="32"/>
        </w:rPr>
      </w:pPr>
      <w:r w:rsidRPr="00655321">
        <w:rPr>
          <w:sz w:val="32"/>
          <w:szCs w:val="32"/>
        </w:rPr>
        <w:t>·         Since 2000, we now have oil at $100 per barrel, and gas in Cook Inlet is now running $6.50 per unit.  This has pushed electric prices up</w:t>
      </w:r>
    </w:p>
    <w:p w:rsidR="00655321" w:rsidRPr="00655321" w:rsidRDefault="00655321" w:rsidP="00655321">
      <w:pPr>
        <w:spacing w:after="120"/>
        <w:rPr>
          <w:sz w:val="32"/>
          <w:szCs w:val="32"/>
        </w:rPr>
      </w:pPr>
      <w:r w:rsidRPr="00655321">
        <w:rPr>
          <w:sz w:val="32"/>
          <w:szCs w:val="32"/>
        </w:rPr>
        <w:t>·         Gas delivered to South-central via the in-state gas line is projected to be delivered at between $9.50 and $11 per unit.  While it might solve supply, it comes at a cost</w:t>
      </w:r>
    </w:p>
    <w:p w:rsidR="00655321" w:rsidRDefault="00655321" w:rsidP="00655321">
      <w:pPr>
        <w:spacing w:after="120"/>
        <w:rPr>
          <w:sz w:val="32"/>
          <w:szCs w:val="32"/>
        </w:rPr>
      </w:pPr>
      <w:r w:rsidRPr="00655321">
        <w:rPr>
          <w:sz w:val="32"/>
          <w:szCs w:val="32"/>
        </w:rPr>
        <w:lastRenderedPageBreak/>
        <w:t xml:space="preserve">·         Fire Island is delivering power to CEA at over $0.20 per </w:t>
      </w:r>
      <w:proofErr w:type="gramStart"/>
      <w:r w:rsidRPr="00655321">
        <w:rPr>
          <w:sz w:val="32"/>
          <w:szCs w:val="32"/>
        </w:rPr>
        <w:t>kwh</w:t>
      </w:r>
      <w:proofErr w:type="gramEnd"/>
      <w:r w:rsidRPr="00655321">
        <w:rPr>
          <w:sz w:val="32"/>
          <w:szCs w:val="32"/>
        </w:rPr>
        <w:t xml:space="preserve">.  This power is unreliable and over </w:t>
      </w:r>
      <w:proofErr w:type="gramStart"/>
      <w:r w:rsidRPr="00655321">
        <w:rPr>
          <w:sz w:val="32"/>
          <w:szCs w:val="32"/>
        </w:rPr>
        <w:t>3x</w:t>
      </w:r>
      <w:proofErr w:type="gramEnd"/>
      <w:r w:rsidRPr="00655321">
        <w:rPr>
          <w:sz w:val="32"/>
          <w:szCs w:val="32"/>
        </w:rPr>
        <w:t xml:space="preserve"> the cost of the coal fired electricity being generated in Healy and Fairbanks</w:t>
      </w:r>
    </w:p>
    <w:p w:rsidR="00655321" w:rsidRDefault="00655321" w:rsidP="00655321">
      <w:pPr>
        <w:spacing w:after="120"/>
        <w:rPr>
          <w:sz w:val="32"/>
          <w:szCs w:val="32"/>
        </w:rPr>
      </w:pPr>
    </w:p>
    <w:p w:rsidR="00655321" w:rsidRDefault="00655321" w:rsidP="00655321">
      <w:pPr>
        <w:spacing w:after="120"/>
        <w:rPr>
          <w:sz w:val="32"/>
          <w:szCs w:val="32"/>
        </w:rPr>
      </w:pPr>
    </w:p>
    <w:p w:rsidR="00655321" w:rsidRDefault="00655321" w:rsidP="00655321">
      <w:pPr>
        <w:spacing w:after="120"/>
        <w:rPr>
          <w:sz w:val="32"/>
          <w:szCs w:val="32"/>
        </w:rPr>
      </w:pPr>
    </w:p>
    <w:p w:rsidR="00655321" w:rsidRPr="00655321" w:rsidRDefault="00655321" w:rsidP="00655321">
      <w:pPr>
        <w:spacing w:after="120"/>
        <w:rPr>
          <w:sz w:val="32"/>
          <w:szCs w:val="32"/>
        </w:rPr>
      </w:pPr>
    </w:p>
    <w:p w:rsidR="00655321" w:rsidRPr="00655321" w:rsidRDefault="00655321" w:rsidP="00655321">
      <w:pPr>
        <w:spacing w:after="120"/>
        <w:ind w:firstLine="720"/>
        <w:rPr>
          <w:sz w:val="32"/>
          <w:szCs w:val="32"/>
        </w:rPr>
      </w:pPr>
      <w:r w:rsidRPr="00655321">
        <w:rPr>
          <w:sz w:val="32"/>
          <w:szCs w:val="32"/>
        </w:rPr>
        <w:t xml:space="preserve">Why have our utilities continued to ignore the supply and economic advantages of coal fired power?  </w:t>
      </w:r>
    </w:p>
    <w:p w:rsidR="00655321" w:rsidRPr="00655321" w:rsidRDefault="00655321" w:rsidP="00655321">
      <w:pPr>
        <w:spacing w:after="120"/>
        <w:ind w:firstLine="720"/>
        <w:rPr>
          <w:sz w:val="32"/>
          <w:szCs w:val="32"/>
        </w:rPr>
      </w:pPr>
      <w:r w:rsidRPr="00655321">
        <w:rPr>
          <w:sz w:val="32"/>
          <w:szCs w:val="32"/>
        </w:rPr>
        <w:t xml:space="preserve">RW Beck conducted a study in 2003 for the State and suggested two large coal fired units be added to the </w:t>
      </w:r>
      <w:proofErr w:type="spellStart"/>
      <w:r w:rsidRPr="00655321">
        <w:rPr>
          <w:sz w:val="32"/>
          <w:szCs w:val="32"/>
        </w:rPr>
        <w:t>Railbelt</w:t>
      </w:r>
      <w:proofErr w:type="spellEnd"/>
      <w:r w:rsidRPr="00655321">
        <w:rPr>
          <w:sz w:val="32"/>
          <w:szCs w:val="32"/>
        </w:rPr>
        <w:t xml:space="preserve"> grid for cost stabilization and diversity.  The study was ignored.  </w:t>
      </w:r>
    </w:p>
    <w:p w:rsidR="00655321" w:rsidRPr="00655321" w:rsidRDefault="00655321" w:rsidP="00655321">
      <w:pPr>
        <w:rPr>
          <w:sz w:val="32"/>
          <w:szCs w:val="32"/>
        </w:rPr>
      </w:pPr>
      <w:r w:rsidRPr="00655321">
        <w:rPr>
          <w:sz w:val="32"/>
          <w:szCs w:val="32"/>
        </w:rPr>
        <w:t>Now we have invested even further into a single electric source in our portfolio.</w:t>
      </w:r>
    </w:p>
    <w:p w:rsidR="00655321" w:rsidRDefault="00655321" w:rsidP="00655321">
      <w:pPr>
        <w:rPr>
          <w:sz w:val="32"/>
          <w:szCs w:val="32"/>
        </w:rPr>
      </w:pPr>
    </w:p>
    <w:p w:rsidR="00655321" w:rsidRPr="00655321" w:rsidRDefault="00655321" w:rsidP="00655321">
      <w:pPr>
        <w:rPr>
          <w:sz w:val="32"/>
          <w:szCs w:val="32"/>
        </w:rPr>
      </w:pPr>
      <w:r w:rsidRPr="00655321">
        <w:rPr>
          <w:sz w:val="32"/>
          <w:szCs w:val="32"/>
        </w:rPr>
        <w:t xml:space="preserve">We know that the world will continue to use coal and other fossil fuels for the foreseeable future. </w:t>
      </w:r>
    </w:p>
    <w:p w:rsidR="00655321" w:rsidRPr="00655321" w:rsidRDefault="00655321" w:rsidP="00655321">
      <w:pPr>
        <w:rPr>
          <w:sz w:val="32"/>
          <w:szCs w:val="32"/>
        </w:rPr>
      </w:pPr>
    </w:p>
    <w:p w:rsidR="00655321" w:rsidRPr="00655321" w:rsidRDefault="00655321" w:rsidP="00655321">
      <w:pPr>
        <w:rPr>
          <w:sz w:val="32"/>
          <w:szCs w:val="32"/>
        </w:rPr>
      </w:pPr>
      <w:r w:rsidRPr="00655321">
        <w:rPr>
          <w:sz w:val="32"/>
          <w:szCs w:val="32"/>
        </w:rPr>
        <w:t xml:space="preserve">However, all sources of energy, including coal, have their weaknesses and strengths, so it’s important that we invest in all of them so we have the best energy mix possible. </w:t>
      </w:r>
    </w:p>
    <w:p w:rsidR="00655321" w:rsidRPr="00655321" w:rsidRDefault="00655321" w:rsidP="00655321">
      <w:pPr>
        <w:rPr>
          <w:sz w:val="32"/>
          <w:szCs w:val="32"/>
        </w:rPr>
      </w:pPr>
    </w:p>
    <w:p w:rsidR="00655321" w:rsidRPr="00655321" w:rsidRDefault="00655321" w:rsidP="00655321">
      <w:pPr>
        <w:rPr>
          <w:sz w:val="32"/>
          <w:szCs w:val="32"/>
        </w:rPr>
      </w:pPr>
      <w:r w:rsidRPr="00655321">
        <w:rPr>
          <w:sz w:val="32"/>
          <w:szCs w:val="32"/>
        </w:rPr>
        <w:t xml:space="preserve">As we continue to invest in renewables and cleaner sources of energy - we need a bridge to take us to a cleaner tomorrow. </w:t>
      </w:r>
    </w:p>
    <w:p w:rsidR="00655321" w:rsidRPr="00655321" w:rsidRDefault="00655321" w:rsidP="00655321">
      <w:pPr>
        <w:rPr>
          <w:sz w:val="32"/>
          <w:szCs w:val="32"/>
        </w:rPr>
      </w:pPr>
    </w:p>
    <w:p w:rsidR="00655321" w:rsidRPr="00655321" w:rsidRDefault="00655321" w:rsidP="00655321">
      <w:pPr>
        <w:rPr>
          <w:sz w:val="32"/>
          <w:szCs w:val="32"/>
        </w:rPr>
      </w:pPr>
      <w:r w:rsidRPr="00655321">
        <w:rPr>
          <w:sz w:val="32"/>
          <w:szCs w:val="32"/>
        </w:rPr>
        <w:t>We need a pragmatic portfolio of diverse energy resources that help balance each other, including renewables, natural gas, nuclear, and coal.</w:t>
      </w:r>
    </w:p>
    <w:p w:rsidR="00655321" w:rsidRPr="00655321" w:rsidRDefault="00655321" w:rsidP="00655321">
      <w:pPr>
        <w:rPr>
          <w:sz w:val="32"/>
          <w:szCs w:val="32"/>
        </w:rPr>
      </w:pPr>
    </w:p>
    <w:p w:rsidR="00655321" w:rsidRPr="00655321" w:rsidRDefault="00655321" w:rsidP="00655321">
      <w:pPr>
        <w:rPr>
          <w:sz w:val="32"/>
          <w:szCs w:val="32"/>
        </w:rPr>
      </w:pPr>
      <w:r w:rsidRPr="00655321">
        <w:rPr>
          <w:sz w:val="32"/>
          <w:szCs w:val="32"/>
        </w:rPr>
        <w:t>Looking forward, we’re going to need renewable energy sources to help power our electric grid, but if we ever want renewables to be a viable and dependable energy option, we’re going to need other sources, such as coal, gas, and nuclear, to get there.</w:t>
      </w:r>
    </w:p>
    <w:p w:rsidR="00655321" w:rsidRPr="00655321" w:rsidRDefault="00655321" w:rsidP="00655321">
      <w:pPr>
        <w:rPr>
          <w:sz w:val="32"/>
          <w:szCs w:val="32"/>
        </w:rPr>
      </w:pPr>
    </w:p>
    <w:p w:rsidR="00655321" w:rsidRPr="00655321" w:rsidRDefault="00655321" w:rsidP="00655321">
      <w:pPr>
        <w:rPr>
          <w:sz w:val="32"/>
          <w:szCs w:val="32"/>
        </w:rPr>
      </w:pPr>
      <w:r w:rsidRPr="00655321">
        <w:rPr>
          <w:sz w:val="32"/>
          <w:szCs w:val="32"/>
        </w:rPr>
        <w:t xml:space="preserve">The fact is, renewables’ low </w:t>
      </w:r>
      <w:proofErr w:type="gramStart"/>
      <w:r w:rsidRPr="00655321">
        <w:rPr>
          <w:sz w:val="32"/>
          <w:szCs w:val="32"/>
        </w:rPr>
        <w:t>emissions offsets</w:t>
      </w:r>
      <w:proofErr w:type="gramEnd"/>
      <w:r w:rsidRPr="00655321">
        <w:rPr>
          <w:sz w:val="32"/>
          <w:szCs w:val="32"/>
        </w:rPr>
        <w:t xml:space="preserve"> the CO2 from coal – and coal’s affordability offsets the high price of renewables. </w:t>
      </w:r>
    </w:p>
    <w:p w:rsidR="00655321" w:rsidRPr="00655321" w:rsidRDefault="00655321" w:rsidP="00655321">
      <w:pPr>
        <w:rPr>
          <w:sz w:val="32"/>
          <w:szCs w:val="32"/>
        </w:rPr>
      </w:pPr>
    </w:p>
    <w:p w:rsidR="00655321" w:rsidRPr="00655321" w:rsidRDefault="00655321" w:rsidP="00655321">
      <w:pPr>
        <w:rPr>
          <w:sz w:val="32"/>
          <w:szCs w:val="32"/>
        </w:rPr>
      </w:pPr>
      <w:r w:rsidRPr="00655321">
        <w:rPr>
          <w:sz w:val="32"/>
          <w:szCs w:val="32"/>
        </w:rPr>
        <w:t xml:space="preserve">They’re not adversaries – they’re partners. They work to balance each other’s weaknesses so we can meet our nation’s growing energy needs in a smart and responsible way. </w:t>
      </w:r>
    </w:p>
    <w:p w:rsidR="00655321" w:rsidRPr="00655321" w:rsidRDefault="00655321" w:rsidP="00655321">
      <w:pPr>
        <w:rPr>
          <w:sz w:val="32"/>
          <w:szCs w:val="32"/>
        </w:rPr>
      </w:pPr>
    </w:p>
    <w:p w:rsidR="00292A18" w:rsidRDefault="002F733E">
      <w:r>
        <w:t xml:space="preserve">    </w:t>
      </w:r>
    </w:p>
    <w:p w:rsidR="00545B5B" w:rsidRDefault="00545B5B"/>
    <w:p w:rsidR="00545B5B" w:rsidRPr="00545B5B" w:rsidRDefault="00D65C44" w:rsidP="00545B5B">
      <w:hyperlink r:id="rId5" w:history="1">
        <w:r w:rsidR="00545B5B" w:rsidRPr="00545B5B">
          <w:rPr>
            <w:rStyle w:val="Hyperlink"/>
          </w:rPr>
          <w:t>KGS Home</w:t>
        </w:r>
      </w:hyperlink>
      <w:r w:rsidR="00545B5B" w:rsidRPr="00545B5B">
        <w:t xml:space="preserve"> &gt; </w:t>
      </w:r>
      <w:hyperlink r:id="rId6" w:history="1">
        <w:r w:rsidR="00545B5B" w:rsidRPr="00545B5B">
          <w:rPr>
            <w:rStyle w:val="Hyperlink"/>
          </w:rPr>
          <w:t xml:space="preserve">Coal </w:t>
        </w:r>
      </w:hyperlink>
      <w:r w:rsidR="00545B5B" w:rsidRPr="00545B5B">
        <w:t xml:space="preserve">&gt; </w:t>
      </w:r>
      <w:hyperlink r:id="rId7" w:history="1">
        <w:r w:rsidR="00545B5B" w:rsidRPr="00545B5B">
          <w:rPr>
            <w:rStyle w:val="Hyperlink"/>
          </w:rPr>
          <w:t>Coal Information</w:t>
        </w:r>
        <w:r w:rsidR="00545B5B" w:rsidRPr="00545B5B">
          <w:rPr>
            <w:rStyle w:val="Hyperlink"/>
          </w:rPr>
          <w:br/>
        </w:r>
      </w:hyperlink>
      <w:r w:rsidR="00545B5B" w:rsidRPr="00545B5B">
        <w:rPr>
          <w:b/>
          <w:bCs/>
        </w:rPr>
        <w:t>Classification and Rank of Coal</w:t>
      </w:r>
    </w:p>
    <w:p w:rsidR="00545B5B" w:rsidRPr="00545B5B" w:rsidRDefault="00545B5B" w:rsidP="00545B5B">
      <w:pPr>
        <w:rPr>
          <w:b/>
          <w:bCs/>
        </w:rPr>
      </w:pPr>
      <w:r w:rsidRPr="00545B5B">
        <w:rPr>
          <w:b/>
          <w:bCs/>
          <w:noProof/>
        </w:rPr>
        <w:drawing>
          <wp:inline distT="0" distB="0" distL="0" distR="0">
            <wp:extent cx="6667500" cy="2638425"/>
            <wp:effectExtent l="0" t="0" r="0" b="9525"/>
            <wp:docPr id="1" name="Picture 1" descr="a diagram illustrates classification and rank of coal: Peat, Lignite, sub-bituminous, bituminous, anthracite based on burial pressure, heat an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illustrates classification and rank of coal: Peat, Lignite, sub-bituminous, bituminous, anthracite based on burial pressure, heat and ti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2638425"/>
                    </a:xfrm>
                    <a:prstGeom prst="rect">
                      <a:avLst/>
                    </a:prstGeom>
                    <a:noFill/>
                    <a:ln>
                      <a:noFill/>
                    </a:ln>
                  </pic:spPr>
                </pic:pic>
              </a:graphicData>
            </a:graphic>
          </wp:inline>
        </w:drawing>
      </w:r>
    </w:p>
    <w:p w:rsidR="00545B5B" w:rsidRPr="00545B5B" w:rsidRDefault="00545B5B" w:rsidP="00545B5B">
      <w:r w:rsidRPr="00545B5B">
        <w:t xml:space="preserve">For more </w:t>
      </w:r>
      <w:proofErr w:type="spellStart"/>
      <w:r w:rsidRPr="00545B5B">
        <w:t>infomation</w:t>
      </w:r>
      <w:proofErr w:type="spellEnd"/>
      <w:r w:rsidRPr="00545B5B">
        <w:t xml:space="preserve"> about download this image, please click </w:t>
      </w:r>
      <w:hyperlink r:id="rId9" w:history="1">
        <w:r w:rsidRPr="00545B5B">
          <w:rPr>
            <w:rStyle w:val="Hyperlink"/>
          </w:rPr>
          <w:t>here</w:t>
        </w:r>
      </w:hyperlink>
      <w:r w:rsidRPr="00545B5B">
        <w:t xml:space="preserve">. </w:t>
      </w:r>
    </w:p>
    <w:p w:rsidR="00545B5B" w:rsidRPr="00545B5B" w:rsidRDefault="00545B5B" w:rsidP="00545B5B">
      <w:r w:rsidRPr="00545B5B">
        <w:t xml:space="preserve">The kinds of coal, in increasing order of alteration, are lignite (brown coal--immature), sub-bituminous, bituminous, and anthracite (mature). Coal starts off as peat. After a considerable amount of time, heat, and burial pressure, it is metamorphosed from peat to </w:t>
      </w:r>
      <w:r w:rsidRPr="00545B5B">
        <w:rPr>
          <w:b/>
          <w:bCs/>
        </w:rPr>
        <w:t>lignite</w:t>
      </w:r>
      <w:r w:rsidRPr="00545B5B">
        <w:t xml:space="preserve">. Lignite is considered to be "immature" coal at this stage of development because it is still somewhat light in color and it remains soft. As time passes, lignite increases in maturity by becoming darker and harder and is then classified as </w:t>
      </w:r>
      <w:r w:rsidRPr="00545B5B">
        <w:rPr>
          <w:b/>
          <w:bCs/>
        </w:rPr>
        <w:t>sub-bituminous</w:t>
      </w:r>
      <w:r w:rsidRPr="00545B5B">
        <w:t xml:space="preserve"> coal. As this process of burial and alteration continues, more chemical and physical changes occur and </w:t>
      </w:r>
      <w:proofErr w:type="gramStart"/>
      <w:r w:rsidRPr="00545B5B">
        <w:t>a the</w:t>
      </w:r>
      <w:proofErr w:type="gramEnd"/>
      <w:r w:rsidRPr="00545B5B">
        <w:t xml:space="preserve"> coal is classified as </w:t>
      </w:r>
      <w:r w:rsidRPr="00545B5B">
        <w:rPr>
          <w:b/>
          <w:bCs/>
        </w:rPr>
        <w:t>bituminous</w:t>
      </w:r>
      <w:r w:rsidRPr="00545B5B">
        <w:t xml:space="preserve">. At this point the coal is dark and hard. </w:t>
      </w:r>
      <w:r w:rsidRPr="00545B5B">
        <w:rPr>
          <w:b/>
          <w:bCs/>
        </w:rPr>
        <w:t>Anthracite</w:t>
      </w:r>
      <w:r w:rsidRPr="00545B5B">
        <w:t xml:space="preserve"> is the last of the classifications, and this terminology is used when the coal has reached ultimate maturation. Anthracite coal is very hard and shiny.</w:t>
      </w:r>
    </w:p>
    <w:p w:rsidR="00545B5B" w:rsidRPr="00545B5B" w:rsidRDefault="00545B5B" w:rsidP="00545B5B">
      <w:r w:rsidRPr="00545B5B">
        <w:t xml:space="preserve">The degree of alteration (or metamorphism) that occurs as a coal matures from peat to anthracite is referred to as the "rank" of the coal. Low-rank coals include lignite and sub-bituminous coals. These coals have </w:t>
      </w:r>
      <w:proofErr w:type="gramStart"/>
      <w:r w:rsidRPr="00545B5B">
        <w:t>a lower</w:t>
      </w:r>
      <w:proofErr w:type="gramEnd"/>
      <w:r w:rsidRPr="00545B5B">
        <w:t xml:space="preserve"> energy content because they have a low carbon content. They are lighter (earthier) and have higher moisture levels. As time, heat, and burial pressure all increase, the rank does as well. High-rank coals, including bituminous and anthracite coals, contain more </w:t>
      </w:r>
      <w:r w:rsidRPr="00545B5B">
        <w:lastRenderedPageBreak/>
        <w:t xml:space="preserve">carbon than lower-rank coals which results in a much higher energy content. They have a more vitreous (shiny) appearance and lower moisture content then lower-rank coals. </w:t>
      </w:r>
    </w:p>
    <w:p w:rsidR="00545B5B" w:rsidRDefault="00545B5B">
      <w:r>
        <w:br w:type="page"/>
      </w:r>
    </w:p>
    <w:p w:rsidR="00545B5B" w:rsidRDefault="00545B5B"/>
    <w:p w:rsidR="00545B5B" w:rsidRDefault="00D65C44">
      <w:hyperlink r:id="rId10" w:history="1">
        <w:r w:rsidR="00545B5B" w:rsidRPr="005075F7">
          <w:rPr>
            <w:rStyle w:val="Hyperlink"/>
          </w:rPr>
          <w:t>http://en.wikipedia.org/wiki/Coal</w:t>
        </w:r>
      </w:hyperlink>
      <w:r w:rsidR="00545B5B">
        <w:t xml:space="preserve"> </w:t>
      </w:r>
    </w:p>
    <w:p w:rsidR="00545B5B" w:rsidRPr="00545B5B" w:rsidRDefault="00545B5B" w:rsidP="00545B5B">
      <w:pPr>
        <w:rPr>
          <w:b/>
          <w:bCs/>
          <w:lang w:val="en"/>
        </w:rPr>
      </w:pPr>
      <w:r w:rsidRPr="00545B5B">
        <w:rPr>
          <w:b/>
          <w:bCs/>
          <w:lang w:val="en"/>
        </w:rPr>
        <w:t>Coal as fuel</w:t>
      </w:r>
    </w:p>
    <w:p w:rsidR="00545B5B" w:rsidRPr="00545B5B" w:rsidRDefault="00545B5B" w:rsidP="00545B5B">
      <w:pPr>
        <w:rPr>
          <w:i/>
          <w:iCs/>
          <w:lang w:val="en"/>
        </w:rPr>
      </w:pPr>
      <w:r w:rsidRPr="00545B5B">
        <w:rPr>
          <w:i/>
          <w:iCs/>
          <w:lang w:val="en"/>
        </w:rPr>
        <w:t xml:space="preserve">Further information: </w:t>
      </w:r>
      <w:hyperlink r:id="rId11" w:tooltip="Electricity generation" w:history="1">
        <w:r w:rsidRPr="00545B5B">
          <w:rPr>
            <w:rStyle w:val="Hyperlink"/>
            <w:i/>
            <w:iCs/>
            <w:lang w:val="en"/>
          </w:rPr>
          <w:t>Electricity generation</w:t>
        </w:r>
      </w:hyperlink>
      <w:r w:rsidRPr="00545B5B">
        <w:rPr>
          <w:i/>
          <w:iCs/>
          <w:lang w:val="en"/>
        </w:rPr>
        <w:t xml:space="preserve">, </w:t>
      </w:r>
      <w:hyperlink r:id="rId12" w:tooltip="Clean coal technology" w:history="1">
        <w:proofErr w:type="gramStart"/>
        <w:r w:rsidRPr="00545B5B">
          <w:rPr>
            <w:rStyle w:val="Hyperlink"/>
            <w:i/>
            <w:iCs/>
            <w:lang w:val="en"/>
          </w:rPr>
          <w:t>Clean</w:t>
        </w:r>
        <w:proofErr w:type="gramEnd"/>
        <w:r w:rsidRPr="00545B5B">
          <w:rPr>
            <w:rStyle w:val="Hyperlink"/>
            <w:i/>
            <w:iCs/>
            <w:lang w:val="en"/>
          </w:rPr>
          <w:t xml:space="preserve"> coal technology</w:t>
        </w:r>
      </w:hyperlink>
      <w:r w:rsidRPr="00545B5B">
        <w:rPr>
          <w:i/>
          <w:iCs/>
          <w:lang w:val="en"/>
        </w:rPr>
        <w:t xml:space="preserve">, </w:t>
      </w:r>
      <w:hyperlink r:id="rId13" w:tooltip="Coal electricity" w:history="1">
        <w:r w:rsidRPr="00545B5B">
          <w:rPr>
            <w:rStyle w:val="Hyperlink"/>
            <w:i/>
            <w:iCs/>
            <w:lang w:val="en"/>
          </w:rPr>
          <w:t>Coal electricity</w:t>
        </w:r>
      </w:hyperlink>
      <w:r w:rsidRPr="00545B5B">
        <w:rPr>
          <w:i/>
          <w:iCs/>
          <w:lang w:val="en"/>
        </w:rPr>
        <w:t xml:space="preserve">, and </w:t>
      </w:r>
      <w:hyperlink r:id="rId14" w:tooltip="Global warming" w:history="1">
        <w:r w:rsidRPr="00545B5B">
          <w:rPr>
            <w:rStyle w:val="Hyperlink"/>
            <w:i/>
            <w:iCs/>
            <w:lang w:val="en"/>
          </w:rPr>
          <w:t>Global warming</w:t>
        </w:r>
      </w:hyperlink>
    </w:p>
    <w:p w:rsidR="00545B5B" w:rsidRPr="00545B5B" w:rsidRDefault="00545B5B" w:rsidP="00545B5B">
      <w:pPr>
        <w:rPr>
          <w:lang w:val="en"/>
        </w:rPr>
      </w:pPr>
      <w:r w:rsidRPr="00545B5B">
        <w:rPr>
          <w:lang w:val="en"/>
        </w:rPr>
        <w:t xml:space="preserve">Coal is primarily used as a </w:t>
      </w:r>
      <w:hyperlink r:id="rId15" w:tooltip="Solid fuel" w:history="1">
        <w:r w:rsidRPr="00545B5B">
          <w:rPr>
            <w:rStyle w:val="Hyperlink"/>
            <w:lang w:val="en"/>
          </w:rPr>
          <w:t>solid fuel</w:t>
        </w:r>
      </w:hyperlink>
      <w:r w:rsidRPr="00545B5B">
        <w:rPr>
          <w:lang w:val="en"/>
        </w:rPr>
        <w:t xml:space="preserve"> to produce electricity and heat through combustion. World coal consumption was about 7.25 billion </w:t>
      </w:r>
      <w:hyperlink r:id="rId16" w:tooltip="Tonnes" w:history="1">
        <w:proofErr w:type="spellStart"/>
        <w:r w:rsidRPr="00545B5B">
          <w:rPr>
            <w:rStyle w:val="Hyperlink"/>
            <w:lang w:val="en"/>
          </w:rPr>
          <w:t>tonnes</w:t>
        </w:r>
        <w:proofErr w:type="spellEnd"/>
      </w:hyperlink>
      <w:r w:rsidRPr="00545B5B">
        <w:rPr>
          <w:lang w:val="en"/>
        </w:rPr>
        <w:t xml:space="preserve"> in 2010</w:t>
      </w:r>
      <w:hyperlink r:id="rId17" w:anchor="cite_note-35" w:history="1">
        <w:r w:rsidRPr="00545B5B">
          <w:rPr>
            <w:rStyle w:val="Hyperlink"/>
            <w:vertAlign w:val="superscript"/>
            <w:lang w:val="en"/>
          </w:rPr>
          <w:t>[35]</w:t>
        </w:r>
      </w:hyperlink>
      <w:r w:rsidRPr="00545B5B">
        <w:rPr>
          <w:lang w:val="en"/>
        </w:rPr>
        <w:t xml:space="preserve"> (7.99 billion </w:t>
      </w:r>
      <w:hyperlink r:id="rId18" w:tooltip="Short ton" w:history="1">
        <w:r w:rsidRPr="00545B5B">
          <w:rPr>
            <w:rStyle w:val="Hyperlink"/>
            <w:lang w:val="en"/>
          </w:rPr>
          <w:t>short tons</w:t>
        </w:r>
      </w:hyperlink>
      <w:r w:rsidRPr="00545B5B">
        <w:rPr>
          <w:lang w:val="en"/>
        </w:rPr>
        <w:t xml:space="preserve">) and is expected to increase 48% to 9.05 billion </w:t>
      </w:r>
      <w:proofErr w:type="spellStart"/>
      <w:r w:rsidRPr="00545B5B">
        <w:rPr>
          <w:lang w:val="en"/>
        </w:rPr>
        <w:t>tonnes</w:t>
      </w:r>
      <w:proofErr w:type="spellEnd"/>
      <w:r w:rsidRPr="00545B5B">
        <w:rPr>
          <w:lang w:val="en"/>
        </w:rPr>
        <w:t xml:space="preserve"> (9.98 billion short tons) by 2030.</w:t>
      </w:r>
      <w:hyperlink r:id="rId19" w:anchor="cite_note-36" w:history="1">
        <w:r w:rsidRPr="00545B5B">
          <w:rPr>
            <w:rStyle w:val="Hyperlink"/>
            <w:vertAlign w:val="superscript"/>
            <w:lang w:val="en"/>
          </w:rPr>
          <w:t>[36]</w:t>
        </w:r>
      </w:hyperlink>
      <w:r w:rsidRPr="00545B5B">
        <w:rPr>
          <w:lang w:val="en"/>
        </w:rPr>
        <w:t xml:space="preserve"> </w:t>
      </w:r>
      <w:hyperlink r:id="rId20" w:tooltip="Coal power in China" w:history="1">
        <w:r w:rsidRPr="00545B5B">
          <w:rPr>
            <w:rStyle w:val="Hyperlink"/>
            <w:lang w:val="en"/>
          </w:rPr>
          <w:t>China</w:t>
        </w:r>
      </w:hyperlink>
      <w:r w:rsidRPr="00545B5B">
        <w:rPr>
          <w:lang w:val="en"/>
        </w:rPr>
        <w:t xml:space="preserve"> produced 3.47 billion </w:t>
      </w:r>
      <w:proofErr w:type="spellStart"/>
      <w:r w:rsidRPr="00545B5B">
        <w:rPr>
          <w:lang w:val="en"/>
        </w:rPr>
        <w:t>tonnes</w:t>
      </w:r>
      <w:proofErr w:type="spellEnd"/>
      <w:r w:rsidRPr="00545B5B">
        <w:rPr>
          <w:lang w:val="en"/>
        </w:rPr>
        <w:t xml:space="preserve"> (3.83 billion short tons) in 2011. </w:t>
      </w:r>
      <w:hyperlink r:id="rId21" w:tooltip="India" w:history="1">
        <w:r w:rsidRPr="00545B5B">
          <w:rPr>
            <w:rStyle w:val="Hyperlink"/>
            <w:lang w:val="en"/>
          </w:rPr>
          <w:t>India</w:t>
        </w:r>
      </w:hyperlink>
      <w:r w:rsidRPr="00545B5B">
        <w:rPr>
          <w:lang w:val="en"/>
        </w:rPr>
        <w:t xml:space="preserve"> produced about 578 million </w:t>
      </w:r>
      <w:proofErr w:type="spellStart"/>
      <w:r w:rsidRPr="00545B5B">
        <w:rPr>
          <w:lang w:val="en"/>
        </w:rPr>
        <w:t>tonnes</w:t>
      </w:r>
      <w:proofErr w:type="spellEnd"/>
      <w:r w:rsidRPr="00545B5B">
        <w:rPr>
          <w:lang w:val="en"/>
        </w:rPr>
        <w:t xml:space="preserve"> (637.1 million short tons) in 2011. 68.7% of China's electricity comes from coal. The USA consumed about 13% of the world total in 2010, i.e. 951 million </w:t>
      </w:r>
      <w:proofErr w:type="spellStart"/>
      <w:r w:rsidRPr="00545B5B">
        <w:rPr>
          <w:lang w:val="en"/>
        </w:rPr>
        <w:t>tonnes</w:t>
      </w:r>
      <w:proofErr w:type="spellEnd"/>
      <w:r w:rsidRPr="00545B5B">
        <w:rPr>
          <w:lang w:val="en"/>
        </w:rPr>
        <w:t xml:space="preserve"> (1.05 billion short tons), using 93% of it for generation of electricity.</w:t>
      </w:r>
      <w:hyperlink r:id="rId22" w:anchor="cite_note-37" w:history="1">
        <w:r w:rsidRPr="00545B5B">
          <w:rPr>
            <w:rStyle w:val="Hyperlink"/>
            <w:vertAlign w:val="superscript"/>
            <w:lang w:val="en"/>
          </w:rPr>
          <w:t>[37]</w:t>
        </w:r>
      </w:hyperlink>
      <w:r w:rsidRPr="00545B5B">
        <w:rPr>
          <w:lang w:val="en"/>
        </w:rPr>
        <w:t xml:space="preserve"> 46% of total power generated in the USA was done using coal.</w:t>
      </w:r>
      <w:hyperlink r:id="rId23" w:anchor="cite_note-38" w:history="1">
        <w:r w:rsidRPr="00545B5B">
          <w:rPr>
            <w:rStyle w:val="Hyperlink"/>
            <w:vertAlign w:val="superscript"/>
            <w:lang w:val="en"/>
          </w:rPr>
          <w:t>[38]</w:t>
        </w:r>
      </w:hyperlink>
    </w:p>
    <w:p w:rsidR="00545B5B" w:rsidRDefault="00545B5B"/>
    <w:p w:rsidR="00C63207" w:rsidRDefault="00545B5B">
      <w:r w:rsidRPr="00545B5B">
        <w:rPr>
          <w:noProof/>
        </w:rPr>
        <w:drawing>
          <wp:inline distT="0" distB="0" distL="0" distR="0" wp14:anchorId="2990C65F" wp14:editId="3216FD02">
            <wp:extent cx="5943600" cy="3232623"/>
            <wp:effectExtent l="0" t="0" r="0" b="6350"/>
            <wp:docPr id="2" name="Picture 2" descr="http://energy-alaska.wdfiles.com/local--files/overview-of-alaska-s-coal-basins/coal_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ergy-alaska.wdfiles.com/local--files/overview-of-alaska-s-coal-basins/coal_163.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3232623"/>
                    </a:xfrm>
                    <a:prstGeom prst="rect">
                      <a:avLst/>
                    </a:prstGeom>
                    <a:noFill/>
                    <a:ln>
                      <a:noFill/>
                    </a:ln>
                  </pic:spPr>
                </pic:pic>
              </a:graphicData>
            </a:graphic>
          </wp:inline>
        </w:drawing>
      </w:r>
    </w:p>
    <w:p w:rsidR="00C63207" w:rsidRPr="00C63207" w:rsidRDefault="00C63207" w:rsidP="00C63207">
      <w:r w:rsidRPr="00C63207">
        <w:t>Coal Resources</w:t>
      </w:r>
    </w:p>
    <w:p w:rsidR="00C63207" w:rsidRPr="00C63207" w:rsidRDefault="00C63207" w:rsidP="00C63207">
      <w:pPr>
        <w:spacing w:after="120"/>
        <w:rPr>
          <w:u w:val="single"/>
        </w:rPr>
      </w:pPr>
      <w:r w:rsidRPr="00C63207">
        <w:rPr>
          <w:u w:val="single"/>
        </w:rPr>
        <w:t xml:space="preserve">DNR/DGGS </w:t>
      </w:r>
      <w:proofErr w:type="spellStart"/>
      <w:r w:rsidRPr="00C63207">
        <w:rPr>
          <w:u w:val="single"/>
        </w:rPr>
        <w:t>SpecialReport</w:t>
      </w:r>
      <w:proofErr w:type="spellEnd"/>
      <w:r w:rsidRPr="00C63207">
        <w:rPr>
          <w:u w:val="single"/>
        </w:rPr>
        <w:t xml:space="preserve"> #66: Fossil and Geothermal Energy Sources for Local Use in Alaska:</w:t>
      </w:r>
    </w:p>
    <w:p w:rsidR="00C63207" w:rsidRPr="00C63207" w:rsidRDefault="00C63207" w:rsidP="00C63207">
      <w:pPr>
        <w:spacing w:after="120"/>
      </w:pPr>
      <w:r w:rsidRPr="00C63207">
        <w:rPr>
          <w:b/>
        </w:rPr>
        <w:t>North Slope Coal</w:t>
      </w:r>
      <w:r w:rsidRPr="00C63207">
        <w:t xml:space="preserve">: The Colville Basin may contain as much as 1/3 the total coal in the US.  </w:t>
      </w:r>
      <w:proofErr w:type="gramStart"/>
      <w:r w:rsidRPr="00C63207">
        <w:t>Possibly 3.2 trillion short tons of bituminous to subbituminous rank.</w:t>
      </w:r>
      <w:proofErr w:type="gramEnd"/>
      <w:r w:rsidRPr="00C63207">
        <w:t xml:space="preserve">  Wainwright, </w:t>
      </w:r>
      <w:proofErr w:type="spellStart"/>
      <w:r w:rsidRPr="00C63207">
        <w:t>Atqasuk</w:t>
      </w:r>
      <w:proofErr w:type="spellEnd"/>
      <w:r w:rsidRPr="00C63207">
        <w:t xml:space="preserve">, Point Lay and Point Hope are close to known outcrops of usable coal. </w:t>
      </w:r>
    </w:p>
    <w:p w:rsidR="00C63207" w:rsidRPr="00C63207" w:rsidRDefault="00C63207" w:rsidP="00C63207">
      <w:pPr>
        <w:spacing w:after="120"/>
      </w:pPr>
      <w:r w:rsidRPr="00C63207">
        <w:rPr>
          <w:b/>
        </w:rPr>
        <w:t>Cook Inlet – Susitna</w:t>
      </w:r>
      <w:r w:rsidRPr="00C63207">
        <w:t xml:space="preserve"> has an estimated 11 billion short tons of coal.  The Beluga-</w:t>
      </w:r>
      <w:proofErr w:type="spellStart"/>
      <w:r w:rsidRPr="00C63207">
        <w:t>Yentna</w:t>
      </w:r>
      <w:proofErr w:type="spellEnd"/>
      <w:r w:rsidRPr="00C63207">
        <w:t xml:space="preserve"> region is estimated to contain 30 billion tons, with the Beluga Field the largest, located 45 miles west of Anchorage.</w:t>
      </w:r>
    </w:p>
    <w:p w:rsidR="00C63207" w:rsidRPr="00C63207" w:rsidRDefault="00C63207" w:rsidP="00C63207">
      <w:pPr>
        <w:spacing w:after="120"/>
      </w:pPr>
      <w:proofErr w:type="spellStart"/>
      <w:r w:rsidRPr="00C63207">
        <w:rPr>
          <w:b/>
        </w:rPr>
        <w:t>Nenana</w:t>
      </w:r>
      <w:proofErr w:type="spellEnd"/>
      <w:r w:rsidRPr="00C63207">
        <w:rPr>
          <w:b/>
        </w:rPr>
        <w:t xml:space="preserve"> Coal</w:t>
      </w:r>
      <w:r w:rsidRPr="00C63207">
        <w:t xml:space="preserve"> province is estimated to contain 10 billion short tons of lignite and subbituminous coal.</w:t>
      </w:r>
    </w:p>
    <w:p w:rsidR="00C63207" w:rsidRPr="00C63207" w:rsidRDefault="00C63207" w:rsidP="00C63207">
      <w:proofErr w:type="gramStart"/>
      <w:r w:rsidRPr="00C63207">
        <w:t>All very low sulfur.</w:t>
      </w:r>
      <w:proofErr w:type="gramEnd"/>
      <w:r w:rsidRPr="00C63207">
        <w:t xml:space="preserve">  </w:t>
      </w:r>
      <w:proofErr w:type="gramStart"/>
      <w:r w:rsidRPr="00C63207">
        <w:t>Very low trace elements, including mercury.</w:t>
      </w:r>
      <w:proofErr w:type="gramEnd"/>
    </w:p>
    <w:p w:rsidR="00545B5B" w:rsidRDefault="00545B5B">
      <w:r>
        <w:br w:type="page"/>
      </w:r>
    </w:p>
    <w:tbl>
      <w:tblPr>
        <w:tblW w:w="0" w:type="auto"/>
        <w:tblCellMar>
          <w:top w:w="15" w:type="dxa"/>
          <w:left w:w="15" w:type="dxa"/>
          <w:bottom w:w="15" w:type="dxa"/>
          <w:right w:w="15" w:type="dxa"/>
        </w:tblCellMar>
        <w:tblLook w:val="04A0" w:firstRow="1" w:lastRow="0" w:firstColumn="1" w:lastColumn="0" w:noHBand="0" w:noVBand="1"/>
      </w:tblPr>
      <w:tblGrid>
        <w:gridCol w:w="2719"/>
        <w:gridCol w:w="1969"/>
        <w:gridCol w:w="5008"/>
      </w:tblGrid>
      <w:tr w:rsidR="00545B5B" w:rsidRPr="00545B5B" w:rsidTr="00545B5B">
        <w:tc>
          <w:tcPr>
            <w:tcW w:w="0" w:type="auto"/>
            <w:gridSpan w:val="3"/>
            <w:tcBorders>
              <w:top w:val="single" w:sz="6" w:space="0" w:color="888888"/>
              <w:left w:val="single" w:sz="6" w:space="0" w:color="888888"/>
              <w:bottom w:val="single" w:sz="6" w:space="0" w:color="888888"/>
              <w:right w:val="single" w:sz="6" w:space="0" w:color="888888"/>
            </w:tcBorders>
            <w:shd w:val="clear" w:color="auto" w:fill="EEEEEE"/>
            <w:tcMar>
              <w:top w:w="72" w:type="dxa"/>
              <w:left w:w="168" w:type="dxa"/>
              <w:bottom w:w="72" w:type="dxa"/>
              <w:right w:w="168" w:type="dxa"/>
            </w:tcMar>
            <w:vAlign w:val="center"/>
            <w:hideMark/>
          </w:tcPr>
          <w:p w:rsidR="00545B5B" w:rsidRPr="00545B5B" w:rsidRDefault="00545B5B" w:rsidP="00545B5B">
            <w:pPr>
              <w:rPr>
                <w:b/>
                <w:bCs/>
              </w:rPr>
            </w:pPr>
            <w:r w:rsidRPr="00545B5B">
              <w:rPr>
                <w:b/>
                <w:bCs/>
              </w:rPr>
              <w:lastRenderedPageBreak/>
              <w:t>Identified Alaska Coal Resources by Province</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rPr>
              <w:t>Province/Coal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rPr>
              <w:t>Millions of short tons</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rPr>
              <w:t>Coal Rank</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i/>
                <w:iCs/>
              </w:rPr>
              <w:t>Northern Alaska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High-volatile bituminous &amp; subbituminous; extensive lignite and minor anthracite</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150,000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(Identified resources)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~3,600,000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(Hypothetical resources)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i/>
                <w:iCs/>
              </w:rPr>
              <w:t>Cook Inlet-Matanuska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 xml:space="preserve">Beluga and </w:t>
            </w:r>
            <w:proofErr w:type="spellStart"/>
            <w:r w:rsidRPr="00545B5B">
              <w:t>Yentna</w:t>
            </w:r>
            <w:proofErr w:type="spellEnd"/>
            <w:r w:rsidRPr="00545B5B">
              <w:t xml:space="preserve"> fields</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10,000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Sub-bituminous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Kenai field (onshore only)</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320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Sub-bituminous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Matanuska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150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High-volatile bituminous to anthracite</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Broad Pass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50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Lignite</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Susitna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110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Sub-bituminous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proofErr w:type="spellStart"/>
            <w:r w:rsidRPr="00545B5B">
              <w:rPr>
                <w:b/>
                <w:bCs/>
                <w:i/>
                <w:iCs/>
              </w:rPr>
              <w:t>Nenana</w:t>
            </w:r>
            <w:proofErr w:type="spellEnd"/>
            <w:r w:rsidRPr="00545B5B">
              <w:rPr>
                <w:b/>
                <w:bCs/>
                <w:i/>
                <w:iCs/>
              </w:rPr>
              <w:t xml:space="preserve">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proofErr w:type="spellStart"/>
            <w:r w:rsidRPr="00545B5B">
              <w:t>Nenana</w:t>
            </w:r>
            <w:proofErr w:type="spellEnd"/>
            <w:r w:rsidRPr="00545B5B">
              <w:t xml:space="preserve"> basin proper</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7,000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Sub-bituminous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 xml:space="preserve">Little </w:t>
            </w:r>
            <w:proofErr w:type="spellStart"/>
            <w:r w:rsidRPr="00545B5B">
              <w:t>Tonzona</w:t>
            </w:r>
            <w:proofErr w:type="spellEnd"/>
            <w:r w:rsidRPr="00545B5B">
              <w:t xml:space="preserve">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1,500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Sub-bituminous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Jarvis Creek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75</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Sub-bituminous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i/>
                <w:iCs/>
              </w:rPr>
              <w:t>Alaska Peninsula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proofErr w:type="spellStart"/>
            <w:r w:rsidRPr="00545B5B">
              <w:t>Chignik</w:t>
            </w:r>
            <w:proofErr w:type="spellEnd"/>
            <w:r w:rsidRPr="00545B5B">
              <w:t xml:space="preserve"> and </w:t>
            </w:r>
            <w:proofErr w:type="spellStart"/>
            <w:r w:rsidRPr="00545B5B">
              <w:t>Herendeen</w:t>
            </w:r>
            <w:proofErr w:type="spellEnd"/>
            <w:r w:rsidRPr="00545B5B">
              <w:t xml:space="preserve"> Bay fields</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proofErr w:type="spellStart"/>
            <w:r w:rsidRPr="00545B5B">
              <w:t>Unga</w:t>
            </w:r>
            <w:proofErr w:type="spellEnd"/>
            <w:r w:rsidRPr="00545B5B">
              <w:t xml:space="preserve"> I.</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430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High-volatile 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i/>
                <w:iCs/>
              </w:rPr>
              <w:t>Gulf of Alaska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Bering River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160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Low-volatile bituminous to anthracite</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i/>
                <w:iCs/>
              </w:rPr>
              <w:t>Yukon-Koyukuk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Tramway Bar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15</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High-volatile bituminous</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i/>
                <w:iCs/>
              </w:rPr>
              <w:lastRenderedPageBreak/>
              <w:t>Upper Yukon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Eagle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10</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Sub-bituminous and lignite</w:t>
            </w:r>
          </w:p>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rPr>
                <w:b/>
                <w:bCs/>
                <w:i/>
                <w:iCs/>
              </w:rPr>
              <w:t>Seward Peninsula Province</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tc>
      </w:tr>
      <w:tr w:rsidR="00545B5B" w:rsidRPr="00545B5B" w:rsidTr="00545B5B">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Chicago Creek field</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4.7</w:t>
            </w:r>
          </w:p>
        </w:tc>
        <w:tc>
          <w:tcPr>
            <w:tcW w:w="0" w:type="auto"/>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545B5B" w:rsidRPr="00545B5B" w:rsidRDefault="00545B5B" w:rsidP="00545B5B">
            <w:r w:rsidRPr="00545B5B">
              <w:t>Lignite</w:t>
            </w:r>
          </w:p>
        </w:tc>
      </w:tr>
    </w:tbl>
    <w:p w:rsidR="00545B5B" w:rsidRDefault="00545B5B"/>
    <w:sectPr w:rsidR="00545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21"/>
    <w:rsid w:val="00136177"/>
    <w:rsid w:val="00292A18"/>
    <w:rsid w:val="002F733E"/>
    <w:rsid w:val="00545B5B"/>
    <w:rsid w:val="00655321"/>
    <w:rsid w:val="00A173EC"/>
    <w:rsid w:val="00C63207"/>
    <w:rsid w:val="00D65C44"/>
    <w:rsid w:val="00DC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321"/>
    <w:rPr>
      <w:rFonts w:ascii="Tahoma" w:hAnsi="Tahoma" w:cs="Tahoma"/>
      <w:sz w:val="16"/>
      <w:szCs w:val="16"/>
    </w:rPr>
  </w:style>
  <w:style w:type="character" w:customStyle="1" w:styleId="BalloonTextChar">
    <w:name w:val="Balloon Text Char"/>
    <w:basedOn w:val="DefaultParagraphFont"/>
    <w:link w:val="BalloonText"/>
    <w:uiPriority w:val="99"/>
    <w:semiHidden/>
    <w:rsid w:val="00655321"/>
    <w:rPr>
      <w:rFonts w:ascii="Tahoma" w:hAnsi="Tahoma" w:cs="Tahoma"/>
      <w:sz w:val="16"/>
      <w:szCs w:val="16"/>
    </w:rPr>
  </w:style>
  <w:style w:type="character" w:styleId="Hyperlink">
    <w:name w:val="Hyperlink"/>
    <w:basedOn w:val="DefaultParagraphFont"/>
    <w:uiPriority w:val="99"/>
    <w:unhideWhenUsed/>
    <w:rsid w:val="00545B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321"/>
    <w:rPr>
      <w:rFonts w:ascii="Tahoma" w:hAnsi="Tahoma" w:cs="Tahoma"/>
      <w:sz w:val="16"/>
      <w:szCs w:val="16"/>
    </w:rPr>
  </w:style>
  <w:style w:type="character" w:customStyle="1" w:styleId="BalloonTextChar">
    <w:name w:val="Balloon Text Char"/>
    <w:basedOn w:val="DefaultParagraphFont"/>
    <w:link w:val="BalloonText"/>
    <w:uiPriority w:val="99"/>
    <w:semiHidden/>
    <w:rsid w:val="00655321"/>
    <w:rPr>
      <w:rFonts w:ascii="Tahoma" w:hAnsi="Tahoma" w:cs="Tahoma"/>
      <w:sz w:val="16"/>
      <w:szCs w:val="16"/>
    </w:rPr>
  </w:style>
  <w:style w:type="character" w:styleId="Hyperlink">
    <w:name w:val="Hyperlink"/>
    <w:basedOn w:val="DefaultParagraphFont"/>
    <w:uiPriority w:val="99"/>
    <w:unhideWhenUsed/>
    <w:rsid w:val="00545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1933">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sChild>
        <w:div w:id="1735424086">
          <w:marLeft w:val="0"/>
          <w:marRight w:val="0"/>
          <w:marTop w:val="0"/>
          <w:marBottom w:val="0"/>
          <w:divBdr>
            <w:top w:val="none" w:sz="0" w:space="0" w:color="auto"/>
            <w:left w:val="none" w:sz="0" w:space="0" w:color="auto"/>
            <w:bottom w:val="none" w:sz="0" w:space="0" w:color="auto"/>
            <w:right w:val="none" w:sz="0" w:space="0" w:color="auto"/>
          </w:divBdr>
          <w:divsChild>
            <w:div w:id="12810835">
              <w:marLeft w:val="0"/>
              <w:marRight w:val="0"/>
              <w:marTop w:val="0"/>
              <w:marBottom w:val="0"/>
              <w:divBdr>
                <w:top w:val="none" w:sz="0" w:space="0" w:color="auto"/>
                <w:left w:val="none" w:sz="0" w:space="0" w:color="auto"/>
                <w:bottom w:val="none" w:sz="0" w:space="0" w:color="auto"/>
                <w:right w:val="none" w:sz="0" w:space="0" w:color="auto"/>
              </w:divBdr>
              <w:divsChild>
                <w:div w:id="855465590">
                  <w:marLeft w:val="0"/>
                  <w:marRight w:val="0"/>
                  <w:marTop w:val="0"/>
                  <w:marBottom w:val="0"/>
                  <w:divBdr>
                    <w:top w:val="none" w:sz="0" w:space="0" w:color="auto"/>
                    <w:left w:val="none" w:sz="0" w:space="0" w:color="auto"/>
                    <w:bottom w:val="none" w:sz="0" w:space="0" w:color="auto"/>
                    <w:right w:val="none" w:sz="0" w:space="0" w:color="auto"/>
                  </w:divBdr>
                  <w:divsChild>
                    <w:div w:id="14549855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81568230">
      <w:bodyDiv w:val="1"/>
      <w:marLeft w:val="0"/>
      <w:marRight w:val="0"/>
      <w:marTop w:val="0"/>
      <w:marBottom w:val="0"/>
      <w:divBdr>
        <w:top w:val="none" w:sz="0" w:space="0" w:color="auto"/>
        <w:left w:val="none" w:sz="0" w:space="0" w:color="auto"/>
        <w:bottom w:val="none" w:sz="0" w:space="0" w:color="auto"/>
        <w:right w:val="none" w:sz="0" w:space="0" w:color="auto"/>
      </w:divBdr>
      <w:divsChild>
        <w:div w:id="352193251">
          <w:marLeft w:val="0"/>
          <w:marRight w:val="0"/>
          <w:marTop w:val="0"/>
          <w:marBottom w:val="0"/>
          <w:divBdr>
            <w:top w:val="none" w:sz="0" w:space="0" w:color="auto"/>
            <w:left w:val="none" w:sz="0" w:space="0" w:color="auto"/>
            <w:bottom w:val="none" w:sz="0" w:space="0" w:color="auto"/>
            <w:right w:val="none" w:sz="0" w:space="0" w:color="auto"/>
          </w:divBdr>
          <w:divsChild>
            <w:div w:id="1737624244">
              <w:marLeft w:val="0"/>
              <w:marRight w:val="0"/>
              <w:marTop w:val="0"/>
              <w:marBottom w:val="0"/>
              <w:divBdr>
                <w:top w:val="none" w:sz="0" w:space="0" w:color="auto"/>
                <w:left w:val="none" w:sz="0" w:space="0" w:color="auto"/>
                <w:bottom w:val="none" w:sz="0" w:space="0" w:color="auto"/>
                <w:right w:val="none" w:sz="0" w:space="0" w:color="auto"/>
              </w:divBdr>
              <w:divsChild>
                <w:div w:id="1837067551">
                  <w:marLeft w:val="0"/>
                  <w:marRight w:val="0"/>
                  <w:marTop w:val="0"/>
                  <w:marBottom w:val="0"/>
                  <w:divBdr>
                    <w:top w:val="none" w:sz="0" w:space="0" w:color="auto"/>
                    <w:left w:val="none" w:sz="0" w:space="0" w:color="auto"/>
                    <w:bottom w:val="none" w:sz="0" w:space="0" w:color="auto"/>
                    <w:right w:val="none" w:sz="0" w:space="0" w:color="auto"/>
                  </w:divBdr>
                  <w:divsChild>
                    <w:div w:id="114913921">
                      <w:marLeft w:val="0"/>
                      <w:marRight w:val="0"/>
                      <w:marTop w:val="0"/>
                      <w:marBottom w:val="0"/>
                      <w:divBdr>
                        <w:top w:val="none" w:sz="0" w:space="0" w:color="auto"/>
                        <w:left w:val="none" w:sz="0" w:space="0" w:color="auto"/>
                        <w:bottom w:val="none" w:sz="0" w:space="0" w:color="auto"/>
                        <w:right w:val="none" w:sz="0" w:space="0" w:color="auto"/>
                      </w:divBdr>
                      <w:divsChild>
                        <w:div w:id="1727949228">
                          <w:marLeft w:val="22"/>
                          <w:marRight w:val="0"/>
                          <w:marTop w:val="0"/>
                          <w:marBottom w:val="0"/>
                          <w:divBdr>
                            <w:top w:val="none" w:sz="0" w:space="0" w:color="auto"/>
                            <w:left w:val="none" w:sz="0" w:space="0" w:color="auto"/>
                            <w:bottom w:val="none" w:sz="0" w:space="0" w:color="auto"/>
                            <w:right w:val="none" w:sz="0" w:space="0" w:color="auto"/>
                          </w:divBdr>
                          <w:divsChild>
                            <w:div w:id="11604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580311">
      <w:bodyDiv w:val="1"/>
      <w:marLeft w:val="0"/>
      <w:marRight w:val="0"/>
      <w:marTop w:val="0"/>
      <w:marBottom w:val="0"/>
      <w:divBdr>
        <w:top w:val="none" w:sz="0" w:space="0" w:color="auto"/>
        <w:left w:val="none" w:sz="0" w:space="0" w:color="auto"/>
        <w:bottom w:val="none" w:sz="0" w:space="0" w:color="auto"/>
        <w:right w:val="none" w:sz="0" w:space="0" w:color="auto"/>
      </w:divBdr>
    </w:div>
    <w:div w:id="1524594790">
      <w:bodyDiv w:val="1"/>
      <w:marLeft w:val="0"/>
      <w:marRight w:val="0"/>
      <w:marTop w:val="0"/>
      <w:marBottom w:val="0"/>
      <w:divBdr>
        <w:top w:val="none" w:sz="0" w:space="0" w:color="auto"/>
        <w:left w:val="none" w:sz="0" w:space="0" w:color="auto"/>
        <w:bottom w:val="none" w:sz="0" w:space="0" w:color="auto"/>
        <w:right w:val="none" w:sz="0" w:space="0" w:color="auto"/>
      </w:divBdr>
    </w:div>
    <w:div w:id="19959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Coal_electricity" TargetMode="External"/><Relationship Id="rId18" Type="http://schemas.openxmlformats.org/officeDocument/2006/relationships/hyperlink" Target="http://en.wikipedia.org/wiki/Short_t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India" TargetMode="External"/><Relationship Id="rId7" Type="http://schemas.openxmlformats.org/officeDocument/2006/relationships/hyperlink" Target="http://www.uky.edu/KGS/coal/coal_information.htm" TargetMode="External"/><Relationship Id="rId12" Type="http://schemas.openxmlformats.org/officeDocument/2006/relationships/hyperlink" Target="http://en.wikipedia.org/wiki/Clean_coal_technology" TargetMode="External"/><Relationship Id="rId17" Type="http://schemas.openxmlformats.org/officeDocument/2006/relationships/hyperlink" Target="http://en.wikipedia.org/wiki/Coa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n.wikipedia.org/wiki/Tonnes" TargetMode="External"/><Relationship Id="rId20" Type="http://schemas.openxmlformats.org/officeDocument/2006/relationships/hyperlink" Target="http://en.wikipedia.org/wiki/Coal_power_in_China" TargetMode="External"/><Relationship Id="rId1" Type="http://schemas.openxmlformats.org/officeDocument/2006/relationships/styles" Target="styles.xml"/><Relationship Id="rId6" Type="http://schemas.openxmlformats.org/officeDocument/2006/relationships/hyperlink" Target="http://www.uky.edu/KGS/coal/index.htm" TargetMode="External"/><Relationship Id="rId11" Type="http://schemas.openxmlformats.org/officeDocument/2006/relationships/hyperlink" Target="http://en.wikipedia.org/wiki/Electricity_generation" TargetMode="External"/><Relationship Id="rId24" Type="http://schemas.openxmlformats.org/officeDocument/2006/relationships/image" Target="media/image2.jpeg"/><Relationship Id="rId5" Type="http://schemas.openxmlformats.org/officeDocument/2006/relationships/hyperlink" Target="http://www.uky.edu/KGS/" TargetMode="External"/><Relationship Id="rId15" Type="http://schemas.openxmlformats.org/officeDocument/2006/relationships/hyperlink" Target="http://en.wikipedia.org/wiki/Solid_fuel" TargetMode="External"/><Relationship Id="rId23" Type="http://schemas.openxmlformats.org/officeDocument/2006/relationships/hyperlink" Target="http://en.wikipedia.org/wiki/Coal" TargetMode="External"/><Relationship Id="rId10" Type="http://schemas.openxmlformats.org/officeDocument/2006/relationships/hyperlink" Target="http://en.wikipedia.org/wiki/Coal" TargetMode="External"/><Relationship Id="rId19" Type="http://schemas.openxmlformats.org/officeDocument/2006/relationships/hyperlink" Target="http://en.wikipedia.org/wiki/Coal" TargetMode="External"/><Relationship Id="rId4" Type="http://schemas.openxmlformats.org/officeDocument/2006/relationships/webSettings" Target="webSettings.xml"/><Relationship Id="rId9" Type="http://schemas.openxmlformats.org/officeDocument/2006/relationships/hyperlink" Target="http://www.uky.edu/KGS/coal/coalform_download.htm" TargetMode="External"/><Relationship Id="rId14" Type="http://schemas.openxmlformats.org/officeDocument/2006/relationships/hyperlink" Target="http://en.wikipedia.org/wiki/Global_warming" TargetMode="External"/><Relationship Id="rId22" Type="http://schemas.openxmlformats.org/officeDocument/2006/relationships/hyperlink" Target="http://en.wikipedia.org/wiki/Co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2014-03-17T19:28:00Z</cp:lastPrinted>
  <dcterms:created xsi:type="dcterms:W3CDTF">2014-03-17T19:29:00Z</dcterms:created>
  <dcterms:modified xsi:type="dcterms:W3CDTF">2014-03-17T19:29:00Z</dcterms:modified>
</cp:coreProperties>
</file>