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8"/>
        <w:gridCol w:w="8910"/>
      </w:tblGrid>
      <w:tr w:rsidR="004303B9" w:rsidTr="006E58C8">
        <w:trPr>
          <w:trHeight w:val="890"/>
        </w:trPr>
        <w:tc>
          <w:tcPr>
            <w:tcW w:w="1998" w:type="dxa"/>
            <w:vMerge w:val="restart"/>
            <w:shd w:val="clear" w:color="auto" w:fill="auto"/>
          </w:tcPr>
          <w:p w:rsidR="00D579E3" w:rsidRDefault="00DC146E">
            <w:bookmarkStart w:id="0" w:name="_GoBack"/>
            <w:bookmarkEnd w:id="0"/>
            <w:r>
              <w:rPr>
                <w:noProof/>
              </w:rPr>
              <w:drawing>
                <wp:anchor distT="0" distB="0" distL="114300" distR="114300" simplePos="0" relativeHeight="251667456" behindDoc="1" locked="0" layoutInCell="1" allowOverlap="1" wp14:anchorId="1F581969" wp14:editId="11D39136">
                  <wp:simplePos x="0" y="0"/>
                  <wp:positionH relativeFrom="column">
                    <wp:posOffset>131572</wp:posOffset>
                  </wp:positionH>
                  <wp:positionV relativeFrom="paragraph">
                    <wp:posOffset>66421</wp:posOffset>
                  </wp:positionV>
                  <wp:extent cx="865505" cy="853440"/>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5505" cy="853440"/>
                          </a:xfrm>
                          <a:prstGeom prst="rect">
                            <a:avLst/>
                          </a:prstGeom>
                          <a:noFill/>
                        </pic:spPr>
                      </pic:pic>
                    </a:graphicData>
                  </a:graphic>
                  <wp14:sizeRelH relativeFrom="page">
                    <wp14:pctWidth>0</wp14:pctWidth>
                  </wp14:sizeRelH>
                  <wp14:sizeRelV relativeFrom="page">
                    <wp14:pctHeight>0</wp14:pctHeight>
                  </wp14:sizeRelV>
                </wp:anchor>
              </w:drawing>
            </w:r>
          </w:p>
        </w:tc>
        <w:tc>
          <w:tcPr>
            <w:tcW w:w="8910" w:type="dxa"/>
            <w:shd w:val="clear" w:color="auto" w:fill="215868"/>
          </w:tcPr>
          <w:p w:rsidR="003C0B9F" w:rsidRPr="003C0B9F" w:rsidRDefault="003C0B9F" w:rsidP="00DC146E">
            <w:pPr>
              <w:spacing w:after="0" w:line="240" w:lineRule="auto"/>
              <w:jc w:val="both"/>
              <w:rPr>
                <w:rFonts w:ascii="Cambria" w:hAnsi="Cambria"/>
                <w:color w:val="FFFFFF"/>
                <w:sz w:val="16"/>
              </w:rPr>
            </w:pPr>
          </w:p>
          <w:p w:rsidR="00D579E3" w:rsidRPr="004331ED" w:rsidRDefault="00D579E3" w:rsidP="00DC146E">
            <w:pPr>
              <w:spacing w:after="0" w:line="240" w:lineRule="auto"/>
              <w:jc w:val="both"/>
              <w:rPr>
                <w:rFonts w:ascii="Cambria" w:hAnsi="Cambria"/>
                <w:color w:val="FFFFFF"/>
                <w:sz w:val="20"/>
                <w:szCs w:val="20"/>
              </w:rPr>
            </w:pPr>
            <w:r w:rsidRPr="004331ED">
              <w:rPr>
                <w:rFonts w:ascii="Cambria" w:hAnsi="Cambria"/>
                <w:color w:val="FFFFFF"/>
                <w:sz w:val="20"/>
                <w:szCs w:val="20"/>
              </w:rPr>
              <w:t>Alaska Department of Health and Social Services</w:t>
            </w:r>
          </w:p>
          <w:p w:rsidR="00D579E3" w:rsidRPr="004331ED" w:rsidRDefault="00D579E3" w:rsidP="00DC146E">
            <w:pPr>
              <w:spacing w:after="0" w:line="240" w:lineRule="auto"/>
              <w:jc w:val="both"/>
              <w:rPr>
                <w:rFonts w:ascii="Cambria" w:hAnsi="Cambria"/>
                <w:sz w:val="40"/>
                <w:szCs w:val="40"/>
              </w:rPr>
            </w:pPr>
            <w:r w:rsidRPr="004331ED">
              <w:rPr>
                <w:rFonts w:ascii="Cambria" w:hAnsi="Cambria"/>
                <w:color w:val="FFFFFF"/>
                <w:sz w:val="40"/>
                <w:szCs w:val="40"/>
              </w:rPr>
              <w:t>Division of Juvenile Justice</w:t>
            </w:r>
          </w:p>
        </w:tc>
      </w:tr>
      <w:tr w:rsidR="00D579E3" w:rsidTr="006E58C8">
        <w:trPr>
          <w:trHeight w:val="710"/>
        </w:trPr>
        <w:tc>
          <w:tcPr>
            <w:tcW w:w="1998" w:type="dxa"/>
            <w:vMerge/>
            <w:shd w:val="clear" w:color="auto" w:fill="auto"/>
          </w:tcPr>
          <w:p w:rsidR="00D579E3" w:rsidRDefault="00D579E3"/>
        </w:tc>
        <w:tc>
          <w:tcPr>
            <w:tcW w:w="8910" w:type="dxa"/>
            <w:shd w:val="clear" w:color="auto" w:fill="auto"/>
          </w:tcPr>
          <w:p w:rsidR="00FF24F5" w:rsidRDefault="00FF24F5" w:rsidP="00DC146E">
            <w:pPr>
              <w:widowControl w:val="0"/>
              <w:spacing w:after="0" w:line="240" w:lineRule="auto"/>
              <w:rPr>
                <w:b/>
                <w:bCs/>
                <w:sz w:val="48"/>
                <w:szCs w:val="52"/>
              </w:rPr>
            </w:pPr>
            <w:r>
              <w:rPr>
                <w:b/>
                <w:bCs/>
                <w:sz w:val="48"/>
                <w:szCs w:val="52"/>
              </w:rPr>
              <w:t>System Improvement Summary</w:t>
            </w:r>
          </w:p>
          <w:p w:rsidR="00FF24F5" w:rsidRPr="003D0C67" w:rsidRDefault="003D0C67" w:rsidP="00DC146E">
            <w:pPr>
              <w:widowControl w:val="0"/>
              <w:spacing w:after="0" w:line="240" w:lineRule="auto"/>
              <w:rPr>
                <w:bCs/>
                <w:i/>
                <w:sz w:val="48"/>
                <w:szCs w:val="52"/>
              </w:rPr>
            </w:pPr>
            <w:r>
              <w:rPr>
                <w:bCs/>
                <w:i/>
                <w:sz w:val="44"/>
                <w:szCs w:val="52"/>
              </w:rPr>
              <w:t xml:space="preserve">For </w:t>
            </w:r>
            <w:r w:rsidR="000E1B20" w:rsidRPr="003D0C67">
              <w:rPr>
                <w:bCs/>
                <w:i/>
                <w:sz w:val="44"/>
                <w:szCs w:val="52"/>
              </w:rPr>
              <w:t>2015 St</w:t>
            </w:r>
            <w:r w:rsidR="00801538" w:rsidRPr="003D0C67">
              <w:rPr>
                <w:bCs/>
                <w:i/>
                <w:sz w:val="44"/>
                <w:szCs w:val="52"/>
              </w:rPr>
              <w:t>ate of Alaska Crime Summit</w:t>
            </w:r>
          </w:p>
        </w:tc>
      </w:tr>
    </w:tbl>
    <w:p w:rsidR="00F81EEF" w:rsidRPr="00572E90" w:rsidRDefault="00F81EEF" w:rsidP="00F81EEF">
      <w:pPr>
        <w:spacing w:after="0"/>
        <w:jc w:val="center"/>
        <w:rPr>
          <w:b/>
          <w:sz w:val="28"/>
          <w:szCs w:val="28"/>
        </w:rPr>
      </w:pPr>
    </w:p>
    <w:p w:rsidR="000E1B20" w:rsidRDefault="000E1B20" w:rsidP="000E1B20">
      <w:pPr>
        <w:jc w:val="both"/>
        <w:rPr>
          <w:rFonts w:ascii="Times New Roman" w:hAnsi="Times New Roman"/>
          <w:sz w:val="24"/>
        </w:rPr>
      </w:pPr>
      <w:r>
        <w:rPr>
          <w:rFonts w:ascii="Times New Roman" w:hAnsi="Times New Roman"/>
          <w:sz w:val="24"/>
        </w:rPr>
        <w:t>The Division of Juvenile Justice</w:t>
      </w:r>
      <w:r w:rsidR="007D65C9">
        <w:rPr>
          <w:rFonts w:ascii="Times New Roman" w:hAnsi="Times New Roman"/>
          <w:sz w:val="24"/>
        </w:rPr>
        <w:t xml:space="preserve"> (DJJ)</w:t>
      </w:r>
      <w:r>
        <w:rPr>
          <w:rFonts w:ascii="Times New Roman" w:hAnsi="Times New Roman"/>
          <w:sz w:val="24"/>
        </w:rPr>
        <w:t>, in the Alaska Department of Health and Social Services has devoted intensive effort over the past decade to improving services and outcomes for juvenile offenders, their victims, families, and communities.  The results have been promising and provide lessons to other agencies seeking to improve their results.</w:t>
      </w:r>
    </w:p>
    <w:p w:rsidR="000E1B20" w:rsidRDefault="000E1B20" w:rsidP="000E1B20">
      <w:pPr>
        <w:jc w:val="both"/>
        <w:rPr>
          <w:rFonts w:ascii="Times New Roman" w:hAnsi="Times New Roman"/>
          <w:sz w:val="24"/>
        </w:rPr>
      </w:pPr>
      <w:r>
        <w:rPr>
          <w:rFonts w:ascii="Times New Roman" w:hAnsi="Times New Roman"/>
          <w:sz w:val="24"/>
        </w:rPr>
        <w:t xml:space="preserve">Two factors helped set the stage for DJJ to launch its </w:t>
      </w:r>
      <w:r w:rsidRPr="001E7F16">
        <w:rPr>
          <w:rFonts w:ascii="Times New Roman" w:hAnsi="Times New Roman"/>
          <w:sz w:val="24"/>
        </w:rPr>
        <w:t>multi-faceted system improvements efforts.</w:t>
      </w:r>
      <w:r>
        <w:rPr>
          <w:rFonts w:ascii="Times New Roman" w:hAnsi="Times New Roman"/>
          <w:sz w:val="24"/>
        </w:rPr>
        <w:t xml:space="preserve">  First, a federal appropriation enabled the division to create a </w:t>
      </w:r>
      <w:r w:rsidRPr="001E7F16">
        <w:rPr>
          <w:rFonts w:ascii="Times New Roman" w:hAnsi="Times New Roman"/>
          <w:b/>
          <w:sz w:val="24"/>
        </w:rPr>
        <w:t>new, comprehensive juvenile offender management information system</w:t>
      </w:r>
      <w:r>
        <w:rPr>
          <w:rFonts w:ascii="Times New Roman" w:hAnsi="Times New Roman"/>
          <w:sz w:val="24"/>
        </w:rPr>
        <w:t xml:space="preserve"> in 2002 that dramatically increased the statistical information available regarding offenders and their contact with the juvenile justice system. Second, division leadership was determined to have </w:t>
      </w:r>
      <w:r w:rsidRPr="001E7F16">
        <w:rPr>
          <w:rFonts w:ascii="Times New Roman" w:hAnsi="Times New Roman"/>
          <w:b/>
          <w:sz w:val="24"/>
        </w:rPr>
        <w:t>objective assessment instruments and quality-assured processes</w:t>
      </w:r>
      <w:r>
        <w:rPr>
          <w:rFonts w:ascii="Times New Roman" w:hAnsi="Times New Roman"/>
          <w:sz w:val="24"/>
        </w:rPr>
        <w:t xml:space="preserve"> employed at all critical points in the juvenile justice system, to ensure that decisions made and services provided were documented, data-informed, and based on sound practice.</w:t>
      </w:r>
    </w:p>
    <w:p w:rsidR="000E1B20" w:rsidRPr="001E7F16" w:rsidRDefault="000E1B20" w:rsidP="000E1B20">
      <w:pPr>
        <w:jc w:val="both"/>
        <w:rPr>
          <w:rFonts w:ascii="Times New Roman" w:hAnsi="Times New Roman"/>
          <w:b/>
          <w:sz w:val="24"/>
        </w:rPr>
      </w:pPr>
      <w:r w:rsidRPr="001E7F16">
        <w:rPr>
          <w:rFonts w:ascii="Times New Roman" w:hAnsi="Times New Roman"/>
          <w:b/>
          <w:sz w:val="24"/>
        </w:rPr>
        <w:t xml:space="preserve">Among the evidence-based initiatives launched as a result:  </w:t>
      </w:r>
    </w:p>
    <w:p w:rsidR="000E1B20" w:rsidRDefault="000E1B20" w:rsidP="000E1B20">
      <w:pPr>
        <w:numPr>
          <w:ilvl w:val="0"/>
          <w:numId w:val="31"/>
        </w:numPr>
        <w:spacing w:after="0" w:line="240" w:lineRule="auto"/>
        <w:jc w:val="both"/>
        <w:rPr>
          <w:rFonts w:ascii="Times New Roman" w:hAnsi="Times New Roman"/>
          <w:sz w:val="24"/>
        </w:rPr>
      </w:pPr>
      <w:r>
        <w:rPr>
          <w:rFonts w:ascii="Times New Roman" w:hAnsi="Times New Roman"/>
          <w:sz w:val="24"/>
        </w:rPr>
        <w:t xml:space="preserve">A </w:t>
      </w:r>
      <w:r w:rsidRPr="001E7F16">
        <w:rPr>
          <w:rFonts w:ascii="Times New Roman" w:hAnsi="Times New Roman"/>
          <w:b/>
          <w:sz w:val="24"/>
        </w:rPr>
        <w:t>Detention Assessment Instrument</w:t>
      </w:r>
      <w:r>
        <w:rPr>
          <w:rFonts w:ascii="Times New Roman" w:hAnsi="Times New Roman"/>
          <w:sz w:val="24"/>
        </w:rPr>
        <w:t xml:space="preserve"> to assist probation staff in determining whether to place juveniles in secure detention beds.</w:t>
      </w:r>
    </w:p>
    <w:p w:rsidR="000E1B20" w:rsidRDefault="000E1B20" w:rsidP="000E1B20">
      <w:pPr>
        <w:numPr>
          <w:ilvl w:val="0"/>
          <w:numId w:val="31"/>
        </w:numPr>
        <w:spacing w:after="0" w:line="240" w:lineRule="auto"/>
        <w:jc w:val="both"/>
        <w:rPr>
          <w:rFonts w:ascii="Times New Roman" w:hAnsi="Times New Roman"/>
          <w:sz w:val="24"/>
        </w:rPr>
      </w:pPr>
      <w:r w:rsidRPr="001E7F16">
        <w:rPr>
          <w:rFonts w:ascii="Times New Roman" w:hAnsi="Times New Roman"/>
          <w:b/>
          <w:sz w:val="24"/>
        </w:rPr>
        <w:t>The Youth Level of Service/Case Management Inventory</w:t>
      </w:r>
      <w:r>
        <w:rPr>
          <w:rFonts w:ascii="Times New Roman" w:hAnsi="Times New Roman"/>
          <w:sz w:val="24"/>
        </w:rPr>
        <w:t xml:space="preserve">, an internationally recognized and validated </w:t>
      </w:r>
      <w:r w:rsidR="001E7F16">
        <w:rPr>
          <w:rFonts w:ascii="Times New Roman" w:hAnsi="Times New Roman"/>
          <w:sz w:val="24"/>
        </w:rPr>
        <w:t xml:space="preserve">risk/need assessment </w:t>
      </w:r>
      <w:r>
        <w:rPr>
          <w:rFonts w:ascii="Times New Roman" w:hAnsi="Times New Roman"/>
          <w:sz w:val="24"/>
        </w:rPr>
        <w:t>for identifying those juveniles at high risk of re-offending and the case management they need to end their criminal behavior.</w:t>
      </w:r>
    </w:p>
    <w:p w:rsidR="000E1B20" w:rsidRDefault="000E1B20" w:rsidP="000E1B20">
      <w:pPr>
        <w:numPr>
          <w:ilvl w:val="0"/>
          <w:numId w:val="31"/>
        </w:numPr>
        <w:spacing w:after="0" w:line="240" w:lineRule="auto"/>
        <w:jc w:val="both"/>
        <w:rPr>
          <w:rFonts w:ascii="Times New Roman" w:hAnsi="Times New Roman"/>
          <w:sz w:val="24"/>
        </w:rPr>
      </w:pPr>
      <w:r w:rsidRPr="001E7F16">
        <w:rPr>
          <w:rFonts w:ascii="Times New Roman" w:hAnsi="Times New Roman"/>
          <w:b/>
          <w:sz w:val="24"/>
        </w:rPr>
        <w:t>Performance-based Standards</w:t>
      </w:r>
      <w:r>
        <w:rPr>
          <w:rFonts w:ascii="Times New Roman" w:hAnsi="Times New Roman"/>
          <w:sz w:val="24"/>
        </w:rPr>
        <w:t>, a national, ongoing quality assurance process to ensure the delivery of safe and effective services in juvenile facilities.</w:t>
      </w:r>
    </w:p>
    <w:p w:rsidR="000E1B20" w:rsidRDefault="000E1B20" w:rsidP="000E1B20">
      <w:pPr>
        <w:numPr>
          <w:ilvl w:val="0"/>
          <w:numId w:val="31"/>
        </w:numPr>
        <w:spacing w:after="0" w:line="240" w:lineRule="auto"/>
        <w:jc w:val="both"/>
        <w:rPr>
          <w:rFonts w:ascii="Times New Roman" w:hAnsi="Times New Roman"/>
          <w:sz w:val="24"/>
        </w:rPr>
      </w:pPr>
      <w:r w:rsidRPr="001E7F16">
        <w:rPr>
          <w:rFonts w:ascii="Times New Roman" w:hAnsi="Times New Roman"/>
          <w:b/>
          <w:sz w:val="24"/>
        </w:rPr>
        <w:t>Aggression Replacement Training</w:t>
      </w:r>
      <w:r>
        <w:rPr>
          <w:rFonts w:ascii="Times New Roman" w:hAnsi="Times New Roman"/>
          <w:sz w:val="24"/>
        </w:rPr>
        <w:t>, a curriculum proven to change behavior of youth demonstrating chronic aggressiveness.</w:t>
      </w:r>
    </w:p>
    <w:p w:rsidR="000E1B20" w:rsidRDefault="000E1B20" w:rsidP="000E1B20">
      <w:pPr>
        <w:numPr>
          <w:ilvl w:val="0"/>
          <w:numId w:val="31"/>
        </w:numPr>
        <w:spacing w:after="0" w:line="240" w:lineRule="auto"/>
        <w:jc w:val="both"/>
        <w:rPr>
          <w:rFonts w:ascii="Times New Roman" w:hAnsi="Times New Roman"/>
          <w:sz w:val="24"/>
        </w:rPr>
      </w:pPr>
      <w:r w:rsidRPr="001E7F16">
        <w:rPr>
          <w:rFonts w:ascii="Times New Roman" w:hAnsi="Times New Roman"/>
          <w:b/>
          <w:sz w:val="24"/>
        </w:rPr>
        <w:t>Mental health clinical capacity</w:t>
      </w:r>
      <w:r>
        <w:rPr>
          <w:rFonts w:ascii="Times New Roman" w:hAnsi="Times New Roman"/>
          <w:sz w:val="24"/>
        </w:rPr>
        <w:t xml:space="preserve"> for juveniles in secure facilities, screening for mental health needs, and procedures to identify and intervene when youth may be suicidal.</w:t>
      </w:r>
    </w:p>
    <w:p w:rsidR="000E1B20" w:rsidRDefault="000E1B20" w:rsidP="000E1B20">
      <w:pPr>
        <w:numPr>
          <w:ilvl w:val="0"/>
          <w:numId w:val="31"/>
        </w:numPr>
        <w:spacing w:after="0" w:line="240" w:lineRule="auto"/>
        <w:jc w:val="both"/>
        <w:rPr>
          <w:rFonts w:ascii="Times New Roman" w:hAnsi="Times New Roman"/>
          <w:sz w:val="24"/>
        </w:rPr>
      </w:pPr>
      <w:r w:rsidRPr="001E7F16">
        <w:rPr>
          <w:rFonts w:ascii="Times New Roman" w:hAnsi="Times New Roman"/>
          <w:b/>
          <w:sz w:val="24"/>
        </w:rPr>
        <w:t>Improved substance abuse education and interventions</w:t>
      </w:r>
      <w:r>
        <w:rPr>
          <w:rFonts w:ascii="Times New Roman" w:hAnsi="Times New Roman"/>
          <w:sz w:val="24"/>
        </w:rPr>
        <w:t>, including adoption of evidence-based curricula and staff certification.  The importance of addressing substance abuse needs was demonstrated, at least anecdotally, when DJJ embarked on an effort to interview former DJJ clients who were now residents of DOC facilities.  These former DJJ clients said that if their substance abuse needs had been addressed and they’d received help building job skills and employment opportunities they would have had more success in avoiding future criminal activity.</w:t>
      </w:r>
    </w:p>
    <w:p w:rsidR="000E1B20" w:rsidRDefault="000E1B20" w:rsidP="000E1B20">
      <w:pPr>
        <w:numPr>
          <w:ilvl w:val="0"/>
          <w:numId w:val="31"/>
        </w:numPr>
        <w:spacing w:after="0" w:line="240" w:lineRule="auto"/>
        <w:jc w:val="both"/>
        <w:rPr>
          <w:rFonts w:ascii="Times New Roman" w:hAnsi="Times New Roman"/>
          <w:sz w:val="24"/>
        </w:rPr>
      </w:pPr>
      <w:r w:rsidRPr="001E7F16">
        <w:rPr>
          <w:rFonts w:ascii="Times New Roman" w:hAnsi="Times New Roman"/>
          <w:b/>
          <w:sz w:val="24"/>
        </w:rPr>
        <w:t>Transitional services</w:t>
      </w:r>
      <w:r w:rsidRPr="008548C9">
        <w:rPr>
          <w:rFonts w:ascii="Times New Roman" w:hAnsi="Times New Roman"/>
          <w:sz w:val="24"/>
        </w:rPr>
        <w:t xml:space="preserve"> for juveniles using the nationally recognized Intensive Aftercare Program model, facilitating the difficult transition from long-term confinement to juveniles’ home communities.</w:t>
      </w:r>
    </w:p>
    <w:p w:rsidR="000E1B20" w:rsidRDefault="000E1B20" w:rsidP="000E1B20">
      <w:pPr>
        <w:spacing w:after="0" w:line="240" w:lineRule="auto"/>
        <w:ind w:left="360"/>
        <w:jc w:val="both"/>
        <w:rPr>
          <w:rFonts w:ascii="Times New Roman" w:hAnsi="Times New Roman"/>
          <w:sz w:val="24"/>
        </w:rPr>
      </w:pPr>
    </w:p>
    <w:p w:rsidR="000E1B20" w:rsidRDefault="000E1B20" w:rsidP="000E1B20">
      <w:pPr>
        <w:spacing w:after="0" w:line="240" w:lineRule="auto"/>
        <w:jc w:val="both"/>
        <w:rPr>
          <w:rFonts w:ascii="Times New Roman" w:hAnsi="Times New Roman"/>
          <w:sz w:val="24"/>
        </w:rPr>
      </w:pPr>
      <w:r>
        <w:rPr>
          <w:rFonts w:ascii="Times New Roman" w:hAnsi="Times New Roman"/>
          <w:sz w:val="24"/>
        </w:rPr>
        <w:t>In</w:t>
      </w:r>
      <w:r w:rsidRPr="008548C9">
        <w:rPr>
          <w:rFonts w:ascii="Times New Roman" w:hAnsi="Times New Roman"/>
          <w:sz w:val="24"/>
        </w:rPr>
        <w:t xml:space="preserve"> addition to these statewide efforts, the division also has encouraged local service improvements through the </w:t>
      </w:r>
      <w:r w:rsidRPr="001E7F16">
        <w:rPr>
          <w:rFonts w:ascii="Times New Roman" w:hAnsi="Times New Roman"/>
          <w:b/>
          <w:i/>
          <w:sz w:val="24"/>
        </w:rPr>
        <w:t>results-based accountability</w:t>
      </w:r>
      <w:r w:rsidRPr="008548C9">
        <w:rPr>
          <w:rFonts w:ascii="Times New Roman" w:hAnsi="Times New Roman"/>
          <w:i/>
          <w:sz w:val="24"/>
        </w:rPr>
        <w:t xml:space="preserve"> </w:t>
      </w:r>
      <w:r w:rsidRPr="008548C9">
        <w:rPr>
          <w:rFonts w:ascii="Times New Roman" w:hAnsi="Times New Roman"/>
          <w:sz w:val="24"/>
        </w:rPr>
        <w:t xml:space="preserve">strategic framework.  Under general direction and support from the division’s central office, regional and district probation offices and facilities have generated local solutions and partnerships to improve </w:t>
      </w:r>
      <w:r w:rsidRPr="001E7F16">
        <w:rPr>
          <w:rFonts w:ascii="Times New Roman" w:hAnsi="Times New Roman"/>
          <w:b/>
          <w:sz w:val="24"/>
        </w:rPr>
        <w:t>educational and employment</w:t>
      </w:r>
      <w:r w:rsidRPr="008548C9">
        <w:rPr>
          <w:rFonts w:ascii="Times New Roman" w:hAnsi="Times New Roman"/>
          <w:sz w:val="24"/>
        </w:rPr>
        <w:t xml:space="preserve"> outcomes for youth and reduce recidivism rates, particularly among </w:t>
      </w:r>
      <w:r w:rsidRPr="00E0698E">
        <w:rPr>
          <w:rFonts w:ascii="Times New Roman" w:hAnsi="Times New Roman"/>
          <w:b/>
          <w:sz w:val="24"/>
        </w:rPr>
        <w:t>Alaska Native youth</w:t>
      </w:r>
      <w:r w:rsidRPr="008548C9">
        <w:rPr>
          <w:rFonts w:ascii="Times New Roman" w:hAnsi="Times New Roman"/>
          <w:sz w:val="24"/>
        </w:rPr>
        <w:t xml:space="preserve"> and those with </w:t>
      </w:r>
      <w:r w:rsidRPr="00E0698E">
        <w:rPr>
          <w:rFonts w:ascii="Times New Roman" w:hAnsi="Times New Roman"/>
          <w:b/>
          <w:sz w:val="24"/>
        </w:rPr>
        <w:t>behavioral health</w:t>
      </w:r>
      <w:r w:rsidRPr="008548C9">
        <w:rPr>
          <w:rFonts w:ascii="Times New Roman" w:hAnsi="Times New Roman"/>
          <w:sz w:val="24"/>
        </w:rPr>
        <w:t xml:space="preserve"> disorders. </w:t>
      </w:r>
    </w:p>
    <w:p w:rsidR="000E1B20" w:rsidRPr="008548C9" w:rsidRDefault="000E1B20" w:rsidP="000E1B20">
      <w:pPr>
        <w:spacing w:after="0" w:line="240" w:lineRule="auto"/>
        <w:jc w:val="both"/>
        <w:rPr>
          <w:rFonts w:ascii="Times New Roman" w:hAnsi="Times New Roman"/>
          <w:sz w:val="24"/>
        </w:rPr>
      </w:pPr>
    </w:p>
    <w:p w:rsidR="000E1B20" w:rsidRDefault="000E1B20" w:rsidP="000E1B20">
      <w:pPr>
        <w:jc w:val="both"/>
        <w:rPr>
          <w:rFonts w:ascii="Times New Roman" w:hAnsi="Times New Roman"/>
          <w:sz w:val="24"/>
        </w:rPr>
      </w:pPr>
      <w:r>
        <w:rPr>
          <w:rFonts w:ascii="Times New Roman" w:hAnsi="Times New Roman"/>
          <w:sz w:val="24"/>
        </w:rPr>
        <w:lastRenderedPageBreak/>
        <w:t xml:space="preserve">The division’s latest initiative to improve outcomes is in adopting the </w:t>
      </w:r>
      <w:r w:rsidRPr="001E7F16">
        <w:rPr>
          <w:rFonts w:ascii="Times New Roman" w:hAnsi="Times New Roman"/>
          <w:b/>
          <w:sz w:val="24"/>
        </w:rPr>
        <w:t>trauma-informed approach</w:t>
      </w:r>
      <w:r>
        <w:rPr>
          <w:rFonts w:ascii="Times New Roman" w:hAnsi="Times New Roman"/>
          <w:sz w:val="24"/>
        </w:rPr>
        <w:t xml:space="preserve"> to working with juveniles.  National research has demonstrated the significant role of adverse childhood experiences in contributing to criminal behavior, health problems, and other adverse outcomes, and the division’s early experiences strongly suggest that staff trained in trauma improve their understanding of the connection between past trauma and current behavior, and improve their ability to intervene more effectively. Also, in response to the high rate of substance abuse among juveniles, the division researched </w:t>
      </w:r>
      <w:r w:rsidRPr="001E7F16">
        <w:rPr>
          <w:rFonts w:ascii="Times New Roman" w:hAnsi="Times New Roman"/>
          <w:b/>
          <w:sz w:val="24"/>
        </w:rPr>
        <w:t>substance abuse treatment programs</w:t>
      </w:r>
      <w:r>
        <w:rPr>
          <w:rFonts w:ascii="Times New Roman" w:hAnsi="Times New Roman"/>
          <w:sz w:val="24"/>
        </w:rPr>
        <w:t xml:space="preserve"> and is preparing to implement the evidence-based “Seven Challenges” curriculum for youth in its secure treatment facilities.</w:t>
      </w:r>
    </w:p>
    <w:p w:rsidR="000E1B20" w:rsidRDefault="000E1B20" w:rsidP="000E1B20">
      <w:pPr>
        <w:jc w:val="both"/>
        <w:rPr>
          <w:rFonts w:ascii="Times New Roman" w:hAnsi="Times New Roman"/>
          <w:sz w:val="24"/>
        </w:rPr>
      </w:pPr>
      <w:r>
        <w:rPr>
          <w:rFonts w:ascii="Times New Roman" w:hAnsi="Times New Roman"/>
          <w:sz w:val="24"/>
        </w:rPr>
        <w:t>Is there evidence these efforts have been effective in reducing juvenile crime in Alaska?  The initial evidence shows both promise and areas in need of more attention</w:t>
      </w:r>
      <w:r w:rsidRPr="00E0698E">
        <w:rPr>
          <w:rFonts w:ascii="Times New Roman" w:hAnsi="Times New Roman"/>
          <w:b/>
          <w:sz w:val="24"/>
        </w:rPr>
        <w:t>.  Referrals to the division of juvenile justice have declined 56% over the past 12 years (FY2003-FY2014)</w:t>
      </w:r>
      <w:r>
        <w:rPr>
          <w:rFonts w:ascii="Times New Roman" w:hAnsi="Times New Roman"/>
          <w:sz w:val="24"/>
        </w:rPr>
        <w:t xml:space="preserve">, even though the overall population of Alaska youth (ages 12-17) has only fallen by 11% during that same time period.  In conjunction with this change, the number of </w:t>
      </w:r>
      <w:r w:rsidRPr="00E0698E">
        <w:rPr>
          <w:rFonts w:ascii="Times New Roman" w:hAnsi="Times New Roman"/>
          <w:b/>
          <w:sz w:val="24"/>
        </w:rPr>
        <w:t>admissions to DJJ facilities has been consistently declining between FY2003 – FY2014, with the average daily population declining by 33.2%</w:t>
      </w:r>
      <w:r>
        <w:rPr>
          <w:rFonts w:ascii="Times New Roman" w:hAnsi="Times New Roman"/>
          <w:sz w:val="24"/>
        </w:rPr>
        <w:t xml:space="preserve"> over this time period. These positive changes are believed due to many factors.  The improvement of front-end services for youth, particularly through the “Bring the Kids Home” initiative for those with behavioral health needs, is believed to be a factor.  The effort division staff have put into working with communities, school districts, and other partners to develop vocational, educational and other skill-building opportunities for youth also has undoubtedly been a contributing factor to declines in referrals.  Partnerships between facility staff and schools, courts, local businesses and others also is believed to have contributed to reduced need for secure detention and treatment of youth. </w:t>
      </w:r>
      <w:r w:rsidRPr="00E0698E">
        <w:rPr>
          <w:rFonts w:ascii="Times New Roman" w:hAnsi="Times New Roman"/>
          <w:sz w:val="24"/>
        </w:rPr>
        <w:t xml:space="preserve">The division has moved to make </w:t>
      </w:r>
      <w:r w:rsidRPr="00E0698E">
        <w:rPr>
          <w:rFonts w:ascii="Times New Roman" w:hAnsi="Times New Roman"/>
          <w:b/>
          <w:sz w:val="24"/>
        </w:rPr>
        <w:t>more efficient use of its facilities</w:t>
      </w:r>
      <w:r w:rsidRPr="00E0698E">
        <w:rPr>
          <w:rFonts w:ascii="Times New Roman" w:hAnsi="Times New Roman"/>
          <w:sz w:val="24"/>
        </w:rPr>
        <w:t xml:space="preserve"> as resources for their communities</w:t>
      </w:r>
      <w:r>
        <w:rPr>
          <w:rFonts w:ascii="Times New Roman" w:hAnsi="Times New Roman"/>
          <w:sz w:val="24"/>
        </w:rPr>
        <w:t>.  For example, through the Community Detention program youth are referred to facilities to participate in day programs and community service but are not required to spend the night, avoiding unnecessary use of secure detention beds.</w:t>
      </w:r>
    </w:p>
    <w:p w:rsidR="000E1B20" w:rsidRDefault="000E1B20" w:rsidP="000E1B20">
      <w:pPr>
        <w:jc w:val="both"/>
        <w:rPr>
          <w:rFonts w:ascii="Times New Roman" w:hAnsi="Times New Roman"/>
          <w:sz w:val="24"/>
        </w:rPr>
      </w:pPr>
      <w:r>
        <w:rPr>
          <w:rFonts w:ascii="Times New Roman" w:hAnsi="Times New Roman"/>
          <w:sz w:val="24"/>
        </w:rPr>
        <w:t xml:space="preserve">More attention and effort is needed to improve recidivism rates among juveniles with the most intensive needs, in particular those who have received formal probation supervision or been committed to care in secure treatment facilities.  Recidivism rates (defined as re-offenses resulting in a new adjudication in the juvenile system or a conviction in the adult system within 2 years) for these youth have remained relatively unchanged over recent years. </w:t>
      </w:r>
      <w:r w:rsidRPr="00D26533">
        <w:rPr>
          <w:rFonts w:ascii="Times New Roman" w:hAnsi="Times New Roman"/>
          <w:b/>
          <w:sz w:val="24"/>
        </w:rPr>
        <w:t xml:space="preserve">The recidivism rate for juveniles released from </w:t>
      </w:r>
      <w:r w:rsidRPr="00D26533">
        <w:rPr>
          <w:rFonts w:ascii="Times New Roman" w:hAnsi="Times New Roman"/>
          <w:b/>
          <w:i/>
          <w:sz w:val="24"/>
        </w:rPr>
        <w:t>formal probation supervision</w:t>
      </w:r>
      <w:r w:rsidRPr="00D26533">
        <w:rPr>
          <w:rFonts w:ascii="Times New Roman" w:hAnsi="Times New Roman"/>
          <w:b/>
          <w:sz w:val="24"/>
        </w:rPr>
        <w:t xml:space="preserve"> has stood at approximately 42% for the past five years; the recidivism rate of those released from </w:t>
      </w:r>
      <w:r w:rsidRPr="00D26533">
        <w:rPr>
          <w:rFonts w:ascii="Times New Roman" w:hAnsi="Times New Roman"/>
          <w:b/>
          <w:i/>
          <w:sz w:val="24"/>
        </w:rPr>
        <w:t>secure treatment</w:t>
      </w:r>
      <w:r w:rsidRPr="00D26533">
        <w:rPr>
          <w:rFonts w:ascii="Times New Roman" w:hAnsi="Times New Roman"/>
          <w:b/>
          <w:sz w:val="24"/>
        </w:rPr>
        <w:t xml:space="preserve"> has remained at 62% over the same period.   Of juveniles who recidivate, the vast majority (87%) do so after they have turned 18 and enter the adult correctional system</w:t>
      </w:r>
      <w:r>
        <w:rPr>
          <w:rFonts w:ascii="Times New Roman" w:hAnsi="Times New Roman"/>
          <w:sz w:val="24"/>
        </w:rPr>
        <w:t xml:space="preserve">. </w:t>
      </w:r>
    </w:p>
    <w:p w:rsidR="000E1B20" w:rsidRDefault="000E1B20" w:rsidP="000E1B20">
      <w:pPr>
        <w:jc w:val="both"/>
        <w:rPr>
          <w:rFonts w:ascii="Times New Roman" w:hAnsi="Times New Roman"/>
          <w:sz w:val="24"/>
        </w:rPr>
      </w:pPr>
      <w:r>
        <w:rPr>
          <w:rFonts w:ascii="Times New Roman" w:hAnsi="Times New Roman"/>
          <w:sz w:val="24"/>
        </w:rPr>
        <w:t xml:space="preserve">The division also is continuing its </w:t>
      </w:r>
      <w:r w:rsidRPr="00E0698E">
        <w:rPr>
          <w:rFonts w:ascii="Times New Roman" w:hAnsi="Times New Roman"/>
          <w:b/>
          <w:sz w:val="24"/>
        </w:rPr>
        <w:t>work to reduce the disproportionate involvement of Alaska Native youth</w:t>
      </w:r>
      <w:r>
        <w:rPr>
          <w:rFonts w:ascii="Times New Roman" w:hAnsi="Times New Roman"/>
          <w:sz w:val="24"/>
        </w:rPr>
        <w:t xml:space="preserve"> with the juvenile justice system.  </w:t>
      </w:r>
      <w:r w:rsidRPr="00D26533">
        <w:rPr>
          <w:rFonts w:ascii="Times New Roman" w:hAnsi="Times New Roman"/>
          <w:b/>
          <w:sz w:val="24"/>
        </w:rPr>
        <w:t>On the positive side, the division has seen a 45% reduction in referrals of Alaska Native youth over the period FY2003 – FY2014</w:t>
      </w:r>
      <w:r>
        <w:rPr>
          <w:rFonts w:ascii="Times New Roman" w:hAnsi="Times New Roman"/>
          <w:sz w:val="24"/>
        </w:rPr>
        <w:t>.  This decline is believed due, at least in part, to work conducted by DJJ staff to develop partnerships with tribal entities and rural Alaskan initiatives such as culture camps and other traditional activities that prevent future criminal involvement. However, the referral rate and the recidivism rate for Alaska Native youth remain higher than for other racial groups. The division remains committed to developing services, and partnerships that will reduce the disproportionate contact of Alaska Native youth with the juvenile justice system and prevent their involvement in the adult criminal justice system.</w:t>
      </w:r>
    </w:p>
    <w:p w:rsidR="008F4FC4" w:rsidRPr="008F4FC4" w:rsidRDefault="008F4FC4" w:rsidP="008F4FC4">
      <w:pPr>
        <w:jc w:val="both"/>
        <w:rPr>
          <w:rFonts w:asciiTheme="minorHAnsi" w:hAnsiTheme="minorHAnsi"/>
        </w:rPr>
      </w:pPr>
    </w:p>
    <w:sectPr w:rsidR="008F4FC4" w:rsidRPr="008F4FC4" w:rsidSect="004807EC">
      <w:footerReference w:type="default" r:id="rId9"/>
      <w:pgSz w:w="12240" w:h="15840"/>
      <w:pgMar w:top="720" w:right="720" w:bottom="9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5E3D" w:rsidRDefault="00C65E3D" w:rsidP="00545B7A">
      <w:pPr>
        <w:spacing w:after="0" w:line="240" w:lineRule="auto"/>
      </w:pPr>
      <w:r>
        <w:separator/>
      </w:r>
    </w:p>
  </w:endnote>
  <w:endnote w:type="continuationSeparator" w:id="0">
    <w:p w:rsidR="00C65E3D" w:rsidRDefault="00C65E3D" w:rsidP="00545B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5B7A" w:rsidRPr="008B0829" w:rsidRDefault="00664FC2" w:rsidP="00664FC2">
    <w:pPr>
      <w:pStyle w:val="Footer"/>
      <w:rPr>
        <w:i/>
        <w:sz w:val="20"/>
        <w:szCs w:val="20"/>
      </w:rPr>
    </w:pPr>
    <w:r w:rsidRPr="00664FC2">
      <w:rPr>
        <w:i/>
        <w:sz w:val="20"/>
        <w:szCs w:val="20"/>
      </w:rPr>
      <w:t xml:space="preserve">DJJ - </w:t>
    </w:r>
    <w:r w:rsidRPr="00664FC2">
      <w:rPr>
        <w:bCs/>
        <w:i/>
        <w:iCs/>
        <w:sz w:val="20"/>
        <w:szCs w:val="20"/>
      </w:rPr>
      <w:t>Delivering the right service to the right person at the right time for the right price</w:t>
    </w:r>
    <w:r w:rsidR="00C6421D">
      <w:rPr>
        <w:i/>
        <w:sz w:val="20"/>
        <w:szCs w:val="20"/>
      </w:rPr>
      <w:t xml:space="preserve"> </w:t>
    </w:r>
    <w:r>
      <w:rPr>
        <w:i/>
        <w:sz w:val="20"/>
        <w:szCs w:val="20"/>
      </w:rPr>
      <w:t xml:space="preserve"> </w:t>
    </w:r>
    <w:r w:rsidR="00C6421D">
      <w:rPr>
        <w:i/>
        <w:sz w:val="20"/>
        <w:szCs w:val="20"/>
      </w:rPr>
      <w:tab/>
    </w:r>
    <w:r>
      <w:rPr>
        <w:i/>
        <w:sz w:val="20"/>
        <w:szCs w:val="20"/>
      </w:rPr>
      <w:t xml:space="preserve"> February 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5E3D" w:rsidRDefault="00C65E3D" w:rsidP="00545B7A">
      <w:pPr>
        <w:spacing w:after="0" w:line="240" w:lineRule="auto"/>
      </w:pPr>
      <w:r>
        <w:separator/>
      </w:r>
    </w:p>
  </w:footnote>
  <w:footnote w:type="continuationSeparator" w:id="0">
    <w:p w:rsidR="00C65E3D" w:rsidRDefault="00C65E3D" w:rsidP="00545B7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5D5F9E"/>
    <w:multiLevelType w:val="hybridMultilevel"/>
    <w:tmpl w:val="EEFA6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471C21"/>
    <w:multiLevelType w:val="hybridMultilevel"/>
    <w:tmpl w:val="B9A2F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3E1601"/>
    <w:multiLevelType w:val="hybridMultilevel"/>
    <w:tmpl w:val="C26C2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305F86"/>
    <w:multiLevelType w:val="hybridMultilevel"/>
    <w:tmpl w:val="FA2CF8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6614D31"/>
    <w:multiLevelType w:val="hybridMultilevel"/>
    <w:tmpl w:val="2932C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FA6758"/>
    <w:multiLevelType w:val="hybridMultilevel"/>
    <w:tmpl w:val="C0202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952F1E"/>
    <w:multiLevelType w:val="hybridMultilevel"/>
    <w:tmpl w:val="CC08DFB8"/>
    <w:lvl w:ilvl="0" w:tplc="4348973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9C93E16"/>
    <w:multiLevelType w:val="hybridMultilevel"/>
    <w:tmpl w:val="191EE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CBF638B"/>
    <w:multiLevelType w:val="hybridMultilevel"/>
    <w:tmpl w:val="370C568E"/>
    <w:lvl w:ilvl="0" w:tplc="04090003">
      <w:start w:val="1"/>
      <w:numFmt w:val="bullet"/>
      <w:lvlText w:val="o"/>
      <w:lvlJc w:val="left"/>
      <w:pPr>
        <w:ind w:left="1080" w:hanging="360"/>
      </w:pPr>
      <w:rPr>
        <w:rFonts w:ascii="Courier New" w:hAnsi="Courier New" w:cs="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D0F57AC"/>
    <w:multiLevelType w:val="hybridMultilevel"/>
    <w:tmpl w:val="6F3E15D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2F1D18B8"/>
    <w:multiLevelType w:val="hybridMultilevel"/>
    <w:tmpl w:val="EF0E8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05027E8"/>
    <w:multiLevelType w:val="hybridMultilevel"/>
    <w:tmpl w:val="41723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1C50F77"/>
    <w:multiLevelType w:val="hybridMultilevel"/>
    <w:tmpl w:val="024A1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5A25481"/>
    <w:multiLevelType w:val="hybridMultilevel"/>
    <w:tmpl w:val="32A40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7D351E6"/>
    <w:multiLevelType w:val="hybridMultilevel"/>
    <w:tmpl w:val="F0FCAF3C"/>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3">
      <w:start w:val="1"/>
      <w:numFmt w:val="bullet"/>
      <w:lvlText w:val="o"/>
      <w:lvlJc w:val="left"/>
      <w:pPr>
        <w:ind w:left="2880" w:hanging="360"/>
      </w:pPr>
      <w:rPr>
        <w:rFonts w:ascii="Courier New" w:hAnsi="Courier New" w:cs="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C2B7ED0"/>
    <w:multiLevelType w:val="hybridMultilevel"/>
    <w:tmpl w:val="B00400F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C9277BC"/>
    <w:multiLevelType w:val="hybridMultilevel"/>
    <w:tmpl w:val="8A602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2934BD0"/>
    <w:multiLevelType w:val="hybridMultilevel"/>
    <w:tmpl w:val="8152B2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2CA0938"/>
    <w:multiLevelType w:val="hybridMultilevel"/>
    <w:tmpl w:val="9F6C9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52C5F2A"/>
    <w:multiLevelType w:val="hybridMultilevel"/>
    <w:tmpl w:val="1C6A5A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456868E5"/>
    <w:multiLevelType w:val="hybridMultilevel"/>
    <w:tmpl w:val="EC088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3DD0616"/>
    <w:multiLevelType w:val="hybridMultilevel"/>
    <w:tmpl w:val="6F6634B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4741B8E"/>
    <w:multiLevelType w:val="hybridMultilevel"/>
    <w:tmpl w:val="CC08DFB8"/>
    <w:lvl w:ilvl="0" w:tplc="4348973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659597D"/>
    <w:multiLevelType w:val="hybridMultilevel"/>
    <w:tmpl w:val="C358B39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BAF08F7"/>
    <w:multiLevelType w:val="hybridMultilevel"/>
    <w:tmpl w:val="31968CC6"/>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5">
    <w:nsid w:val="5D76329D"/>
    <w:multiLevelType w:val="hybridMultilevel"/>
    <w:tmpl w:val="A00095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4043BFF"/>
    <w:multiLevelType w:val="hybridMultilevel"/>
    <w:tmpl w:val="A5E60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5AF2E97"/>
    <w:multiLevelType w:val="hybridMultilevel"/>
    <w:tmpl w:val="805E3A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6BF77EA"/>
    <w:multiLevelType w:val="hybridMultilevel"/>
    <w:tmpl w:val="33D84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8486934"/>
    <w:multiLevelType w:val="hybridMultilevel"/>
    <w:tmpl w:val="87705FC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7F6C353E"/>
    <w:multiLevelType w:val="hybridMultilevel"/>
    <w:tmpl w:val="BE7871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9"/>
  </w:num>
  <w:num w:numId="3">
    <w:abstractNumId w:val="21"/>
  </w:num>
  <w:num w:numId="4">
    <w:abstractNumId w:val="15"/>
  </w:num>
  <w:num w:numId="5">
    <w:abstractNumId w:val="24"/>
  </w:num>
  <w:num w:numId="6">
    <w:abstractNumId w:val="17"/>
  </w:num>
  <w:num w:numId="7">
    <w:abstractNumId w:val="23"/>
  </w:num>
  <w:num w:numId="8">
    <w:abstractNumId w:val="12"/>
  </w:num>
  <w:num w:numId="9">
    <w:abstractNumId w:val="25"/>
  </w:num>
  <w:num w:numId="10">
    <w:abstractNumId w:val="22"/>
  </w:num>
  <w:num w:numId="11">
    <w:abstractNumId w:val="6"/>
  </w:num>
  <w:num w:numId="12">
    <w:abstractNumId w:val="30"/>
  </w:num>
  <w:num w:numId="13">
    <w:abstractNumId w:val="11"/>
  </w:num>
  <w:num w:numId="14">
    <w:abstractNumId w:val="10"/>
  </w:num>
  <w:num w:numId="15">
    <w:abstractNumId w:val="7"/>
  </w:num>
  <w:num w:numId="16">
    <w:abstractNumId w:val="16"/>
  </w:num>
  <w:num w:numId="17">
    <w:abstractNumId w:val="0"/>
  </w:num>
  <w:num w:numId="18">
    <w:abstractNumId w:val="27"/>
  </w:num>
  <w:num w:numId="19">
    <w:abstractNumId w:val="2"/>
  </w:num>
  <w:num w:numId="20">
    <w:abstractNumId w:val="1"/>
  </w:num>
  <w:num w:numId="21">
    <w:abstractNumId w:val="28"/>
  </w:num>
  <w:num w:numId="22">
    <w:abstractNumId w:val="18"/>
  </w:num>
  <w:num w:numId="23">
    <w:abstractNumId w:val="29"/>
  </w:num>
  <w:num w:numId="24">
    <w:abstractNumId w:val="8"/>
  </w:num>
  <w:num w:numId="25">
    <w:abstractNumId w:val="26"/>
  </w:num>
  <w:num w:numId="26">
    <w:abstractNumId w:val="13"/>
  </w:num>
  <w:num w:numId="27">
    <w:abstractNumId w:val="5"/>
  </w:num>
  <w:num w:numId="28">
    <w:abstractNumId w:val="19"/>
  </w:num>
  <w:num w:numId="29">
    <w:abstractNumId w:val="20"/>
  </w:num>
  <w:num w:numId="30">
    <w:abstractNumId w:val="3"/>
  </w:num>
  <w:num w:numId="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9E3"/>
    <w:rsid w:val="00031869"/>
    <w:rsid w:val="0003246C"/>
    <w:rsid w:val="000357FD"/>
    <w:rsid w:val="00040C74"/>
    <w:rsid w:val="0007636C"/>
    <w:rsid w:val="000877FB"/>
    <w:rsid w:val="000E1B20"/>
    <w:rsid w:val="000F22E6"/>
    <w:rsid w:val="0019734A"/>
    <w:rsid w:val="001A7BAF"/>
    <w:rsid w:val="001B09CA"/>
    <w:rsid w:val="001E7F16"/>
    <w:rsid w:val="001F00F1"/>
    <w:rsid w:val="001F43D2"/>
    <w:rsid w:val="002A623C"/>
    <w:rsid w:val="002B470A"/>
    <w:rsid w:val="002F5F21"/>
    <w:rsid w:val="0033108C"/>
    <w:rsid w:val="00341955"/>
    <w:rsid w:val="00367968"/>
    <w:rsid w:val="003933A3"/>
    <w:rsid w:val="003C0B9F"/>
    <w:rsid w:val="003D0C67"/>
    <w:rsid w:val="003E4348"/>
    <w:rsid w:val="003E5B4C"/>
    <w:rsid w:val="004235BD"/>
    <w:rsid w:val="004303B9"/>
    <w:rsid w:val="00430473"/>
    <w:rsid w:val="00430E73"/>
    <w:rsid w:val="004331ED"/>
    <w:rsid w:val="00456B55"/>
    <w:rsid w:val="004807EC"/>
    <w:rsid w:val="005169D1"/>
    <w:rsid w:val="005406F9"/>
    <w:rsid w:val="00542201"/>
    <w:rsid w:val="00545B7A"/>
    <w:rsid w:val="00572E90"/>
    <w:rsid w:val="005A1BAB"/>
    <w:rsid w:val="005A6151"/>
    <w:rsid w:val="005C1B73"/>
    <w:rsid w:val="005C25E6"/>
    <w:rsid w:val="005C73A9"/>
    <w:rsid w:val="005D3560"/>
    <w:rsid w:val="0065434F"/>
    <w:rsid w:val="006563D7"/>
    <w:rsid w:val="00662E04"/>
    <w:rsid w:val="00664FC2"/>
    <w:rsid w:val="006879EF"/>
    <w:rsid w:val="006B067B"/>
    <w:rsid w:val="006C0653"/>
    <w:rsid w:val="006E58C8"/>
    <w:rsid w:val="006F05F8"/>
    <w:rsid w:val="0070229A"/>
    <w:rsid w:val="007108DB"/>
    <w:rsid w:val="00737865"/>
    <w:rsid w:val="00792D7D"/>
    <w:rsid w:val="007A55CA"/>
    <w:rsid w:val="007B575B"/>
    <w:rsid w:val="007C1E4B"/>
    <w:rsid w:val="007D65C9"/>
    <w:rsid w:val="007E5C14"/>
    <w:rsid w:val="007E7476"/>
    <w:rsid w:val="007F07BF"/>
    <w:rsid w:val="00801538"/>
    <w:rsid w:val="00804C78"/>
    <w:rsid w:val="00877B19"/>
    <w:rsid w:val="00887356"/>
    <w:rsid w:val="00894869"/>
    <w:rsid w:val="00895FE7"/>
    <w:rsid w:val="008B0829"/>
    <w:rsid w:val="008C7938"/>
    <w:rsid w:val="008F4FC4"/>
    <w:rsid w:val="009013D3"/>
    <w:rsid w:val="00917266"/>
    <w:rsid w:val="00953DAB"/>
    <w:rsid w:val="009652E0"/>
    <w:rsid w:val="009919F0"/>
    <w:rsid w:val="009A5B06"/>
    <w:rsid w:val="009A7456"/>
    <w:rsid w:val="009F25AC"/>
    <w:rsid w:val="00A42839"/>
    <w:rsid w:val="00AB19EF"/>
    <w:rsid w:val="00AB4370"/>
    <w:rsid w:val="00AB7A5A"/>
    <w:rsid w:val="00AE2DE9"/>
    <w:rsid w:val="00B07ED9"/>
    <w:rsid w:val="00B27A4B"/>
    <w:rsid w:val="00B32441"/>
    <w:rsid w:val="00B33DD4"/>
    <w:rsid w:val="00B73231"/>
    <w:rsid w:val="00BA0DAC"/>
    <w:rsid w:val="00BF03EE"/>
    <w:rsid w:val="00C2062F"/>
    <w:rsid w:val="00C25ECB"/>
    <w:rsid w:val="00C3752C"/>
    <w:rsid w:val="00C62E4B"/>
    <w:rsid w:val="00C6421D"/>
    <w:rsid w:val="00C65E3D"/>
    <w:rsid w:val="00C77840"/>
    <w:rsid w:val="00C810F2"/>
    <w:rsid w:val="00C81C45"/>
    <w:rsid w:val="00CA0F36"/>
    <w:rsid w:val="00D05C7A"/>
    <w:rsid w:val="00D26533"/>
    <w:rsid w:val="00D32F38"/>
    <w:rsid w:val="00D579E3"/>
    <w:rsid w:val="00D73CBD"/>
    <w:rsid w:val="00D94B2D"/>
    <w:rsid w:val="00D9760E"/>
    <w:rsid w:val="00DB15D1"/>
    <w:rsid w:val="00DC146E"/>
    <w:rsid w:val="00DC6FDE"/>
    <w:rsid w:val="00DD7F68"/>
    <w:rsid w:val="00DF6497"/>
    <w:rsid w:val="00DF6C5E"/>
    <w:rsid w:val="00E0698E"/>
    <w:rsid w:val="00E265F4"/>
    <w:rsid w:val="00E472B9"/>
    <w:rsid w:val="00E77D85"/>
    <w:rsid w:val="00EA4BEF"/>
    <w:rsid w:val="00ED2200"/>
    <w:rsid w:val="00F0372F"/>
    <w:rsid w:val="00F103DA"/>
    <w:rsid w:val="00F641BE"/>
    <w:rsid w:val="00F81EEF"/>
    <w:rsid w:val="00FC1B80"/>
    <w:rsid w:val="00FC5A3B"/>
    <w:rsid w:val="00FD69C5"/>
    <w:rsid w:val="00FF24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CE83547-B4AE-4D27-8C02-799A84177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1869"/>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57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45B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5B7A"/>
    <w:rPr>
      <w:sz w:val="22"/>
      <w:szCs w:val="22"/>
    </w:rPr>
  </w:style>
  <w:style w:type="paragraph" w:styleId="Footer">
    <w:name w:val="footer"/>
    <w:basedOn w:val="Normal"/>
    <w:link w:val="FooterChar"/>
    <w:uiPriority w:val="99"/>
    <w:unhideWhenUsed/>
    <w:rsid w:val="00545B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5B7A"/>
    <w:rPr>
      <w:sz w:val="22"/>
      <w:szCs w:val="22"/>
    </w:rPr>
  </w:style>
  <w:style w:type="paragraph" w:styleId="BalloonText">
    <w:name w:val="Balloon Text"/>
    <w:basedOn w:val="Normal"/>
    <w:link w:val="BalloonTextChar"/>
    <w:uiPriority w:val="99"/>
    <w:semiHidden/>
    <w:unhideWhenUsed/>
    <w:rsid w:val="00DC14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146E"/>
    <w:rPr>
      <w:rFonts w:ascii="Tahoma" w:hAnsi="Tahoma" w:cs="Tahoma"/>
      <w:sz w:val="16"/>
      <w:szCs w:val="16"/>
    </w:rPr>
  </w:style>
  <w:style w:type="paragraph" w:styleId="ListParagraph">
    <w:name w:val="List Paragraph"/>
    <w:basedOn w:val="Normal"/>
    <w:uiPriority w:val="34"/>
    <w:qFormat/>
    <w:rsid w:val="009652E0"/>
    <w:pPr>
      <w:ind w:left="720"/>
      <w:contextualSpacing/>
    </w:pPr>
  </w:style>
  <w:style w:type="paragraph" w:styleId="FootnoteText">
    <w:name w:val="footnote text"/>
    <w:basedOn w:val="Normal"/>
    <w:link w:val="FootnoteTextChar"/>
    <w:uiPriority w:val="99"/>
    <w:semiHidden/>
    <w:unhideWhenUsed/>
    <w:rsid w:val="00664FC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64FC2"/>
  </w:style>
  <w:style w:type="character" w:styleId="FootnoteReference">
    <w:name w:val="footnote reference"/>
    <w:basedOn w:val="DefaultParagraphFont"/>
    <w:uiPriority w:val="99"/>
    <w:semiHidden/>
    <w:unhideWhenUsed/>
    <w:rsid w:val="00664FC2"/>
    <w:rPr>
      <w:vertAlign w:val="superscript"/>
    </w:rPr>
  </w:style>
  <w:style w:type="paragraph" w:styleId="NormalWeb">
    <w:name w:val="Normal (Web)"/>
    <w:basedOn w:val="Normal"/>
    <w:uiPriority w:val="99"/>
    <w:semiHidden/>
    <w:unhideWhenUsed/>
    <w:rsid w:val="00664FC2"/>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1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CBF75B-B7C5-4EB1-8C6A-B76AD1B6E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1105</Words>
  <Characters>6304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State of Alaska - Health and Social Services</Company>
  <LinksUpToDate>false</LinksUpToDate>
  <CharactersWithSpaces>7395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Ahrens, Angelina L</dc:creator>
  <cp:lastModifiedBy>Amy Saltzman</cp:lastModifiedBy>
  <cp:revision>2</cp:revision>
  <cp:lastPrinted>2015-02-24T18:23:00Z</cp:lastPrinted>
  <dcterms:created xsi:type="dcterms:W3CDTF">2015-02-24T21:43:00Z</dcterms:created>
  <dcterms:modified xsi:type="dcterms:W3CDTF">2015-02-24T21:43:00Z</dcterms:modified>
</cp:coreProperties>
</file>