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E00" w:rsidRPr="00B76884" w:rsidRDefault="00D23E00" w:rsidP="00D23E00">
      <w:pPr>
        <w:pStyle w:val="Header"/>
        <w:jc w:val="center"/>
        <w:rPr>
          <w:rFonts w:ascii="Perpetua" w:hAnsi="Perpetua"/>
          <w:b/>
          <w:smallCaps/>
          <w:snapToGrid w:val="0"/>
          <w:color w:val="1F497D" w:themeColor="text2"/>
          <w:sz w:val="48"/>
          <w:u w:val="single"/>
        </w:rPr>
      </w:pPr>
      <w:bookmarkStart w:id="0" w:name="_GoBack"/>
      <w:bookmarkEnd w:id="0"/>
      <w:r w:rsidRPr="00B76884">
        <w:rPr>
          <w:rFonts w:ascii="Perpetua" w:hAnsi="Perpetua"/>
          <w:b/>
          <w:smallCaps/>
          <w:snapToGrid w:val="0"/>
          <w:color w:val="1F497D" w:themeColor="text2"/>
          <w:sz w:val="52"/>
          <w:u w:val="single"/>
        </w:rPr>
        <w:t>A</w:t>
      </w:r>
      <w:r w:rsidRPr="00B76884">
        <w:rPr>
          <w:rFonts w:ascii="Perpetua" w:hAnsi="Perpetua"/>
          <w:b/>
          <w:smallCaps/>
          <w:snapToGrid w:val="0"/>
          <w:color w:val="1F497D" w:themeColor="text2"/>
          <w:sz w:val="48"/>
          <w:u w:val="single"/>
        </w:rPr>
        <w:t xml:space="preserve">laska </w:t>
      </w:r>
      <w:r w:rsidRPr="00B76884">
        <w:rPr>
          <w:rFonts w:ascii="Perpetua" w:hAnsi="Perpetua"/>
          <w:b/>
          <w:smallCaps/>
          <w:snapToGrid w:val="0"/>
          <w:color w:val="1F497D" w:themeColor="text2"/>
          <w:sz w:val="52"/>
          <w:u w:val="single"/>
        </w:rPr>
        <w:t>S</w:t>
      </w:r>
      <w:r w:rsidRPr="00B76884">
        <w:rPr>
          <w:rFonts w:ascii="Perpetua" w:hAnsi="Perpetua"/>
          <w:b/>
          <w:smallCaps/>
          <w:snapToGrid w:val="0"/>
          <w:color w:val="1F497D" w:themeColor="text2"/>
          <w:sz w:val="48"/>
          <w:u w:val="single"/>
        </w:rPr>
        <w:t xml:space="preserve">tate </w:t>
      </w:r>
      <w:r w:rsidRPr="00B76884">
        <w:rPr>
          <w:rFonts w:ascii="Perpetua" w:hAnsi="Perpetua"/>
          <w:b/>
          <w:smallCaps/>
          <w:snapToGrid w:val="0"/>
          <w:color w:val="1F497D" w:themeColor="text2"/>
          <w:sz w:val="52"/>
          <w:u w:val="single"/>
        </w:rPr>
        <w:t>L</w:t>
      </w:r>
      <w:r w:rsidRPr="00B76884">
        <w:rPr>
          <w:rFonts w:ascii="Perpetua" w:hAnsi="Perpetua"/>
          <w:b/>
          <w:smallCaps/>
          <w:snapToGrid w:val="0"/>
          <w:color w:val="1F497D" w:themeColor="text2"/>
          <w:sz w:val="48"/>
          <w:u w:val="single"/>
        </w:rPr>
        <w:t>egislature</w:t>
      </w:r>
    </w:p>
    <w:p w:rsidR="00D23E00" w:rsidRPr="00B76884" w:rsidRDefault="00D23E00" w:rsidP="00D23E00">
      <w:pPr>
        <w:tabs>
          <w:tab w:val="left" w:pos="0"/>
        </w:tabs>
        <w:ind w:left="-720" w:right="-720"/>
        <w:jc w:val="both"/>
        <w:rPr>
          <w:rFonts w:ascii="Perpetua Titling MT" w:hAnsi="Perpetua Titling MT"/>
          <w:b/>
          <w:snapToGrid w:val="0"/>
          <w:color w:val="1F497D" w:themeColor="text2"/>
          <w:sz w:val="20"/>
        </w:rPr>
      </w:pPr>
    </w:p>
    <w:p w:rsidR="00D23E00" w:rsidRPr="00B76884" w:rsidRDefault="00D23E00" w:rsidP="00D23E00">
      <w:pPr>
        <w:tabs>
          <w:tab w:val="left" w:pos="0"/>
        </w:tabs>
        <w:ind w:left="-720" w:right="-720"/>
        <w:jc w:val="center"/>
        <w:rPr>
          <w:rFonts w:ascii="Perpetua Titling MT" w:hAnsi="Perpetua Titling MT"/>
          <w:b/>
          <w:snapToGrid w:val="0"/>
          <w:color w:val="1F497D" w:themeColor="text2"/>
        </w:rPr>
      </w:pPr>
      <w:r w:rsidRPr="00B76884">
        <w:rPr>
          <w:rFonts w:ascii="Perpetua Titling MT" w:hAnsi="Perpetua Titling MT"/>
          <w:b/>
          <w:snapToGrid w:val="0"/>
          <w:color w:val="1F497D" w:themeColor="text2"/>
          <w:sz w:val="32"/>
        </w:rPr>
        <w:t xml:space="preserve">SENATOR DONALD C. </w:t>
      </w:r>
      <w:proofErr w:type="spellStart"/>
      <w:proofErr w:type="gramStart"/>
      <w:r w:rsidRPr="00B76884">
        <w:rPr>
          <w:rFonts w:ascii="Perpetua Titling MT" w:hAnsi="Perpetua Titling MT"/>
          <w:b/>
          <w:snapToGrid w:val="0"/>
          <w:color w:val="1F497D" w:themeColor="text2"/>
          <w:sz w:val="32"/>
        </w:rPr>
        <w:t>olson</w:t>
      </w:r>
      <w:proofErr w:type="spellEnd"/>
      <w:proofErr w:type="gramEnd"/>
    </w:p>
    <w:p w:rsidR="00C0415A" w:rsidRPr="00B76884" w:rsidRDefault="00C0415A" w:rsidP="00D23E00">
      <w:pPr>
        <w:tabs>
          <w:tab w:val="left" w:pos="0"/>
        </w:tabs>
        <w:ind w:left="-720" w:right="-720"/>
        <w:jc w:val="center"/>
        <w:rPr>
          <w:rFonts w:ascii="Perpetua Titling MT" w:hAnsi="Perpetua Titling MT"/>
          <w:b/>
          <w:color w:val="1F497D" w:themeColor="text2"/>
          <w:sz w:val="20"/>
        </w:rPr>
      </w:pPr>
      <w:r w:rsidRPr="00B76884">
        <w:rPr>
          <w:rFonts w:ascii="Perpetua Titling MT" w:hAnsi="Perpetua Titling MT"/>
          <w:b/>
          <w:color w:val="1F497D" w:themeColor="text2"/>
          <w:sz w:val="20"/>
        </w:rPr>
        <w:t>Senate District T</w:t>
      </w:r>
    </w:p>
    <w:p w:rsidR="00D23E00" w:rsidRDefault="00B76884" w:rsidP="00D23E00">
      <w:pPr>
        <w:pStyle w:val="Header"/>
        <w:jc w:val="center"/>
        <w:rPr>
          <w:rFonts w:ascii="Perpetua Titling MT" w:hAnsi="Perpetua Titling MT"/>
          <w:b/>
          <w:bCs/>
          <w:smallCaps/>
          <w:sz w:val="32"/>
        </w:rPr>
      </w:pPr>
      <w:r>
        <w:rPr>
          <w:noProof/>
        </w:rPr>
        <mc:AlternateContent>
          <mc:Choice Requires="wps">
            <w:drawing>
              <wp:anchor distT="0" distB="0" distL="114300" distR="114300" simplePos="0" relativeHeight="251661312" behindDoc="0" locked="0" layoutInCell="1" allowOverlap="1" wp14:anchorId="0C166072" wp14:editId="517EAD89">
                <wp:simplePos x="0" y="0"/>
                <wp:positionH relativeFrom="column">
                  <wp:posOffset>3981450</wp:posOffset>
                </wp:positionH>
                <wp:positionV relativeFrom="paragraph">
                  <wp:posOffset>73660</wp:posOffset>
                </wp:positionV>
                <wp:extent cx="2847975" cy="10668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3.5pt;margin-top:5.8pt;width:224.25pt;height: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" stroked="f">
                <v:textbox>
                  <w:txbxContent>
                    <w:p w:rsidR="005A56A1" w:rsidRPr="00B76884" w:rsidRDefault="005A56A1" w:rsidP="005A56A1">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Interim</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716 W. 4</w:t>
                      </w:r>
                      <w:r w:rsidRPr="00B76884">
                        <w:rPr>
                          <w:rFonts w:ascii="Perpetua" w:hAnsi="Perpetua"/>
                          <w:color w:val="1F497D" w:themeColor="text2"/>
                          <w:sz w:val="20"/>
                          <w:szCs w:val="20"/>
                          <w:vertAlign w:val="superscript"/>
                        </w:rPr>
                        <w:t>th</w:t>
                      </w:r>
                      <w:r w:rsidRPr="00B76884">
                        <w:rPr>
                          <w:rFonts w:ascii="Perpetua" w:hAnsi="Perpetua"/>
                          <w:color w:val="1F497D" w:themeColor="text2"/>
                          <w:sz w:val="20"/>
                          <w:szCs w:val="20"/>
                        </w:rPr>
                        <w:t xml:space="preserve"> Ave. </w:t>
                      </w:r>
                      <w:proofErr w:type="spellStart"/>
                      <w:r w:rsidRPr="00B76884">
                        <w:rPr>
                          <w:rFonts w:ascii="Perpetua" w:hAnsi="Perpetua"/>
                          <w:color w:val="1F497D" w:themeColor="text2"/>
                          <w:sz w:val="20"/>
                          <w:szCs w:val="20"/>
                        </w:rPr>
                        <w:t>Ste</w:t>
                      </w:r>
                      <w:proofErr w:type="spellEnd"/>
                      <w:r w:rsidRPr="00B76884">
                        <w:rPr>
                          <w:rFonts w:ascii="Perpetua" w:hAnsi="Perpetua"/>
                          <w:color w:val="1F497D" w:themeColor="text2"/>
                          <w:sz w:val="20"/>
                          <w:szCs w:val="20"/>
                        </w:rPr>
                        <w:t xml:space="preserve"> 530</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Anchorage, AK 99501</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Toll Free 800-597-3707</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(907) 269-0254</w:t>
                      </w:r>
                    </w:p>
                    <w:p w:rsidR="005A56A1" w:rsidRPr="00B76884" w:rsidRDefault="005A56A1" w:rsidP="005A56A1">
                      <w:pPr>
                        <w:jc w:val="center"/>
                        <w:rPr>
                          <w:rFonts w:ascii="Perpetua" w:hAnsi="Perpetua"/>
                          <w:color w:val="1F497D" w:themeColor="text2"/>
                          <w:sz w:val="20"/>
                          <w:szCs w:val="20"/>
                        </w:rPr>
                      </w:pPr>
                      <w:r w:rsidRPr="00B76884">
                        <w:rPr>
                          <w:rFonts w:ascii="Perpetua" w:hAnsi="Perpetua"/>
                          <w:color w:val="1F497D" w:themeColor="text2"/>
                          <w:sz w:val="20"/>
                          <w:szCs w:val="20"/>
                        </w:rPr>
                        <w:t>Fax (907)269-2031</w:t>
                      </w:r>
                    </w:p>
                    <w:p w:rsidR="00B8771F" w:rsidRPr="000F6CE4" w:rsidRDefault="00B8771F" w:rsidP="00D23E00">
                      <w:pPr>
                        <w:jc w:val="center"/>
                        <w:rPr>
                          <w:rFonts w:ascii="Perpetua" w:hAnsi="Perpetua"/>
                          <w:sz w:val="20"/>
                          <w:szCs w:val="20"/>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8B6165C" wp14:editId="7C84C213">
                <wp:simplePos x="0" y="0"/>
                <wp:positionH relativeFrom="column">
                  <wp:posOffset>-857250</wp:posOffset>
                </wp:positionH>
                <wp:positionV relativeFrom="paragraph">
                  <wp:posOffset>74295</wp:posOffset>
                </wp:positionV>
                <wp:extent cx="3390900" cy="11906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en.Donny.Olson@aklegis.gov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67.5pt;margin-top:5.85pt;width:267pt;height:9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" stroked="f">
                <v:textbox>
                  <w:txbxContent>
                    <w:p w:rsidR="00B8771F" w:rsidRPr="00B76884" w:rsidRDefault="00B8771F" w:rsidP="00D23E00">
                      <w:pPr>
                        <w:jc w:val="center"/>
                        <w:rPr>
                          <w:rFonts w:ascii="Perpetua" w:hAnsi="Perpetua"/>
                          <w:i/>
                          <w:color w:val="1F497D" w:themeColor="text2"/>
                          <w:sz w:val="20"/>
                          <w:szCs w:val="20"/>
                          <w:u w:val="single"/>
                        </w:rPr>
                      </w:pPr>
                      <w:r w:rsidRPr="00B76884">
                        <w:rPr>
                          <w:rFonts w:ascii="Perpetua" w:hAnsi="Perpetua"/>
                          <w:i/>
                          <w:color w:val="1F497D" w:themeColor="text2"/>
                          <w:sz w:val="20"/>
                          <w:szCs w:val="20"/>
                          <w:u w:val="single"/>
                        </w:rPr>
                        <w:t>Session</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Alaska State Capitol, Rm. 508</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Juneau, AK 99801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(907) 465-3707</w:t>
                      </w:r>
                    </w:p>
                    <w:p w:rsidR="00B8771F" w:rsidRPr="00B76884" w:rsidRDefault="005A56A1" w:rsidP="00D23E00">
                      <w:pPr>
                        <w:jc w:val="center"/>
                        <w:rPr>
                          <w:rFonts w:ascii="Perpetua" w:hAnsi="Perpetua"/>
                          <w:color w:val="1F497D" w:themeColor="text2"/>
                          <w:sz w:val="20"/>
                          <w:szCs w:val="20"/>
                        </w:rPr>
                      </w:pPr>
                      <w:r w:rsidRPr="00B76884">
                        <w:rPr>
                          <w:rFonts w:ascii="Perpetua" w:hAnsi="Perpetua"/>
                          <w:color w:val="1F497D" w:themeColor="text2"/>
                          <w:sz w:val="20"/>
                          <w:szCs w:val="20"/>
                        </w:rPr>
                        <w:t>Fax</w:t>
                      </w:r>
                      <w:r w:rsidR="00B8771F" w:rsidRPr="00B76884">
                        <w:rPr>
                          <w:rFonts w:ascii="Perpetua" w:hAnsi="Perpetua"/>
                          <w:color w:val="1F497D" w:themeColor="text2"/>
                          <w:sz w:val="20"/>
                          <w:szCs w:val="20"/>
                        </w:rPr>
                        <w:t xml:space="preserve"> (907) 465-4821</w:t>
                      </w:r>
                    </w:p>
                    <w:p w:rsidR="00B8771F" w:rsidRPr="00B76884" w:rsidRDefault="00B8771F" w:rsidP="00D23E00">
                      <w:pPr>
                        <w:jc w:val="center"/>
                        <w:rPr>
                          <w:rFonts w:ascii="Perpetua" w:hAnsi="Perpetua"/>
                          <w:color w:val="1F497D" w:themeColor="text2"/>
                          <w:sz w:val="20"/>
                          <w:szCs w:val="20"/>
                        </w:rPr>
                      </w:pPr>
                      <w:r w:rsidRPr="00B76884">
                        <w:rPr>
                          <w:rFonts w:ascii="Perpetua" w:hAnsi="Perpetua"/>
                          <w:color w:val="1F497D" w:themeColor="text2"/>
                          <w:sz w:val="20"/>
                          <w:szCs w:val="20"/>
                        </w:rPr>
                        <w:t>S</w:t>
                      </w:r>
                      <w:r w:rsidR="001730CF" w:rsidRPr="00B76884">
                        <w:rPr>
                          <w:rFonts w:ascii="Perpetua" w:hAnsi="Perpetua"/>
                          <w:color w:val="1F497D" w:themeColor="text2"/>
                          <w:sz w:val="20"/>
                          <w:szCs w:val="20"/>
                        </w:rPr>
                        <w:t>en.Donny.Olson@aklegis.gov</w:t>
                      </w:r>
                    </w:p>
                  </w:txbxContent>
                </v:textbox>
              </v:shape>
            </w:pict>
          </mc:Fallback>
        </mc:AlternateContent>
      </w:r>
      <w:r w:rsidR="00D23E00">
        <w:rPr>
          <w:rFonts w:ascii="Arial" w:hAnsi="Arial"/>
          <w:noProof/>
          <w:color w:val="000000"/>
          <w:sz w:val="16"/>
          <w:u w:val="single"/>
        </w:rPr>
        <w:drawing>
          <wp:anchor distT="0" distB="0" distL="114300" distR="114300" simplePos="0" relativeHeight="251659264" behindDoc="0" locked="0" layoutInCell="1" allowOverlap="1">
            <wp:simplePos x="0" y="0"/>
            <wp:positionH relativeFrom="column">
              <wp:posOffset>2705100</wp:posOffset>
            </wp:positionH>
            <wp:positionV relativeFrom="paragraph">
              <wp:posOffset>226695</wp:posOffset>
            </wp:positionV>
            <wp:extent cx="1005840" cy="914400"/>
            <wp:effectExtent l="0" t="0" r="3810" b="0"/>
            <wp:wrapNone/>
            <wp:docPr id="1" name="Picture 1"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D23E00">
      <w:pPr>
        <w:pStyle w:val="Header"/>
        <w:jc w:val="center"/>
        <w:rPr>
          <w:rFonts w:ascii="Perpetua Titling MT" w:hAnsi="Perpetua Titling MT"/>
          <w:b/>
          <w:bCs/>
          <w:smallCaps/>
          <w:sz w:val="32"/>
        </w:rPr>
      </w:pPr>
    </w:p>
    <w:p w:rsidR="00D23E00" w:rsidRDefault="00D23E00" w:rsidP="00C0415A">
      <w:pPr>
        <w:pStyle w:val="Header"/>
        <w:rPr>
          <w:rFonts w:ascii="Perpetua Titling MT" w:hAnsi="Perpetua Titling MT"/>
          <w:b/>
          <w:bCs/>
          <w:smallCaps/>
          <w:sz w:val="16"/>
          <w:szCs w:val="16"/>
        </w:rPr>
      </w:pPr>
    </w:p>
    <w:p w:rsidR="006B3CB3" w:rsidRPr="00C54C55" w:rsidRDefault="00501F73" w:rsidP="00A65F46">
      <w:pPr>
        <w:pStyle w:val="Header"/>
        <w:jc w:val="center"/>
        <w:rPr>
          <w:rFonts w:ascii="Tw Cen MT" w:hAnsi="Tw Cen MT" w:cs="Arial"/>
          <w:color w:val="333333"/>
          <w:sz w:val="32"/>
          <w:szCs w:val="32"/>
        </w:rPr>
      </w:pPr>
      <w:r>
        <w:rPr>
          <w:rFonts w:ascii="Tw Cen MT" w:hAnsi="Tw Cen MT" w:cs="Arial"/>
          <w:color w:val="333333"/>
          <w:sz w:val="32"/>
          <w:szCs w:val="32"/>
        </w:rPr>
        <w:t>Senate Bill 162</w:t>
      </w:r>
    </w:p>
    <w:p w:rsidR="006B3CB3" w:rsidRPr="00501F73" w:rsidRDefault="00501F73" w:rsidP="00501F73">
      <w:pPr>
        <w:pStyle w:val="NoSpacing"/>
        <w:jc w:val="center"/>
        <w:rPr>
          <w:rFonts w:ascii="Tw Cen MT" w:hAnsi="Tw Cen MT"/>
          <w:sz w:val="28"/>
          <w:szCs w:val="28"/>
        </w:rPr>
      </w:pPr>
      <w:r w:rsidRPr="00501F73">
        <w:rPr>
          <w:rFonts w:ascii="Tw Cen MT" w:eastAsia="Times New Roman" w:hAnsi="Tw Cen MT" w:cs="Arial"/>
          <w:color w:val="333333"/>
          <w:sz w:val="28"/>
          <w:szCs w:val="28"/>
        </w:rPr>
        <w:t>HYDROCODONE PRESCRIPTION BY OPTOMETRISTS</w:t>
      </w:r>
    </w:p>
    <w:p w:rsidR="007A2957" w:rsidRDefault="007A2957" w:rsidP="007A2957">
      <w:pPr>
        <w:pStyle w:val="NoSpacing"/>
        <w:rPr>
          <w:rFonts w:ascii="Tw Cen MT" w:hAnsi="Tw Cen MT"/>
          <w:sz w:val="24"/>
          <w:szCs w:val="24"/>
        </w:rPr>
      </w:pPr>
    </w:p>
    <w:p w:rsidR="00501F73" w:rsidRDefault="00501F73" w:rsidP="007A2957">
      <w:pPr>
        <w:pStyle w:val="NoSpacing"/>
        <w:rPr>
          <w:rFonts w:ascii="Tw Cen MT" w:hAnsi="Tw Cen MT"/>
          <w:sz w:val="24"/>
          <w:szCs w:val="24"/>
        </w:rPr>
      </w:pPr>
    </w:p>
    <w:p w:rsidR="007A2957" w:rsidRPr="007A2957" w:rsidRDefault="007A2957" w:rsidP="007A2957">
      <w:pPr>
        <w:pStyle w:val="NoSpacing"/>
        <w:rPr>
          <w:rFonts w:ascii="Tw Cen MT" w:hAnsi="Tw Cen MT"/>
          <w:sz w:val="24"/>
          <w:szCs w:val="24"/>
        </w:rPr>
      </w:pPr>
      <w:r w:rsidRPr="007A2957">
        <w:rPr>
          <w:rFonts w:ascii="Tw Cen MT" w:hAnsi="Tw Cen MT"/>
          <w:sz w:val="24"/>
          <w:szCs w:val="24"/>
        </w:rPr>
        <w:t>This is a technical change to the statute.  This bill does not increase or change the current scope of practice of optometry.</w:t>
      </w:r>
    </w:p>
    <w:p w:rsidR="007A2957" w:rsidRPr="007A2957" w:rsidRDefault="007A2957" w:rsidP="007A2957">
      <w:pPr>
        <w:pStyle w:val="NoSpacing"/>
        <w:rPr>
          <w:rFonts w:ascii="Tw Cen MT" w:hAnsi="Tw Cen MT"/>
          <w:sz w:val="24"/>
          <w:szCs w:val="24"/>
        </w:rPr>
      </w:pPr>
      <w:r w:rsidRPr="007A2957">
        <w:rPr>
          <w:rFonts w:ascii="Tw Cen MT" w:hAnsi="Tw Cen MT"/>
          <w:sz w:val="24"/>
          <w:szCs w:val="24"/>
        </w:rPr>
        <w:t xml:space="preserve"> </w:t>
      </w:r>
    </w:p>
    <w:p w:rsidR="007A2957" w:rsidRPr="007A2957" w:rsidRDefault="007A2957" w:rsidP="007A2957">
      <w:pPr>
        <w:pStyle w:val="NoSpacing"/>
        <w:rPr>
          <w:rFonts w:ascii="Tw Cen MT" w:hAnsi="Tw Cen MT"/>
          <w:sz w:val="24"/>
          <w:szCs w:val="24"/>
        </w:rPr>
      </w:pPr>
      <w:r w:rsidRPr="007A2957">
        <w:rPr>
          <w:rFonts w:ascii="Tw Cen MT" w:hAnsi="Tw Cen MT"/>
          <w:sz w:val="24"/>
          <w:szCs w:val="24"/>
        </w:rPr>
        <w:t xml:space="preserve">Optometrists endorsed to prescribe medications currently have authority to prescribe Schedule III controlled substances such as </w:t>
      </w:r>
      <w:proofErr w:type="spellStart"/>
      <w:r w:rsidRPr="007A2957">
        <w:rPr>
          <w:rFonts w:ascii="Tw Cen MT" w:hAnsi="Tw Cen MT"/>
          <w:sz w:val="24"/>
          <w:szCs w:val="24"/>
        </w:rPr>
        <w:t>hydrocodone+acetaminophen</w:t>
      </w:r>
      <w:proofErr w:type="spellEnd"/>
      <w:r w:rsidRPr="007A2957">
        <w:rPr>
          <w:rFonts w:ascii="Tw Cen MT" w:hAnsi="Tw Cen MT"/>
          <w:sz w:val="24"/>
          <w:szCs w:val="24"/>
        </w:rPr>
        <w:t>, a combination drug (also known as Vicodin).</w:t>
      </w:r>
    </w:p>
    <w:p w:rsidR="007A2957" w:rsidRPr="007A2957" w:rsidRDefault="007A2957" w:rsidP="007A2957">
      <w:pPr>
        <w:pStyle w:val="NoSpacing"/>
        <w:rPr>
          <w:rFonts w:ascii="Tw Cen MT" w:hAnsi="Tw Cen MT"/>
          <w:sz w:val="24"/>
          <w:szCs w:val="24"/>
        </w:rPr>
      </w:pPr>
      <w:r w:rsidRPr="007A2957">
        <w:rPr>
          <w:rFonts w:ascii="Tw Cen MT" w:hAnsi="Tw Cen MT"/>
          <w:sz w:val="24"/>
          <w:szCs w:val="24"/>
        </w:rPr>
        <w:t xml:space="preserve"> </w:t>
      </w:r>
    </w:p>
    <w:p w:rsidR="007A2957" w:rsidRPr="007A2957" w:rsidRDefault="007A2957" w:rsidP="007A2957">
      <w:pPr>
        <w:pStyle w:val="NoSpacing"/>
        <w:rPr>
          <w:rFonts w:ascii="Tw Cen MT" w:hAnsi="Tw Cen MT"/>
          <w:sz w:val="24"/>
          <w:szCs w:val="24"/>
        </w:rPr>
      </w:pPr>
      <w:r w:rsidRPr="007A2957">
        <w:rPr>
          <w:rFonts w:ascii="Tw Cen MT" w:hAnsi="Tw Cen MT"/>
          <w:sz w:val="24"/>
          <w:szCs w:val="24"/>
        </w:rPr>
        <w:t>The federal FDA is proposing to reclassify hydrocodone combination drugs such as Vicodin to a Schedule II.  If this occurs, then optometrists will lose their current ability to prescribe this medication.  So this bill simply makes an exception to the statute specifically for hydrocodone in case the FDA changes the classification, allowing optometrists to continue prescribing in the same manner as current law allows.</w:t>
      </w:r>
    </w:p>
    <w:p w:rsidR="006B3CB3" w:rsidRPr="0044295F" w:rsidRDefault="006B3CB3" w:rsidP="007A2957">
      <w:pPr>
        <w:pStyle w:val="NoSpacing"/>
        <w:rPr>
          <w:rFonts w:ascii="Perpetua Titling MT" w:hAnsi="Perpetua Titling MT"/>
          <w:b/>
          <w:bCs/>
          <w:smallCaps/>
          <w:sz w:val="16"/>
          <w:szCs w:val="16"/>
        </w:rPr>
      </w:pPr>
    </w:p>
    <w:sectPr w:rsidR="006B3CB3" w:rsidRPr="0044295F" w:rsidSect="00AC5D30">
      <w:pgSz w:w="12240" w:h="15840"/>
      <w:pgMar w:top="1152" w:right="1080" w:bottom="1152"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AD4" w:rsidRDefault="00FD6AD4" w:rsidP="00520142">
      <w:r>
        <w:separator/>
      </w:r>
    </w:p>
  </w:endnote>
  <w:endnote w:type="continuationSeparator" w:id="0">
    <w:p w:rsidR="00FD6AD4" w:rsidRDefault="00FD6AD4" w:rsidP="0052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Perpetua Titling MT">
    <w:panose1 w:val="020205020605050208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AD4" w:rsidRDefault="00FD6AD4" w:rsidP="00520142">
      <w:r>
        <w:separator/>
      </w:r>
    </w:p>
  </w:footnote>
  <w:footnote w:type="continuationSeparator" w:id="0">
    <w:p w:rsidR="00FD6AD4" w:rsidRDefault="00FD6AD4" w:rsidP="00520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E00"/>
    <w:rsid w:val="00043B8B"/>
    <w:rsid w:val="001730CF"/>
    <w:rsid w:val="00192188"/>
    <w:rsid w:val="002C1F74"/>
    <w:rsid w:val="0034175E"/>
    <w:rsid w:val="00357D86"/>
    <w:rsid w:val="003830FA"/>
    <w:rsid w:val="00423134"/>
    <w:rsid w:val="0044295F"/>
    <w:rsid w:val="004F625D"/>
    <w:rsid w:val="00501F73"/>
    <w:rsid w:val="00520142"/>
    <w:rsid w:val="00553E42"/>
    <w:rsid w:val="005841AD"/>
    <w:rsid w:val="005A56A1"/>
    <w:rsid w:val="00681232"/>
    <w:rsid w:val="006B3CB3"/>
    <w:rsid w:val="006D6F23"/>
    <w:rsid w:val="006E5C9A"/>
    <w:rsid w:val="00796FBB"/>
    <w:rsid w:val="007A2957"/>
    <w:rsid w:val="007E207C"/>
    <w:rsid w:val="008321A1"/>
    <w:rsid w:val="008A2658"/>
    <w:rsid w:val="009B30B1"/>
    <w:rsid w:val="00A037FC"/>
    <w:rsid w:val="00A268EE"/>
    <w:rsid w:val="00A376F2"/>
    <w:rsid w:val="00A65F46"/>
    <w:rsid w:val="00AC5D30"/>
    <w:rsid w:val="00B44C40"/>
    <w:rsid w:val="00B76884"/>
    <w:rsid w:val="00B8771F"/>
    <w:rsid w:val="00C0415A"/>
    <w:rsid w:val="00C559DE"/>
    <w:rsid w:val="00C96E0F"/>
    <w:rsid w:val="00CF0D4C"/>
    <w:rsid w:val="00D23E00"/>
    <w:rsid w:val="00D94FDF"/>
    <w:rsid w:val="00DB0258"/>
    <w:rsid w:val="00EC3B46"/>
    <w:rsid w:val="00F1287E"/>
    <w:rsid w:val="00F37CFC"/>
    <w:rsid w:val="00F70DEA"/>
    <w:rsid w:val="00FA2B51"/>
    <w:rsid w:val="00FB3DEA"/>
    <w:rsid w:val="00FD6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 w:type="paragraph" w:styleId="NoSpacing">
    <w:name w:val="No Spacing"/>
    <w:uiPriority w:val="1"/>
    <w:qFormat/>
    <w:rsid w:val="006B3C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E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3E00"/>
    <w:pPr>
      <w:tabs>
        <w:tab w:val="center" w:pos="4320"/>
        <w:tab w:val="right" w:pos="8640"/>
      </w:tabs>
    </w:pPr>
    <w:rPr>
      <w:sz w:val="28"/>
      <w:szCs w:val="20"/>
    </w:rPr>
  </w:style>
  <w:style w:type="character" w:customStyle="1" w:styleId="HeaderChar">
    <w:name w:val="Header Char"/>
    <w:basedOn w:val="DefaultParagraphFont"/>
    <w:link w:val="Header"/>
    <w:rsid w:val="00D23E00"/>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D94FDF"/>
    <w:rPr>
      <w:rFonts w:ascii="Tahoma" w:hAnsi="Tahoma" w:cs="Tahoma"/>
      <w:sz w:val="16"/>
      <w:szCs w:val="16"/>
    </w:rPr>
  </w:style>
  <w:style w:type="character" w:customStyle="1" w:styleId="BalloonTextChar">
    <w:name w:val="Balloon Text Char"/>
    <w:basedOn w:val="DefaultParagraphFont"/>
    <w:link w:val="BalloonText"/>
    <w:uiPriority w:val="99"/>
    <w:semiHidden/>
    <w:rsid w:val="00D94FDF"/>
    <w:rPr>
      <w:rFonts w:ascii="Tahoma" w:eastAsia="Times New Roman" w:hAnsi="Tahoma" w:cs="Tahoma"/>
      <w:sz w:val="16"/>
      <w:szCs w:val="16"/>
    </w:rPr>
  </w:style>
  <w:style w:type="paragraph" w:styleId="Footer">
    <w:name w:val="footer"/>
    <w:basedOn w:val="Normal"/>
    <w:link w:val="FooterChar"/>
    <w:uiPriority w:val="99"/>
    <w:unhideWhenUsed/>
    <w:rsid w:val="00520142"/>
    <w:pPr>
      <w:tabs>
        <w:tab w:val="center" w:pos="4680"/>
        <w:tab w:val="right" w:pos="9360"/>
      </w:tabs>
    </w:pPr>
  </w:style>
  <w:style w:type="character" w:customStyle="1" w:styleId="FooterChar">
    <w:name w:val="Footer Char"/>
    <w:basedOn w:val="DefaultParagraphFont"/>
    <w:link w:val="Footer"/>
    <w:uiPriority w:val="99"/>
    <w:rsid w:val="00520142"/>
    <w:rPr>
      <w:rFonts w:ascii="Times New Roman" w:eastAsia="Times New Roman" w:hAnsi="Times New Roman" w:cs="Times New Roman"/>
      <w:sz w:val="24"/>
      <w:szCs w:val="24"/>
    </w:rPr>
  </w:style>
  <w:style w:type="paragraph" w:styleId="NoSpacing">
    <w:name w:val="No Spacing"/>
    <w:uiPriority w:val="1"/>
    <w:qFormat/>
    <w:rsid w:val="006B3C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4446">
      <w:bodyDiv w:val="1"/>
      <w:marLeft w:val="0"/>
      <w:marRight w:val="0"/>
      <w:marTop w:val="0"/>
      <w:marBottom w:val="0"/>
      <w:divBdr>
        <w:top w:val="none" w:sz="0" w:space="0" w:color="auto"/>
        <w:left w:val="none" w:sz="0" w:space="0" w:color="auto"/>
        <w:bottom w:val="none" w:sz="0" w:space="0" w:color="auto"/>
        <w:right w:val="none" w:sz="0" w:space="0" w:color="auto"/>
      </w:divBdr>
    </w:div>
    <w:div w:id="89608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E:\Graphics%20Docs\TIFF\goodseal2.tif"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2014-02-12T16:43:00Z</cp:lastPrinted>
  <dcterms:created xsi:type="dcterms:W3CDTF">2014-02-13T20:15:00Z</dcterms:created>
  <dcterms:modified xsi:type="dcterms:W3CDTF">2014-02-13T20:15:00Z</dcterms:modified>
</cp:coreProperties>
</file>