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00" w:rsidRPr="002D2AFA" w:rsidRDefault="00D23E00" w:rsidP="00D23E00">
      <w:pPr>
        <w:pStyle w:val="Header"/>
        <w:jc w:val="center"/>
        <w:rPr>
          <w:rFonts w:ascii="Perpetua" w:hAnsi="Perpetua"/>
          <w:smallCaps/>
          <w:snapToGrid w:val="0"/>
          <w:color w:val="000000"/>
          <w:sz w:val="48"/>
          <w:u w:val="single"/>
        </w:rPr>
      </w:pPr>
      <w:smartTag w:uri="urn:schemas-microsoft-com:office:smarttags" w:element="State">
        <w:smartTag w:uri="urn:schemas-microsoft-com:office:smarttags" w:element="place">
          <w:r w:rsidRPr="002D2AFA">
            <w:rPr>
              <w:rFonts w:ascii="Perpetua" w:hAnsi="Perpetua"/>
              <w:smallCaps/>
              <w:snapToGrid w:val="0"/>
              <w:color w:val="000000"/>
              <w:sz w:val="52"/>
              <w:u w:val="single"/>
            </w:rPr>
            <w:t>A</w:t>
          </w:r>
          <w:r w:rsidRPr="002D2AFA">
            <w:rPr>
              <w:rFonts w:ascii="Perpetua" w:hAnsi="Perpetua"/>
              <w:smallCaps/>
              <w:snapToGrid w:val="0"/>
              <w:color w:val="000000"/>
              <w:sz w:val="48"/>
              <w:u w:val="single"/>
            </w:rPr>
            <w:t>laska</w:t>
          </w:r>
        </w:smartTag>
      </w:smartTag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 xml:space="preserve"> </w:t>
      </w:r>
      <w:r w:rsidRPr="002D2AFA">
        <w:rPr>
          <w:rFonts w:ascii="Perpetua" w:hAnsi="Perpetua"/>
          <w:smallCaps/>
          <w:snapToGrid w:val="0"/>
          <w:color w:val="000000"/>
          <w:sz w:val="52"/>
          <w:u w:val="single"/>
        </w:rPr>
        <w:t>S</w:t>
      </w:r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 xml:space="preserve">tate </w:t>
      </w:r>
      <w:r w:rsidRPr="002D2AFA">
        <w:rPr>
          <w:rFonts w:ascii="Perpetua" w:hAnsi="Perpetua"/>
          <w:smallCaps/>
          <w:snapToGrid w:val="0"/>
          <w:color w:val="000000"/>
          <w:sz w:val="52"/>
          <w:u w:val="single"/>
        </w:rPr>
        <w:t>L</w:t>
      </w:r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>egislature</w:t>
      </w:r>
    </w:p>
    <w:p w:rsidR="00D23E00" w:rsidRDefault="00D23E00" w:rsidP="00D23E00">
      <w:pPr>
        <w:ind w:left="-720" w:right="-720"/>
        <w:rPr>
          <w:rFonts w:ascii="Arial" w:hAnsi="Arial"/>
          <w:snapToGrid w:val="0"/>
          <w:color w:val="000000"/>
          <w:sz w:val="16"/>
        </w:rPr>
      </w:pPr>
    </w:p>
    <w:p w:rsidR="00D23E00" w:rsidRDefault="00D23E00" w:rsidP="00D23E00">
      <w:pPr>
        <w:tabs>
          <w:tab w:val="left" w:pos="0"/>
        </w:tabs>
        <w:ind w:left="-720" w:right="-720"/>
        <w:jc w:val="both"/>
        <w:rPr>
          <w:rFonts w:ascii="Perpetua Titling MT" w:hAnsi="Perpetua Titling MT"/>
          <w:snapToGrid w:val="0"/>
          <w:sz w:val="20"/>
        </w:rPr>
      </w:pPr>
      <w:r>
        <w:rPr>
          <w:rFonts w:ascii="Perpetua Titling MT" w:hAnsi="Perpetua Titling MT"/>
          <w:snapToGrid w:val="0"/>
          <w:color w:val="000000"/>
        </w:rPr>
        <w:tab/>
      </w:r>
      <w:r w:rsidRPr="004E0AB2">
        <w:rPr>
          <w:rFonts w:ascii="Perpetua" w:hAnsi="Perpetua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</w:p>
    <w:p w:rsidR="00D23E00" w:rsidRDefault="00D23E00" w:rsidP="00D23E00">
      <w:pPr>
        <w:tabs>
          <w:tab w:val="left" w:pos="0"/>
        </w:tabs>
        <w:ind w:left="-720" w:right="-720"/>
        <w:jc w:val="center"/>
        <w:rPr>
          <w:rFonts w:ascii="Perpetua Titling MT" w:hAnsi="Perpetua Titling MT"/>
          <w:snapToGrid w:val="0"/>
          <w:color w:val="000000"/>
        </w:rPr>
      </w:pPr>
      <w:r>
        <w:rPr>
          <w:rFonts w:ascii="Perpetua Titling MT" w:hAnsi="Perpetua Titling MT"/>
          <w:snapToGrid w:val="0"/>
          <w:color w:val="000000"/>
          <w:sz w:val="32"/>
        </w:rPr>
        <w:t xml:space="preserve">SENATOR DONALD C. </w:t>
      </w:r>
      <w:proofErr w:type="spellStart"/>
      <w:r>
        <w:rPr>
          <w:rFonts w:ascii="Perpetua Titling MT" w:hAnsi="Perpetua Titling MT"/>
          <w:snapToGrid w:val="0"/>
          <w:color w:val="000000"/>
          <w:sz w:val="32"/>
        </w:rPr>
        <w:t>olson</w:t>
      </w:r>
      <w:proofErr w:type="spellEnd"/>
    </w:p>
    <w:p w:rsidR="00D23E00" w:rsidRDefault="00D23E00" w:rsidP="00D23E00">
      <w:pPr>
        <w:tabs>
          <w:tab w:val="left" w:pos="0"/>
        </w:tabs>
        <w:ind w:left="-720" w:right="-720"/>
        <w:jc w:val="center"/>
        <w:rPr>
          <w:rFonts w:ascii="Perpetua Titling MT" w:hAnsi="Perpetua Titling M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DDE21" wp14:editId="321F78F2">
                <wp:simplePos x="0" y="0"/>
                <wp:positionH relativeFrom="column">
                  <wp:posOffset>3533776</wp:posOffset>
                </wp:positionH>
                <wp:positionV relativeFrom="paragraph">
                  <wp:posOffset>104775</wp:posOffset>
                </wp:positionV>
                <wp:extent cx="3295650" cy="21291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12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Chair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Community &amp; Regional Affairs</w:t>
                            </w:r>
                          </w:p>
                          <w:p w:rsidR="00D94FDF" w:rsidRPr="00F70DEA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70DEA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Member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Senate Finance Committee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Ethics Committee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Legislative Council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Northern Waters Task Force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Education Funding District Cost Factor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Finance Subcommittee Chair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Fish &amp; Game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Health &amp; Social Services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Public Safety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Finance Subcommittee Member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Environmental Conservation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25pt;margin-top:8.25pt;width:259.5pt;height:167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" stroked="f">
                <v:textbox style="mso-fit-shape-to-text:t">
                  <w:txbxContent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Chair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Community &amp; Regional Affairs</w:t>
                      </w:r>
                    </w:p>
                    <w:p w:rsidR="00D94FDF" w:rsidRPr="00F70DEA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F70DEA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Member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Senate Finance Committee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Ethics Committee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Legislative Council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Northern Waters Task Force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Education Funding District Cost Factor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Finance Subcommittee Chair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Fish &amp; Game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Health &amp; Social Services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Public Safety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Finance Subcommittee Member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Environmental Conservation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3E00" w:rsidRDefault="00EC3B46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87EAC" wp14:editId="00F04536">
                <wp:simplePos x="0" y="0"/>
                <wp:positionH relativeFrom="column">
                  <wp:posOffset>-857250</wp:posOffset>
                </wp:positionH>
                <wp:positionV relativeFrom="paragraph">
                  <wp:posOffset>1905</wp:posOffset>
                </wp:positionV>
                <wp:extent cx="3276600" cy="2219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  <w:t>Session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Alaska State Capitol, Rm. 508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Juneau, AK 99801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 465-3707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Fax: (907) 465-4821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  <w:t>Interim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716 W. 4</w:t>
                            </w: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 xml:space="preserve"> Ave. </w:t>
                            </w:r>
                            <w:proofErr w:type="spellStart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Ste</w:t>
                            </w:r>
                            <w:proofErr w:type="spellEnd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 xml:space="preserve"> 530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Anchorage, AK 99501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 269-0254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Fax:</w:t>
                            </w:r>
                            <w:proofErr w:type="gramEnd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(907)269-2031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Senator_Donny_Olson@legis.state.ak.us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7.5pt;margin-top:.15pt;width:258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mMhQIAABc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" stroked="f">
                <v:textbox>
                  <w:txbxContent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  <w:t>Session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Alaska State Capitol, Rm. 508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Juneau, AK 99801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 465-3707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Fax: (907) 465-4821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  <w:t>Interim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716 W. 4</w:t>
                      </w:r>
                      <w:r w:rsidRPr="004E0AB2">
                        <w:rPr>
                          <w:rFonts w:ascii="Perpetua" w:hAnsi="Perpetua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 xml:space="preserve"> Ave. </w:t>
                      </w:r>
                      <w:proofErr w:type="spellStart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Ste</w:t>
                      </w:r>
                      <w:proofErr w:type="spellEnd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 xml:space="preserve"> 530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Anchorage, AK 99501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 269-0254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proofErr w:type="gramStart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Fax:</w:t>
                      </w:r>
                      <w:proofErr w:type="gramEnd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(907)269-2031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Senator_Donny_Olson@legis.state.ak.us</w:t>
                      </w:r>
                    </w:p>
                  </w:txbxContent>
                </v:textbox>
              </v:shape>
            </w:pict>
          </mc:Fallback>
        </mc:AlternateContent>
      </w: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  <w:r>
        <w:rPr>
          <w:rFonts w:ascii="Arial" w:hAnsi="Arial"/>
          <w:noProof/>
          <w:color w:val="000000"/>
          <w:sz w:val="1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226695</wp:posOffset>
            </wp:positionV>
            <wp:extent cx="1005840" cy="914400"/>
            <wp:effectExtent l="0" t="0" r="3810" b="0"/>
            <wp:wrapNone/>
            <wp:docPr id="1" name="Picture 1" descr="E:\Graphics Docs\TIFF\goodseal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phics Docs\TIFF\goodseal2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  <w:bookmarkStart w:id="0" w:name="_GoBack"/>
    </w:p>
    <w:bookmarkEnd w:id="0"/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</w:pPr>
    </w:p>
    <w:p w:rsidR="00A376F2" w:rsidRDefault="00A376F2"/>
    <w:p w:rsidR="00A376F2" w:rsidRDefault="00A376F2"/>
    <w:p w:rsidR="00A376F2" w:rsidRDefault="00A376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B46">
        <w:tab/>
      </w:r>
    </w:p>
    <w:p w:rsidR="00A376F2" w:rsidRDefault="00A376F2"/>
    <w:p w:rsidR="009E2A04" w:rsidRPr="009E2A04" w:rsidRDefault="009E2A04" w:rsidP="009E2A04">
      <w:pPr>
        <w:jc w:val="center"/>
        <w:rPr>
          <w:b/>
        </w:rPr>
      </w:pPr>
      <w:r w:rsidRPr="009E2A04">
        <w:rPr>
          <w:b/>
        </w:rPr>
        <w:t xml:space="preserve">SB </w:t>
      </w:r>
      <w:proofErr w:type="gramStart"/>
      <w:r w:rsidRPr="009E2A04">
        <w:rPr>
          <w:b/>
        </w:rPr>
        <w:t>226  -</w:t>
      </w:r>
      <w:proofErr w:type="gramEnd"/>
      <w:r w:rsidRPr="009E2A04">
        <w:rPr>
          <w:b/>
        </w:rPr>
        <w:t xml:space="preserve">  PURCHASE &amp; LEASE OF NOME STATE OFFICE BUILDING</w:t>
      </w:r>
    </w:p>
    <w:p w:rsidR="009E2A04" w:rsidRPr="009E2A04" w:rsidRDefault="009E2A04" w:rsidP="009E2A04">
      <w:pPr>
        <w:jc w:val="center"/>
        <w:rPr>
          <w:b/>
        </w:rPr>
      </w:pPr>
      <w:r w:rsidRPr="009E2A04">
        <w:rPr>
          <w:b/>
        </w:rPr>
        <w:t>Sectional Analysis</w:t>
      </w:r>
    </w:p>
    <w:p w:rsidR="009E2A04" w:rsidRPr="009E2A04" w:rsidRDefault="009E2A04" w:rsidP="009E2A04">
      <w:pPr>
        <w:rPr>
          <w:b/>
        </w:rPr>
      </w:pPr>
    </w:p>
    <w:p w:rsidR="009E2A04" w:rsidRPr="009E2A04" w:rsidRDefault="009E2A04" w:rsidP="009E2A04">
      <w:pPr>
        <w:rPr>
          <w:b/>
        </w:rPr>
      </w:pPr>
    </w:p>
    <w:p w:rsidR="009E2A04" w:rsidRPr="009E2A04" w:rsidRDefault="009E2A04" w:rsidP="009E2A04">
      <w:pPr>
        <w:rPr>
          <w:b/>
        </w:rPr>
      </w:pPr>
    </w:p>
    <w:p w:rsidR="009E2A04" w:rsidRPr="009E2A04" w:rsidRDefault="009E2A04" w:rsidP="009E2A04">
      <w:pPr>
        <w:rPr>
          <w:b/>
        </w:rPr>
      </w:pPr>
      <w:r w:rsidRPr="009E2A04">
        <w:rPr>
          <w:b/>
        </w:rPr>
        <w:t>SECTION 1</w:t>
      </w:r>
      <w:r w:rsidRPr="009E2A04">
        <w:rPr>
          <w:b/>
        </w:rPr>
        <w:tab/>
        <w:t>Findings &amp; Purpose.</w:t>
      </w:r>
    </w:p>
    <w:p w:rsidR="009E2A04" w:rsidRPr="009E2A04" w:rsidRDefault="009E2A04" w:rsidP="009E2A04">
      <w:pPr>
        <w:rPr>
          <w:b/>
        </w:rPr>
      </w:pPr>
      <w:r w:rsidRPr="009E2A04">
        <w:rPr>
          <w:b/>
        </w:rPr>
        <w:tab/>
      </w:r>
      <w:r w:rsidRPr="009E2A04">
        <w:rPr>
          <w:b/>
        </w:rPr>
        <w:tab/>
      </w:r>
    </w:p>
    <w:p w:rsidR="009E2A04" w:rsidRPr="009E2A04" w:rsidRDefault="009E2A04" w:rsidP="009E2A04">
      <w:pPr>
        <w:rPr>
          <w:b/>
        </w:rPr>
      </w:pPr>
      <w:r w:rsidRPr="009E2A04">
        <w:rPr>
          <w:b/>
        </w:rPr>
        <w:t>SECTION 2</w:t>
      </w:r>
      <w:r w:rsidRPr="009E2A04">
        <w:rPr>
          <w:b/>
        </w:rPr>
        <w:tab/>
        <w:t>Directs AHFC to finance the purchase of an office building in Nome, from Nome.</w:t>
      </w:r>
    </w:p>
    <w:p w:rsidR="009E2A04" w:rsidRPr="009E2A04" w:rsidRDefault="009E2A04" w:rsidP="009E2A04">
      <w:pPr>
        <w:rPr>
          <w:b/>
        </w:rPr>
      </w:pPr>
    </w:p>
    <w:p w:rsidR="009E2A04" w:rsidRPr="009E2A04" w:rsidRDefault="009E2A04" w:rsidP="009E2A04">
      <w:pPr>
        <w:rPr>
          <w:b/>
        </w:rPr>
      </w:pPr>
      <w:r w:rsidRPr="009E2A04">
        <w:rPr>
          <w:b/>
        </w:rPr>
        <w:t>SECTION 3</w:t>
      </w:r>
      <w:r w:rsidRPr="009E2A04">
        <w:rPr>
          <w:b/>
        </w:rPr>
        <w:tab/>
        <w:t>Directs DOA to enter into a lease-purchase agreement for the building.</w:t>
      </w:r>
    </w:p>
    <w:p w:rsidR="009E2A04" w:rsidRPr="009E2A04" w:rsidRDefault="009E2A04" w:rsidP="009E2A04">
      <w:pPr>
        <w:rPr>
          <w:b/>
        </w:rPr>
      </w:pPr>
    </w:p>
    <w:p w:rsidR="009E2A04" w:rsidRPr="009E2A04" w:rsidRDefault="009E2A04" w:rsidP="009E2A04">
      <w:pPr>
        <w:rPr>
          <w:b/>
        </w:rPr>
      </w:pPr>
      <w:r w:rsidRPr="009E2A04">
        <w:rPr>
          <w:b/>
        </w:rPr>
        <w:t>SECTION 4</w:t>
      </w:r>
      <w:r w:rsidRPr="009E2A04">
        <w:rPr>
          <w:b/>
        </w:rPr>
        <w:tab/>
        <w:t>Legislative approvals of financing &amp; lease-purchase agreement.</w:t>
      </w:r>
    </w:p>
    <w:p w:rsidR="009E2A04" w:rsidRPr="009E2A04" w:rsidRDefault="009E2A04" w:rsidP="009E2A04">
      <w:pPr>
        <w:rPr>
          <w:b/>
        </w:rPr>
      </w:pPr>
    </w:p>
    <w:p w:rsidR="00A376F2" w:rsidRPr="009E2A04" w:rsidRDefault="009E2A04" w:rsidP="009E2A04">
      <w:pPr>
        <w:rPr>
          <w:b/>
        </w:rPr>
      </w:pPr>
      <w:proofErr w:type="gramStart"/>
      <w:r w:rsidRPr="009E2A04">
        <w:rPr>
          <w:b/>
        </w:rPr>
        <w:t>SECTION 5</w:t>
      </w:r>
      <w:r w:rsidRPr="009E2A04">
        <w:rPr>
          <w:b/>
        </w:rPr>
        <w:tab/>
        <w:t>Effective date.</w:t>
      </w:r>
      <w:proofErr w:type="gramEnd"/>
    </w:p>
    <w:sectPr w:rsidR="00A376F2" w:rsidRPr="009E2A04" w:rsidSect="009E2A04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00"/>
    <w:rsid w:val="00043B8B"/>
    <w:rsid w:val="007E207C"/>
    <w:rsid w:val="008321A1"/>
    <w:rsid w:val="009E2A04"/>
    <w:rsid w:val="00A376F2"/>
    <w:rsid w:val="00D23E00"/>
    <w:rsid w:val="00D94FDF"/>
    <w:rsid w:val="00EC3B46"/>
    <w:rsid w:val="00F1287E"/>
    <w:rsid w:val="00F37CFC"/>
    <w:rsid w:val="00F70DEA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3E00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D23E00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3E00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D23E00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E:\Graphics%20Docs\TIFF\goodseal2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2011-10-17T21:20:00Z</cp:lastPrinted>
  <dcterms:created xsi:type="dcterms:W3CDTF">2012-03-30T23:23:00Z</dcterms:created>
  <dcterms:modified xsi:type="dcterms:W3CDTF">2012-03-30T23:23:00Z</dcterms:modified>
</cp:coreProperties>
</file>