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B3AD" w14:textId="09B44680" w:rsidR="008D571B" w:rsidRDefault="003614E2" w:rsidP="00033862">
      <w:r>
        <w:rPr>
          <w:noProof/>
        </w:rPr>
        <w:drawing>
          <wp:anchor distT="0" distB="0" distL="114300" distR="114300" simplePos="0" relativeHeight="251658240" behindDoc="1" locked="0" layoutInCell="1" allowOverlap="1" wp14:anchorId="6F69FD2A" wp14:editId="50487CCF">
            <wp:simplePos x="0" y="0"/>
            <wp:positionH relativeFrom="page">
              <wp:posOffset>-24690</wp:posOffset>
            </wp:positionH>
            <wp:positionV relativeFrom="paragraph">
              <wp:posOffset>-964739</wp:posOffset>
            </wp:positionV>
            <wp:extent cx="7843234" cy="1035431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3234" cy="1035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06B54" w14:textId="0792B5B2" w:rsidR="008D571B" w:rsidRPr="00033862" w:rsidRDefault="00660604" w:rsidP="00FD2762">
      <w:pPr>
        <w:pStyle w:val="Default"/>
        <w:jc w:val="center"/>
        <w:rPr>
          <w:rFonts w:ascii="Crimson Pro" w:hAnsi="Crimson Pro"/>
        </w:rPr>
      </w:pPr>
      <w:r>
        <w:rPr>
          <w:rFonts w:ascii="Crimson Pro" w:hAnsi="Crimson Pro"/>
        </w:rPr>
        <w:t>February 21, 2023</w:t>
      </w:r>
    </w:p>
    <w:p w14:paraId="61E08BE7" w14:textId="4D330F3D" w:rsidR="00A027CC" w:rsidRDefault="00660604" w:rsidP="00A027CC">
      <w:pPr>
        <w:pStyle w:val="Default"/>
        <w:rPr>
          <w:rFonts w:ascii="Crimson Pro" w:hAnsi="Crimson Pro"/>
        </w:rPr>
      </w:pPr>
      <w:r>
        <w:rPr>
          <w:rFonts w:ascii="Crimson Pro" w:hAnsi="Crimson Pro"/>
        </w:rPr>
        <w:t>Senator David Wilson, Chair</w:t>
      </w:r>
    </w:p>
    <w:p w14:paraId="3ADC7A5E" w14:textId="14BD6383" w:rsidR="00660604" w:rsidRDefault="00660604" w:rsidP="00A027CC">
      <w:pPr>
        <w:pStyle w:val="Default"/>
        <w:rPr>
          <w:rFonts w:ascii="Crimson Pro" w:hAnsi="Crimson Pro"/>
        </w:rPr>
      </w:pPr>
      <w:r>
        <w:rPr>
          <w:rFonts w:ascii="Crimson Pro" w:hAnsi="Crimson Pro"/>
        </w:rPr>
        <w:t>Senate Health and Social Services Committee</w:t>
      </w:r>
    </w:p>
    <w:p w14:paraId="54612E73" w14:textId="53B93B38" w:rsidR="008D3F0B" w:rsidRDefault="008D3F0B" w:rsidP="00A027CC">
      <w:pPr>
        <w:pStyle w:val="Default"/>
        <w:rPr>
          <w:rFonts w:ascii="Crimson Pro" w:hAnsi="Crimson Pro"/>
        </w:rPr>
      </w:pPr>
      <w:r>
        <w:rPr>
          <w:rFonts w:ascii="Crimson Pro" w:hAnsi="Crimson Pro"/>
        </w:rPr>
        <w:t>Alaska State Capitol</w:t>
      </w:r>
    </w:p>
    <w:p w14:paraId="0421C2D7" w14:textId="3A563ADF" w:rsidR="008D3F0B" w:rsidRPr="00033862" w:rsidRDefault="008D3F0B" w:rsidP="00A027CC">
      <w:pPr>
        <w:pStyle w:val="Default"/>
        <w:rPr>
          <w:rFonts w:ascii="Crimson Pro" w:hAnsi="Crimson Pro"/>
        </w:rPr>
      </w:pPr>
      <w:r>
        <w:rPr>
          <w:rFonts w:ascii="Crimson Pro" w:hAnsi="Crimson Pro"/>
        </w:rPr>
        <w:t>Juneau, Alaska 99801-4711</w:t>
      </w:r>
    </w:p>
    <w:p w14:paraId="5CDE780F" w14:textId="5DB0C8AA" w:rsidR="00A027CC" w:rsidRPr="00033862" w:rsidRDefault="00A027CC" w:rsidP="00A027CC">
      <w:pPr>
        <w:pStyle w:val="Default"/>
        <w:rPr>
          <w:rFonts w:ascii="Crimson Pro" w:hAnsi="Crimson Pro"/>
        </w:rPr>
      </w:pPr>
    </w:p>
    <w:p w14:paraId="620F0D34" w14:textId="1523D76D" w:rsidR="00A027CC" w:rsidRPr="00033862" w:rsidRDefault="00A027CC" w:rsidP="00A027CC">
      <w:pPr>
        <w:pStyle w:val="Default"/>
        <w:rPr>
          <w:rFonts w:ascii="Crimson Pro" w:hAnsi="Crimson Pro"/>
        </w:rPr>
      </w:pPr>
      <w:r w:rsidRPr="00033862">
        <w:rPr>
          <w:rFonts w:ascii="Crimson Pro" w:hAnsi="Crimson Pro"/>
        </w:rPr>
        <w:t xml:space="preserve">Dear </w:t>
      </w:r>
      <w:r w:rsidR="008D3F0B">
        <w:rPr>
          <w:rFonts w:ascii="Crimson Pro" w:hAnsi="Crimson Pro"/>
        </w:rPr>
        <w:t xml:space="preserve">Senator </w:t>
      </w:r>
      <w:r w:rsidR="00660604">
        <w:rPr>
          <w:rFonts w:ascii="Crimson Pro" w:hAnsi="Crimson Pro"/>
        </w:rPr>
        <w:t>Wilson</w:t>
      </w:r>
      <w:r w:rsidR="008D3F0B">
        <w:rPr>
          <w:rFonts w:ascii="Crimson Pro" w:hAnsi="Crimson Pro"/>
        </w:rPr>
        <w:t xml:space="preserve"> and members of the Senate </w:t>
      </w:r>
      <w:r w:rsidR="00660604">
        <w:rPr>
          <w:rFonts w:ascii="Crimson Pro" w:hAnsi="Crimson Pro"/>
        </w:rPr>
        <w:t>Health and Social Services</w:t>
      </w:r>
      <w:r w:rsidR="008D3F0B">
        <w:rPr>
          <w:rFonts w:ascii="Crimson Pro" w:hAnsi="Crimson Pro"/>
        </w:rPr>
        <w:t xml:space="preserve"> Committee</w:t>
      </w:r>
      <w:r w:rsidRPr="00033862">
        <w:rPr>
          <w:rFonts w:ascii="Crimson Pro" w:hAnsi="Crimson Pro"/>
        </w:rPr>
        <w:t>:</w:t>
      </w:r>
    </w:p>
    <w:p w14:paraId="348FDB3F" w14:textId="0DDAC7D2" w:rsidR="00A027CC" w:rsidRPr="00033862" w:rsidRDefault="00A027CC" w:rsidP="00A027CC">
      <w:pPr>
        <w:pStyle w:val="Default"/>
        <w:rPr>
          <w:rFonts w:ascii="Crimson Pro" w:hAnsi="Crimson Pro"/>
        </w:rPr>
      </w:pPr>
    </w:p>
    <w:p w14:paraId="75C65A37" w14:textId="03E97A3B" w:rsidR="008D571B" w:rsidRPr="00033862" w:rsidRDefault="00A027CC" w:rsidP="008D571B">
      <w:pPr>
        <w:pStyle w:val="Default"/>
        <w:rPr>
          <w:rFonts w:ascii="Crimson Pro" w:hAnsi="Crimson Pro"/>
        </w:rPr>
      </w:pPr>
      <w:r w:rsidRPr="00033862">
        <w:rPr>
          <w:rFonts w:ascii="Crimson Pro" w:hAnsi="Crimson Pro"/>
        </w:rPr>
        <w:t xml:space="preserve">My name is Jeffrey A. Singer. I am a Senior Fellow in Health Policy Studies at the Cato Institute. I am also a medical doctor </w:t>
      </w:r>
      <w:r w:rsidR="008D571B" w:rsidRPr="00033862">
        <w:rPr>
          <w:rFonts w:ascii="Crimson Pro" w:hAnsi="Crimson Pro"/>
        </w:rPr>
        <w:t>specializing in general surgery and have been practicing that specialty in Phoenix, Arizona</w:t>
      </w:r>
      <w:r w:rsidR="00F71F78">
        <w:rPr>
          <w:rFonts w:ascii="Crimson Pro" w:hAnsi="Crimson Pro"/>
        </w:rPr>
        <w:t>,</w:t>
      </w:r>
      <w:r w:rsidR="008D571B" w:rsidRPr="00033862">
        <w:rPr>
          <w:rFonts w:ascii="Crimson Pro" w:hAnsi="Crimson Pro"/>
        </w:rPr>
        <w:t xml:space="preserve"> for over </w:t>
      </w:r>
      <w:r w:rsidR="00660604">
        <w:rPr>
          <w:rFonts w:ascii="Crimson Pro" w:hAnsi="Crimson Pro"/>
        </w:rPr>
        <w:t>40</w:t>
      </w:r>
      <w:r w:rsidR="008D571B" w:rsidRPr="00033862">
        <w:rPr>
          <w:rFonts w:ascii="Crimson Pro" w:hAnsi="Crimson Pro"/>
        </w:rPr>
        <w:t xml:space="preserve"> years. </w:t>
      </w:r>
      <w:r w:rsidR="00A62EBB">
        <w:rPr>
          <w:rFonts w:ascii="Crimson Pro" w:hAnsi="Crimson Pro"/>
        </w:rPr>
        <w:t>Thank</w:t>
      </w:r>
      <w:r w:rsidR="008D571B" w:rsidRPr="00033862">
        <w:rPr>
          <w:rFonts w:ascii="Crimson Pro" w:hAnsi="Crimson Pro"/>
        </w:rPr>
        <w:t xml:space="preserve"> </w:t>
      </w:r>
      <w:r w:rsidR="008D3F0B">
        <w:rPr>
          <w:rFonts w:ascii="Crimson Pro" w:hAnsi="Crimson Pro"/>
        </w:rPr>
        <w:t xml:space="preserve">you for </w:t>
      </w:r>
      <w:r w:rsidR="00F71F78">
        <w:rPr>
          <w:rFonts w:ascii="Crimson Pro" w:hAnsi="Crimson Pro"/>
        </w:rPr>
        <w:t>allowing me</w:t>
      </w:r>
      <w:r w:rsidR="008D3F0B">
        <w:rPr>
          <w:rFonts w:ascii="Crimson Pro" w:hAnsi="Crimson Pro"/>
        </w:rPr>
        <w:t xml:space="preserve"> to testify before the Senate </w:t>
      </w:r>
      <w:r w:rsidR="00660604">
        <w:rPr>
          <w:rFonts w:ascii="Crimson Pro" w:hAnsi="Crimson Pro"/>
        </w:rPr>
        <w:t xml:space="preserve">Health and Social Services </w:t>
      </w:r>
      <w:r w:rsidR="008D3F0B">
        <w:rPr>
          <w:rFonts w:ascii="Crimson Pro" w:hAnsi="Crimson Pro"/>
        </w:rPr>
        <w:t xml:space="preserve">Committee regarding SB </w:t>
      </w:r>
      <w:r w:rsidR="00660604">
        <w:rPr>
          <w:rFonts w:ascii="Crimson Pro" w:hAnsi="Crimson Pro"/>
        </w:rPr>
        <w:t>8</w:t>
      </w:r>
      <w:r w:rsidR="008D3F0B">
        <w:rPr>
          <w:rFonts w:ascii="Crimson Pro" w:hAnsi="Crimson Pro"/>
        </w:rPr>
        <w:t>, which seeks to repeal health care Certificate of Need requirements.</w:t>
      </w:r>
      <w:r w:rsidR="008D571B" w:rsidRPr="00033862">
        <w:rPr>
          <w:rFonts w:ascii="Crimson Pro" w:hAnsi="Crimson Pro"/>
        </w:rPr>
        <w:t xml:space="preserve"> I appreciate th</w:t>
      </w:r>
      <w:r w:rsidR="00993555" w:rsidRPr="00033862">
        <w:rPr>
          <w:rFonts w:ascii="Crimson Pro" w:hAnsi="Crimson Pro"/>
        </w:rPr>
        <w:t>is</w:t>
      </w:r>
      <w:r w:rsidR="008D571B" w:rsidRPr="00033862">
        <w:rPr>
          <w:rFonts w:ascii="Crimson Pro" w:hAnsi="Crimson Pro"/>
        </w:rPr>
        <w:t xml:space="preserve"> opportunity to provide my perspective as a health care practitioner and policy analyst to assist this committee in </w:t>
      </w:r>
      <w:r w:rsidR="00A62EBB">
        <w:rPr>
          <w:rFonts w:ascii="Crimson Pro" w:hAnsi="Crimson Pro"/>
        </w:rPr>
        <w:t>assessing</w:t>
      </w:r>
      <w:r w:rsidR="008D571B" w:rsidRPr="00033862">
        <w:rPr>
          <w:rFonts w:ascii="Crimson Pro" w:hAnsi="Crimson Pro"/>
        </w:rPr>
        <w:t xml:space="preserve"> existing policies</w:t>
      </w:r>
      <w:r w:rsidR="003A6FFE">
        <w:rPr>
          <w:rFonts w:ascii="Crimson Pro" w:hAnsi="Crimson Pro"/>
        </w:rPr>
        <w:t>.</w:t>
      </w:r>
    </w:p>
    <w:p w14:paraId="20CDE41E" w14:textId="77777777" w:rsidR="00660604" w:rsidRDefault="00660604" w:rsidP="00DF58D7">
      <w:pPr>
        <w:rPr>
          <w:rFonts w:ascii="Crimson Pro" w:hAnsi="Crimson Pro"/>
          <w:sz w:val="24"/>
          <w:szCs w:val="24"/>
          <w:shd w:val="clear" w:color="auto" w:fill="FFFFFF"/>
        </w:rPr>
      </w:pPr>
    </w:p>
    <w:p w14:paraId="4F7D6A63" w14:textId="29C8A1D3" w:rsidR="00DF58D7" w:rsidRDefault="00660604" w:rsidP="00DF58D7">
      <w:pPr>
        <w:rPr>
          <w:rFonts w:ascii="Crimson Pro" w:hAnsi="Crimson Pro"/>
          <w:color w:val="000000" w:themeColor="text1"/>
          <w:sz w:val="24"/>
          <w:szCs w:val="24"/>
          <w:shd w:val="clear" w:color="auto" w:fill="FFFFFF"/>
        </w:rPr>
      </w:pPr>
      <w:r>
        <w:rPr>
          <w:rFonts w:ascii="Crimson Pro" w:hAnsi="Crimson Pro"/>
          <w:sz w:val="24"/>
          <w:szCs w:val="24"/>
          <w:shd w:val="clear" w:color="auto" w:fill="FFFFFF"/>
        </w:rPr>
        <w:t xml:space="preserve">Roughly </w:t>
      </w:r>
      <w:r w:rsidR="00F71F78">
        <w:rPr>
          <w:rFonts w:ascii="Crimson Pro" w:hAnsi="Crimson Pro"/>
          <w:sz w:val="24"/>
          <w:szCs w:val="24"/>
          <w:shd w:val="clear" w:color="auto" w:fill="FFFFFF"/>
        </w:rPr>
        <w:t>four</w:t>
      </w:r>
      <w:r w:rsidR="00DF58D7" w:rsidRPr="00033862">
        <w:rPr>
          <w:rFonts w:ascii="Crimson Pro" w:hAnsi="Crimson Pro"/>
          <w:sz w:val="24"/>
          <w:szCs w:val="24"/>
          <w:shd w:val="clear" w:color="auto" w:fill="FFFFFF"/>
        </w:rPr>
        <w:t xml:space="preserve"> decades </w:t>
      </w:r>
      <w:r w:rsidR="005C22A0" w:rsidRPr="00033862">
        <w:rPr>
          <w:rFonts w:ascii="Crimson Pro" w:hAnsi="Crimson Pro"/>
          <w:sz w:val="24"/>
          <w:szCs w:val="24"/>
          <w:shd w:val="clear" w:color="auto" w:fill="FFFFFF"/>
        </w:rPr>
        <w:t>since</w:t>
      </w:r>
      <w:r w:rsidR="00DF58D7" w:rsidRPr="00033862">
        <w:rPr>
          <w:rFonts w:ascii="Crimson Pro" w:hAnsi="Crimson Pro"/>
          <w:sz w:val="24"/>
          <w:szCs w:val="24"/>
          <w:shd w:val="clear" w:color="auto" w:fill="FFFFFF"/>
        </w:rPr>
        <w:t xml:space="preserve"> </w:t>
      </w:r>
      <w:r w:rsidR="00F71F78">
        <w:rPr>
          <w:rFonts w:ascii="Crimson Pro" w:hAnsi="Crimson Pro"/>
          <w:sz w:val="24"/>
          <w:szCs w:val="24"/>
          <w:shd w:val="clear" w:color="auto" w:fill="FFFFFF"/>
        </w:rPr>
        <w:t xml:space="preserve">the </w:t>
      </w:r>
      <w:r w:rsidR="00DF58D7" w:rsidRPr="00033862">
        <w:rPr>
          <w:rFonts w:ascii="Crimson Pro" w:hAnsi="Crimson Pro"/>
          <w:sz w:val="24"/>
          <w:szCs w:val="24"/>
          <w:shd w:val="clear" w:color="auto" w:fill="FFFFFF"/>
        </w:rPr>
        <w:t>repeal of the 1974 federal law that incentivized states to establish “Certificate of Need” (CON) requirements before new health care facilities can develop</w:t>
      </w:r>
      <w:r w:rsidR="000C59B4">
        <w:rPr>
          <w:rFonts w:ascii="Crimson Pro" w:hAnsi="Crimson Pro"/>
          <w:sz w:val="24"/>
          <w:szCs w:val="24"/>
          <w:shd w:val="clear" w:color="auto" w:fill="FFFFFF"/>
        </w:rPr>
        <w:t>—</w:t>
      </w:r>
      <w:r w:rsidR="00364CBA" w:rsidRPr="00033862">
        <w:rPr>
          <w:rFonts w:ascii="Crimson Pro" w:hAnsi="Crimson Pro"/>
          <w:sz w:val="24"/>
          <w:szCs w:val="24"/>
          <w:shd w:val="clear" w:color="auto" w:fill="FFFFFF"/>
        </w:rPr>
        <w:t>or</w:t>
      </w:r>
      <w:r w:rsidR="00DF58D7" w:rsidRPr="00033862">
        <w:rPr>
          <w:rFonts w:ascii="Crimson Pro" w:hAnsi="Crimson Pro"/>
          <w:sz w:val="24"/>
          <w:szCs w:val="24"/>
          <w:shd w:val="clear" w:color="auto" w:fill="FFFFFF"/>
        </w:rPr>
        <w:t xml:space="preserve"> </w:t>
      </w:r>
      <w:r w:rsidR="00DF58D7" w:rsidRPr="00033862">
        <w:rPr>
          <w:rFonts w:ascii="Crimson Pro" w:hAnsi="Crimson Pro"/>
          <w:color w:val="000000" w:themeColor="text1"/>
          <w:sz w:val="24"/>
          <w:szCs w:val="24"/>
          <w:shd w:val="clear" w:color="auto" w:fill="FFFFFF"/>
        </w:rPr>
        <w:t>existing ones can add beds or equipment</w:t>
      </w:r>
      <w:r w:rsidR="000C59B4">
        <w:rPr>
          <w:rFonts w:ascii="Crimson Pro" w:hAnsi="Crimson Pro"/>
          <w:color w:val="000000" w:themeColor="text1"/>
          <w:sz w:val="24"/>
          <w:szCs w:val="24"/>
          <w:shd w:val="clear" w:color="auto" w:fill="FFFFFF"/>
        </w:rPr>
        <w:t>—</w:t>
      </w:r>
      <w:r w:rsidR="005C22A0" w:rsidRPr="00033862">
        <w:rPr>
          <w:rFonts w:ascii="Crimson Pro" w:hAnsi="Crimson Pro"/>
          <w:color w:val="000000" w:themeColor="text1"/>
          <w:sz w:val="24"/>
          <w:szCs w:val="24"/>
          <w:shd w:val="clear" w:color="auto" w:fill="FFFFFF"/>
        </w:rPr>
        <w:t>CON</w:t>
      </w:r>
      <w:r w:rsidR="00DF58D7" w:rsidRPr="00033862">
        <w:rPr>
          <w:rFonts w:ascii="Crimson Pro" w:hAnsi="Crimson Pro"/>
          <w:color w:val="000000" w:themeColor="text1"/>
          <w:sz w:val="24"/>
          <w:szCs w:val="24"/>
          <w:shd w:val="clear" w:color="auto" w:fill="FFFFFF"/>
        </w:rPr>
        <w:t xml:space="preserve"> requirements </w:t>
      </w:r>
      <w:r w:rsidR="00FB02BD" w:rsidRPr="00033862">
        <w:rPr>
          <w:rFonts w:ascii="Crimson Pro" w:hAnsi="Crimson Pro"/>
          <w:color w:val="000000" w:themeColor="text1"/>
          <w:sz w:val="24"/>
          <w:szCs w:val="24"/>
          <w:shd w:val="clear" w:color="auto" w:fill="FFFFFF"/>
        </w:rPr>
        <w:t xml:space="preserve">still </w:t>
      </w:r>
      <w:r w:rsidR="00DF58D7" w:rsidRPr="00033862">
        <w:rPr>
          <w:rFonts w:ascii="Crimson Pro" w:hAnsi="Crimson Pro"/>
          <w:color w:val="000000" w:themeColor="text1"/>
          <w:sz w:val="24"/>
          <w:szCs w:val="24"/>
          <w:shd w:val="clear" w:color="auto" w:fill="FFFFFF"/>
        </w:rPr>
        <w:t>exist to varying degrees in 3</w:t>
      </w:r>
      <w:r>
        <w:rPr>
          <w:rFonts w:ascii="Crimson Pro" w:hAnsi="Crimson Pro"/>
          <w:color w:val="000000" w:themeColor="text1"/>
          <w:sz w:val="24"/>
          <w:szCs w:val="24"/>
          <w:shd w:val="clear" w:color="auto" w:fill="FFFFFF"/>
        </w:rPr>
        <w:t>5</w:t>
      </w:r>
      <w:r w:rsidR="00DF58D7" w:rsidRPr="00033862">
        <w:rPr>
          <w:rFonts w:ascii="Crimson Pro" w:hAnsi="Crimson Pro"/>
          <w:color w:val="000000" w:themeColor="text1"/>
          <w:sz w:val="24"/>
          <w:szCs w:val="24"/>
          <w:shd w:val="clear" w:color="auto" w:fill="FFFFFF"/>
        </w:rPr>
        <w:t xml:space="preserve"> states.</w:t>
      </w:r>
      <w:r w:rsidR="00C075C2" w:rsidRPr="00033862">
        <w:rPr>
          <w:rFonts w:ascii="Crimson Pro" w:hAnsi="Crimson Pro"/>
          <w:color w:val="000000" w:themeColor="text1"/>
          <w:sz w:val="24"/>
          <w:szCs w:val="24"/>
          <w:shd w:val="clear" w:color="auto" w:fill="FFFFFF"/>
        </w:rPr>
        <w:t xml:space="preserve"> </w:t>
      </w:r>
      <w:r w:rsidR="008D3F0B">
        <w:rPr>
          <w:rFonts w:ascii="Crimson Pro" w:hAnsi="Crimson Pro"/>
          <w:color w:val="000000" w:themeColor="text1"/>
          <w:sz w:val="24"/>
          <w:szCs w:val="24"/>
          <w:shd w:val="clear" w:color="auto" w:fill="FFFFFF"/>
        </w:rPr>
        <w:t xml:space="preserve">A classic example of </w:t>
      </w:r>
      <w:r w:rsidR="008D3F0B" w:rsidRPr="000C59B4">
        <w:rPr>
          <w:rFonts w:ascii="Crimson Pro" w:hAnsi="Crimson Pro"/>
          <w:color w:val="000000" w:themeColor="text1"/>
          <w:sz w:val="24"/>
          <w:szCs w:val="24"/>
          <w:shd w:val="clear" w:color="auto" w:fill="FFFFFF"/>
        </w:rPr>
        <w:t>central planning</w:t>
      </w:r>
      <w:r w:rsidR="008D3F0B">
        <w:rPr>
          <w:rFonts w:ascii="Crimson Pro" w:hAnsi="Crimson Pro"/>
          <w:color w:val="000000" w:themeColor="text1"/>
          <w:sz w:val="24"/>
          <w:szCs w:val="24"/>
          <w:shd w:val="clear" w:color="auto" w:fill="FFFFFF"/>
        </w:rPr>
        <w:t xml:space="preserve">, </w:t>
      </w:r>
      <w:r w:rsidR="00C075C2" w:rsidRPr="00033862">
        <w:rPr>
          <w:rFonts w:ascii="Crimson Pro" w:hAnsi="Crimson Pro"/>
          <w:color w:val="000000" w:themeColor="text1"/>
          <w:sz w:val="24"/>
          <w:szCs w:val="24"/>
          <w:shd w:val="clear" w:color="auto" w:fill="FFFFFF"/>
        </w:rPr>
        <w:t>CON commissions are heavily influenced by incumbent health care providers.</w:t>
      </w:r>
      <w:r w:rsidR="00DF58D7" w:rsidRPr="00033862">
        <w:rPr>
          <w:rFonts w:ascii="Crimson Pro" w:hAnsi="Crimson Pro"/>
          <w:color w:val="000000" w:themeColor="text1"/>
          <w:sz w:val="24"/>
          <w:szCs w:val="24"/>
          <w:shd w:val="clear" w:color="auto" w:fill="FFFFFF"/>
        </w:rPr>
        <w:t xml:space="preserve"> Attempts to reform or repeal them are often met by fierce resistance from</w:t>
      </w:r>
      <w:r w:rsidR="00C075C2" w:rsidRPr="00033862">
        <w:rPr>
          <w:rFonts w:ascii="Crimson Pro" w:hAnsi="Crimson Pro"/>
          <w:color w:val="000000" w:themeColor="text1"/>
          <w:sz w:val="24"/>
          <w:szCs w:val="24"/>
          <w:shd w:val="clear" w:color="auto" w:fill="FFFFFF"/>
        </w:rPr>
        <w:t xml:space="preserve"> the</w:t>
      </w:r>
      <w:r w:rsidR="00DF58D7" w:rsidRPr="00033862">
        <w:rPr>
          <w:rFonts w:ascii="Crimson Pro" w:hAnsi="Crimson Pro"/>
          <w:color w:val="000000" w:themeColor="text1"/>
          <w:sz w:val="24"/>
          <w:szCs w:val="24"/>
          <w:shd w:val="clear" w:color="auto" w:fill="FFFFFF"/>
        </w:rPr>
        <w:t xml:space="preserve"> incumbents who try to make the case that they only have the interests of the general public in mind. CON laws render state health care systems sclerotic and unable to rapidly adjust t</w:t>
      </w:r>
      <w:r w:rsidR="00D87B95" w:rsidRPr="00033862">
        <w:rPr>
          <w:rFonts w:ascii="Crimson Pro" w:hAnsi="Crimson Pro"/>
          <w:color w:val="000000" w:themeColor="text1"/>
          <w:sz w:val="24"/>
          <w:szCs w:val="24"/>
          <w:shd w:val="clear" w:color="auto" w:fill="FFFFFF"/>
        </w:rPr>
        <w:t>heir infrastructure to meet the</w:t>
      </w:r>
      <w:r w:rsidR="005C22A0" w:rsidRPr="00033862">
        <w:rPr>
          <w:rFonts w:ascii="Crimson Pro" w:hAnsi="Crimson Pro"/>
          <w:color w:val="000000" w:themeColor="text1"/>
          <w:sz w:val="24"/>
          <w:szCs w:val="24"/>
          <w:shd w:val="clear" w:color="auto" w:fill="FFFFFF"/>
        </w:rPr>
        <w:t xml:space="preserve"> changing</w:t>
      </w:r>
      <w:r w:rsidR="00D87B95" w:rsidRPr="00033862">
        <w:rPr>
          <w:rFonts w:ascii="Crimson Pro" w:hAnsi="Crimson Pro"/>
          <w:color w:val="000000" w:themeColor="text1"/>
          <w:sz w:val="24"/>
          <w:szCs w:val="24"/>
          <w:shd w:val="clear" w:color="auto" w:fill="FFFFFF"/>
        </w:rPr>
        <w:t xml:space="preserve"> demands of public health emergencies. Many governors suspended CON laws during the public health emergency. </w:t>
      </w:r>
      <w:r w:rsidR="00F71F78">
        <w:rPr>
          <w:rFonts w:ascii="Crimson Pro" w:hAnsi="Crimson Pro"/>
          <w:color w:val="000000" w:themeColor="text1"/>
          <w:sz w:val="24"/>
          <w:szCs w:val="24"/>
          <w:shd w:val="clear" w:color="auto" w:fill="FFFFFF"/>
        </w:rPr>
        <w:t xml:space="preserve">State legislators should formally repeal the CON laws in those states and those where they </w:t>
      </w:r>
      <w:proofErr w:type="gramStart"/>
      <w:r w:rsidR="00F71F78">
        <w:rPr>
          <w:rFonts w:ascii="Crimson Pro" w:hAnsi="Crimson Pro"/>
          <w:color w:val="000000" w:themeColor="text1"/>
          <w:sz w:val="24"/>
          <w:szCs w:val="24"/>
          <w:shd w:val="clear" w:color="auto" w:fill="FFFFFF"/>
        </w:rPr>
        <w:t>were not suspended</w:t>
      </w:r>
      <w:proofErr w:type="gramEnd"/>
      <w:r w:rsidR="00D87B95" w:rsidRPr="00033862">
        <w:rPr>
          <w:rFonts w:ascii="Crimson Pro" w:hAnsi="Crimson Pro"/>
          <w:color w:val="000000" w:themeColor="text1"/>
          <w:sz w:val="24"/>
          <w:szCs w:val="24"/>
          <w:shd w:val="clear" w:color="auto" w:fill="FFFFFF"/>
        </w:rPr>
        <w:t>.</w:t>
      </w:r>
      <w:r w:rsidR="009812A9">
        <w:rPr>
          <w:rStyle w:val="EndnoteReference"/>
          <w:rFonts w:ascii="Crimson Pro" w:hAnsi="Crimson Pro"/>
          <w:color w:val="000000" w:themeColor="text1"/>
          <w:sz w:val="24"/>
          <w:szCs w:val="24"/>
          <w:shd w:val="clear" w:color="auto" w:fill="FFFFFF"/>
        </w:rPr>
        <w:endnoteReference w:id="1"/>
      </w:r>
    </w:p>
    <w:p w14:paraId="147EBE94" w14:textId="5D61E751" w:rsidR="00660604" w:rsidRDefault="00660604" w:rsidP="00DF58D7">
      <w:pPr>
        <w:rPr>
          <w:rFonts w:ascii="Crimson Pro" w:hAnsi="Crimson Pro"/>
          <w:color w:val="000000" w:themeColor="text1"/>
          <w:sz w:val="24"/>
          <w:szCs w:val="24"/>
          <w:shd w:val="clear" w:color="auto" w:fill="FFFFFF"/>
        </w:rPr>
      </w:pPr>
    </w:p>
    <w:p w14:paraId="0FF3E712" w14:textId="303FBAEF" w:rsidR="00660604" w:rsidRDefault="00F87836"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Lawmakers enacted </w:t>
      </w:r>
      <w:r w:rsidR="00660604">
        <w:rPr>
          <w:rFonts w:ascii="Crimson Pro" w:hAnsi="Crimson Pro"/>
          <w:color w:val="000000" w:themeColor="text1"/>
          <w:sz w:val="24"/>
          <w:szCs w:val="24"/>
          <w:shd w:val="clear" w:color="auto" w:fill="FFFFFF"/>
        </w:rPr>
        <w:t xml:space="preserve">Certificate of Need Laws </w:t>
      </w:r>
      <w:r>
        <w:rPr>
          <w:rFonts w:ascii="Crimson Pro" w:hAnsi="Crimson Pro"/>
          <w:color w:val="000000" w:themeColor="text1"/>
          <w:sz w:val="24"/>
          <w:szCs w:val="24"/>
          <w:shd w:val="clear" w:color="auto" w:fill="FFFFFF"/>
        </w:rPr>
        <w:t>based</w:t>
      </w:r>
      <w:r w:rsidR="00660604">
        <w:rPr>
          <w:rFonts w:ascii="Crimson Pro" w:hAnsi="Crimson Pro"/>
          <w:color w:val="000000" w:themeColor="text1"/>
          <w:sz w:val="24"/>
          <w:szCs w:val="24"/>
          <w:shd w:val="clear" w:color="auto" w:fill="FFFFFF"/>
        </w:rPr>
        <w:t xml:space="preserve"> on the theory that restricting </w:t>
      </w:r>
      <w:r>
        <w:rPr>
          <w:rFonts w:ascii="Crimson Pro" w:hAnsi="Crimson Pro"/>
          <w:color w:val="000000" w:themeColor="text1"/>
          <w:sz w:val="24"/>
          <w:szCs w:val="24"/>
          <w:shd w:val="clear" w:color="auto" w:fill="FFFFFF"/>
        </w:rPr>
        <w:t xml:space="preserve">the </w:t>
      </w:r>
      <w:r w:rsidR="00660604">
        <w:rPr>
          <w:rFonts w:ascii="Crimson Pro" w:hAnsi="Crimson Pro"/>
          <w:color w:val="000000" w:themeColor="text1"/>
          <w:sz w:val="24"/>
          <w:szCs w:val="24"/>
          <w:shd w:val="clear" w:color="auto" w:fill="FFFFFF"/>
        </w:rPr>
        <w:t xml:space="preserve">supply </w:t>
      </w:r>
      <w:r>
        <w:rPr>
          <w:rFonts w:ascii="Crimson Pro" w:hAnsi="Crimson Pro"/>
          <w:color w:val="000000" w:themeColor="text1"/>
          <w:sz w:val="24"/>
          <w:szCs w:val="24"/>
          <w:shd w:val="clear" w:color="auto" w:fill="FFFFFF"/>
        </w:rPr>
        <w:t>of</w:t>
      </w:r>
      <w:r w:rsidR="00660604">
        <w:rPr>
          <w:rFonts w:ascii="Crimson Pro" w:hAnsi="Crimson Pro"/>
          <w:color w:val="000000" w:themeColor="text1"/>
          <w:sz w:val="24"/>
          <w:szCs w:val="24"/>
          <w:shd w:val="clear" w:color="auto" w:fill="FFFFFF"/>
        </w:rPr>
        <w:t xml:space="preserve"> health care services would somehow reduce demand for those services and thus restrain health care spending. However, policymakers </w:t>
      </w:r>
      <w:r w:rsidR="00F71F78">
        <w:rPr>
          <w:rFonts w:ascii="Crimson Pro" w:hAnsi="Crimson Pro"/>
          <w:color w:val="000000" w:themeColor="text1"/>
          <w:sz w:val="24"/>
          <w:szCs w:val="24"/>
          <w:shd w:val="clear" w:color="auto" w:fill="FFFFFF"/>
        </w:rPr>
        <w:t>should have noticed</w:t>
      </w:r>
      <w:r w:rsidR="00660604">
        <w:rPr>
          <w:rFonts w:ascii="Crimson Pro" w:hAnsi="Crimson Pro"/>
          <w:color w:val="000000" w:themeColor="text1"/>
          <w:sz w:val="24"/>
          <w:szCs w:val="24"/>
          <w:shd w:val="clear" w:color="auto" w:fill="FFFFFF"/>
        </w:rPr>
        <w:t xml:space="preserve"> </w:t>
      </w:r>
      <w:r w:rsidR="00F71F78">
        <w:rPr>
          <w:rFonts w:ascii="Crimson Pro" w:hAnsi="Crimson Pro"/>
          <w:color w:val="000000" w:themeColor="text1"/>
          <w:sz w:val="24"/>
          <w:szCs w:val="24"/>
          <w:shd w:val="clear" w:color="auto" w:fill="FFFFFF"/>
        </w:rPr>
        <w:t xml:space="preserve">that third-party payers, </w:t>
      </w:r>
      <w:r w:rsidR="00660604">
        <w:rPr>
          <w:rFonts w:ascii="Crimson Pro" w:hAnsi="Crimson Pro"/>
          <w:color w:val="000000" w:themeColor="text1"/>
          <w:sz w:val="24"/>
          <w:szCs w:val="24"/>
          <w:shd w:val="clear" w:color="auto" w:fill="FFFFFF"/>
        </w:rPr>
        <w:t xml:space="preserve">private or government-run, pay for most health care services. This insulates most patients from the </w:t>
      </w:r>
      <w:r w:rsidR="00F71F78">
        <w:rPr>
          <w:rFonts w:ascii="Crimson Pro" w:hAnsi="Crimson Pro"/>
          <w:color w:val="000000" w:themeColor="text1"/>
          <w:sz w:val="24"/>
          <w:szCs w:val="24"/>
          <w:shd w:val="clear" w:color="auto" w:fill="FFFFFF"/>
        </w:rPr>
        <w:t>actual</w:t>
      </w:r>
      <w:r w:rsidR="00660604">
        <w:rPr>
          <w:rFonts w:ascii="Crimson Pro" w:hAnsi="Crimson Pro"/>
          <w:color w:val="000000" w:themeColor="text1"/>
          <w:sz w:val="24"/>
          <w:szCs w:val="24"/>
          <w:shd w:val="clear" w:color="auto" w:fill="FFFFFF"/>
        </w:rPr>
        <w:t xml:space="preserve"> prices of health care services, while the third-party payers absorb the costs. Consumer</w:t>
      </w:r>
      <w:r w:rsidR="009812A9">
        <w:rPr>
          <w:rFonts w:ascii="Crimson Pro" w:hAnsi="Crimson Pro"/>
          <w:color w:val="000000" w:themeColor="text1"/>
          <w:sz w:val="24"/>
          <w:szCs w:val="24"/>
          <w:shd w:val="clear" w:color="auto" w:fill="FFFFFF"/>
        </w:rPr>
        <w:t>-</w:t>
      </w:r>
      <w:r w:rsidR="00660604">
        <w:rPr>
          <w:rFonts w:ascii="Crimson Pro" w:hAnsi="Crimson Pro"/>
          <w:color w:val="000000" w:themeColor="text1"/>
          <w:sz w:val="24"/>
          <w:szCs w:val="24"/>
          <w:shd w:val="clear" w:color="auto" w:fill="FFFFFF"/>
        </w:rPr>
        <w:t xml:space="preserve">patients with </w:t>
      </w:r>
      <w:r>
        <w:rPr>
          <w:rFonts w:ascii="Crimson Pro" w:hAnsi="Crimson Pro"/>
          <w:color w:val="000000" w:themeColor="text1"/>
          <w:sz w:val="24"/>
          <w:szCs w:val="24"/>
          <w:shd w:val="clear" w:color="auto" w:fill="FFFFFF"/>
        </w:rPr>
        <w:t xml:space="preserve">little skin in the game have no incentive to be cost-effective. When price signals are inoperative, demand continues despite restrictions in supply. Shortages inevitably develop while prices paid by third-party payers increase at a greater rate than would have otherwise occurred. This is basic economics. </w:t>
      </w:r>
    </w:p>
    <w:p w14:paraId="0903F4DC" w14:textId="77D53FF6" w:rsidR="009812A9" w:rsidRDefault="009812A9" w:rsidP="00DF58D7">
      <w:pPr>
        <w:rPr>
          <w:rFonts w:ascii="Crimson Pro" w:hAnsi="Crimson Pro"/>
          <w:color w:val="000000" w:themeColor="text1"/>
          <w:sz w:val="24"/>
          <w:szCs w:val="24"/>
          <w:shd w:val="clear" w:color="auto" w:fill="FFFFFF"/>
        </w:rPr>
      </w:pPr>
    </w:p>
    <w:p w14:paraId="414BD373" w14:textId="5EF0641E" w:rsidR="00F71F78" w:rsidRDefault="009812A9" w:rsidP="00F71F78">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The only way to reduce health care expenditures </w:t>
      </w:r>
      <w:r w:rsidR="00F71F78">
        <w:rPr>
          <w:rFonts w:ascii="Crimson Pro" w:hAnsi="Crimson Pro"/>
          <w:color w:val="000000" w:themeColor="text1"/>
          <w:sz w:val="24"/>
          <w:szCs w:val="24"/>
          <w:shd w:val="clear" w:color="auto" w:fill="FFFFFF"/>
        </w:rPr>
        <w:t>when health</w:t>
      </w:r>
      <w:r>
        <w:rPr>
          <w:rFonts w:ascii="Crimson Pro" w:hAnsi="Crimson Pro"/>
          <w:color w:val="000000" w:themeColor="text1"/>
          <w:sz w:val="24"/>
          <w:szCs w:val="24"/>
          <w:shd w:val="clear" w:color="auto" w:fill="FFFFFF"/>
        </w:rPr>
        <w:t xml:space="preserve"> care consumers </w:t>
      </w:r>
      <w:proofErr w:type="gramStart"/>
      <w:r>
        <w:rPr>
          <w:rFonts w:ascii="Crimson Pro" w:hAnsi="Crimson Pro"/>
          <w:color w:val="000000" w:themeColor="text1"/>
          <w:sz w:val="24"/>
          <w:szCs w:val="24"/>
          <w:shd w:val="clear" w:color="auto" w:fill="FFFFFF"/>
        </w:rPr>
        <w:t>are largely insulated</w:t>
      </w:r>
      <w:proofErr w:type="gramEnd"/>
      <w:r>
        <w:rPr>
          <w:rFonts w:ascii="Crimson Pro" w:hAnsi="Crimson Pro"/>
          <w:color w:val="000000" w:themeColor="text1"/>
          <w:sz w:val="24"/>
          <w:szCs w:val="24"/>
          <w:shd w:val="clear" w:color="auto" w:fill="FFFFFF"/>
        </w:rPr>
        <w:t xml:space="preserve"> from price effects is to </w:t>
      </w:r>
      <w:r w:rsidR="00F71F78">
        <w:rPr>
          <w:rFonts w:ascii="Crimson Pro" w:hAnsi="Crimson Pro"/>
          <w:color w:val="000000" w:themeColor="text1"/>
          <w:sz w:val="24"/>
          <w:szCs w:val="24"/>
          <w:shd w:val="clear" w:color="auto" w:fill="FFFFFF"/>
        </w:rPr>
        <w:t>decrease</w:t>
      </w:r>
      <w:r>
        <w:rPr>
          <w:rFonts w:ascii="Crimson Pro" w:hAnsi="Crimson Pro"/>
          <w:color w:val="000000" w:themeColor="text1"/>
          <w:sz w:val="24"/>
          <w:szCs w:val="24"/>
          <w:shd w:val="clear" w:color="auto" w:fill="FFFFFF"/>
        </w:rPr>
        <w:t xml:space="preserve"> availability and access to health care. In a George Mason University </w:t>
      </w:r>
      <w:proofErr w:type="spellStart"/>
      <w:r>
        <w:rPr>
          <w:rFonts w:ascii="Crimson Pro" w:hAnsi="Crimson Pro"/>
          <w:color w:val="000000" w:themeColor="text1"/>
          <w:sz w:val="24"/>
          <w:szCs w:val="24"/>
          <w:shd w:val="clear" w:color="auto" w:fill="FFFFFF"/>
        </w:rPr>
        <w:t>Mercatus</w:t>
      </w:r>
      <w:proofErr w:type="spellEnd"/>
      <w:r>
        <w:rPr>
          <w:rFonts w:ascii="Crimson Pro" w:hAnsi="Crimson Pro"/>
          <w:color w:val="000000" w:themeColor="text1"/>
          <w:sz w:val="24"/>
          <w:szCs w:val="24"/>
          <w:shd w:val="clear" w:color="auto" w:fill="FFFFFF"/>
        </w:rPr>
        <w:t xml:space="preserve"> Center working paper, a review of 20 academic studies found </w:t>
      </w:r>
      <w:r w:rsidR="00F71F78">
        <w:rPr>
          <w:rFonts w:ascii="Crimson Pro" w:hAnsi="Crimson Pro"/>
          <w:color w:val="000000" w:themeColor="text1"/>
          <w:sz w:val="24"/>
          <w:szCs w:val="24"/>
          <w:shd w:val="clear" w:color="auto" w:fill="FFFFFF"/>
        </w:rPr>
        <w:t xml:space="preserve">that </w:t>
      </w:r>
      <w:r>
        <w:rPr>
          <w:rFonts w:ascii="Crimson Pro" w:hAnsi="Crimson Pro"/>
          <w:color w:val="000000" w:themeColor="text1"/>
          <w:sz w:val="24"/>
          <w:szCs w:val="24"/>
          <w:shd w:val="clear" w:color="auto" w:fill="FFFFFF"/>
        </w:rPr>
        <w:t xml:space="preserve">CON laws largely failed to achieve their goal of reducing health care costs and concluded </w:t>
      </w:r>
      <w:r w:rsidR="00F71F78">
        <w:rPr>
          <w:rFonts w:ascii="Crimson Pro" w:hAnsi="Crimson Pro"/>
          <w:color w:val="000000" w:themeColor="text1"/>
          <w:sz w:val="24"/>
          <w:szCs w:val="24"/>
          <w:shd w:val="clear" w:color="auto" w:fill="FFFFFF"/>
        </w:rPr>
        <w:t xml:space="preserve">that </w:t>
      </w:r>
      <w:r>
        <w:rPr>
          <w:rFonts w:ascii="Crimson Pro" w:hAnsi="Crimson Pro"/>
          <w:color w:val="000000" w:themeColor="text1"/>
          <w:sz w:val="24"/>
          <w:szCs w:val="24"/>
          <w:shd w:val="clear" w:color="auto" w:fill="FFFFFF"/>
        </w:rPr>
        <w:t>the overwhelming evidence is that CON laws are associated with higher per-unit costs and higher expenditures.</w:t>
      </w:r>
      <w:r>
        <w:rPr>
          <w:rStyle w:val="EndnoteReference"/>
          <w:rFonts w:ascii="Crimson Pro" w:hAnsi="Crimson Pro"/>
          <w:color w:val="000000" w:themeColor="text1"/>
          <w:sz w:val="24"/>
          <w:szCs w:val="24"/>
          <w:shd w:val="clear" w:color="auto" w:fill="FFFFFF"/>
        </w:rPr>
        <w:endnoteReference w:id="2"/>
      </w:r>
      <w:r w:rsidR="00F71F78">
        <w:rPr>
          <w:rFonts w:ascii="Crimson Pro" w:hAnsi="Crimson Pro"/>
          <w:color w:val="000000" w:themeColor="text1"/>
          <w:sz w:val="24"/>
          <w:szCs w:val="24"/>
          <w:shd w:val="clear" w:color="auto" w:fill="FFFFFF"/>
        </w:rPr>
        <w:t xml:space="preserve"> The numbers speak for themselves. National per capita health expenditures increased from $2354 in 1974 to $12,914 in 2021 (in constant 2021 U.S. dollars).</w:t>
      </w:r>
      <w:r w:rsidR="00F71F78">
        <w:rPr>
          <w:rStyle w:val="EndnoteReference"/>
          <w:rFonts w:ascii="Crimson Pro" w:hAnsi="Crimson Pro"/>
          <w:color w:val="000000" w:themeColor="text1"/>
          <w:sz w:val="24"/>
          <w:szCs w:val="24"/>
          <w:shd w:val="clear" w:color="auto" w:fill="FFFFFF"/>
        </w:rPr>
        <w:endnoteReference w:id="3"/>
      </w:r>
      <w:r w:rsidR="00F71F78">
        <w:rPr>
          <w:rFonts w:ascii="Crimson Pro" w:hAnsi="Crimson Pro"/>
          <w:color w:val="000000" w:themeColor="text1"/>
          <w:sz w:val="24"/>
          <w:szCs w:val="24"/>
          <w:shd w:val="clear" w:color="auto" w:fill="FFFFFF"/>
        </w:rPr>
        <w:t xml:space="preserve"> </w:t>
      </w:r>
    </w:p>
    <w:p w14:paraId="4B03A85E" w14:textId="77777777" w:rsidR="009812A9" w:rsidRDefault="009812A9" w:rsidP="00DF58D7">
      <w:pPr>
        <w:rPr>
          <w:rFonts w:ascii="Crimson Pro" w:hAnsi="Crimson Pro"/>
          <w:color w:val="000000" w:themeColor="text1"/>
          <w:sz w:val="24"/>
          <w:szCs w:val="24"/>
          <w:shd w:val="clear" w:color="auto" w:fill="FFFFFF"/>
        </w:rPr>
      </w:pPr>
    </w:p>
    <w:p w14:paraId="556C6551" w14:textId="3A77AE7E" w:rsidR="008D3F0B" w:rsidRDefault="008D3F0B" w:rsidP="00DF58D7">
      <w:pPr>
        <w:rPr>
          <w:rFonts w:ascii="Crimson Pro" w:hAnsi="Crimson Pro"/>
          <w:color w:val="000000" w:themeColor="text1"/>
          <w:sz w:val="24"/>
          <w:szCs w:val="24"/>
          <w:shd w:val="clear" w:color="auto" w:fill="FFFFFF"/>
        </w:rPr>
      </w:pPr>
    </w:p>
    <w:p w14:paraId="1C6DD7FD" w14:textId="0D9B8D7F" w:rsidR="008D3F0B" w:rsidRDefault="005D65E9"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Despite the ineffective nature of these laws, states still have a variety of CON laws on the books today. The various states differ in the type and number of restricted facilities and expenditures. For example, Ohio restricts only long-term care services</w:t>
      </w:r>
      <w:r w:rsidR="00A62EBB">
        <w:rPr>
          <w:rFonts w:ascii="Crimson Pro" w:hAnsi="Crimson Pro"/>
          <w:color w:val="000000" w:themeColor="text1"/>
          <w:sz w:val="24"/>
          <w:szCs w:val="24"/>
          <w:shd w:val="clear" w:color="auto" w:fill="FFFFFF"/>
        </w:rPr>
        <w:t>,</w:t>
      </w:r>
      <w:r>
        <w:rPr>
          <w:rFonts w:ascii="Crimson Pro" w:hAnsi="Crimson Pro"/>
          <w:color w:val="000000" w:themeColor="text1"/>
          <w:sz w:val="24"/>
          <w:szCs w:val="24"/>
          <w:shd w:val="clear" w:color="auto" w:fill="FFFFFF"/>
        </w:rPr>
        <w:t xml:space="preserve"> while Kentucky restricts more than 24 different types of health care facilities.</w:t>
      </w:r>
      <w:r>
        <w:rPr>
          <w:rStyle w:val="EndnoteReference"/>
          <w:rFonts w:ascii="Crimson Pro" w:hAnsi="Crimson Pro"/>
          <w:color w:val="000000" w:themeColor="text1"/>
          <w:sz w:val="24"/>
          <w:szCs w:val="24"/>
          <w:shd w:val="clear" w:color="auto" w:fill="FFFFFF"/>
        </w:rPr>
        <w:endnoteReference w:id="4"/>
      </w:r>
      <w:r>
        <w:rPr>
          <w:rFonts w:ascii="Crimson Pro" w:hAnsi="Crimson Pro"/>
          <w:color w:val="000000" w:themeColor="text1"/>
          <w:sz w:val="24"/>
          <w:szCs w:val="24"/>
          <w:shd w:val="clear" w:color="auto" w:fill="FFFFFF"/>
        </w:rPr>
        <w:t xml:space="preserve"> The state </w:t>
      </w:r>
      <w:r w:rsidR="00A62EBB">
        <w:rPr>
          <w:rFonts w:ascii="Crimson Pro" w:hAnsi="Crimson Pro"/>
          <w:color w:val="000000" w:themeColor="text1"/>
          <w:sz w:val="24"/>
          <w:szCs w:val="24"/>
          <w:shd w:val="clear" w:color="auto" w:fill="FFFFFF"/>
        </w:rPr>
        <w:t>where</w:t>
      </w:r>
      <w:r>
        <w:rPr>
          <w:rFonts w:ascii="Crimson Pro" w:hAnsi="Crimson Pro"/>
          <w:color w:val="000000" w:themeColor="text1"/>
          <w:sz w:val="24"/>
          <w:szCs w:val="24"/>
          <w:shd w:val="clear" w:color="auto" w:fill="FFFFFF"/>
        </w:rPr>
        <w:t xml:space="preserve"> I reside and practice medicine, Arizona, repealed </w:t>
      </w:r>
      <w:proofErr w:type="gramStart"/>
      <w:r>
        <w:rPr>
          <w:rFonts w:ascii="Crimson Pro" w:hAnsi="Crimson Pro"/>
          <w:color w:val="000000" w:themeColor="text1"/>
          <w:sz w:val="24"/>
          <w:szCs w:val="24"/>
          <w:shd w:val="clear" w:color="auto" w:fill="FFFFFF"/>
        </w:rPr>
        <w:t>all of</w:t>
      </w:r>
      <w:proofErr w:type="gramEnd"/>
      <w:r>
        <w:rPr>
          <w:rFonts w:ascii="Crimson Pro" w:hAnsi="Crimson Pro"/>
          <w:color w:val="000000" w:themeColor="text1"/>
          <w:sz w:val="24"/>
          <w:szCs w:val="24"/>
          <w:shd w:val="clear" w:color="auto" w:fill="FFFFFF"/>
        </w:rPr>
        <w:t xml:space="preserve"> </w:t>
      </w:r>
      <w:r w:rsidR="00A62EBB">
        <w:rPr>
          <w:rFonts w:ascii="Crimson Pro" w:hAnsi="Crimson Pro"/>
          <w:color w:val="000000" w:themeColor="text1"/>
          <w:sz w:val="24"/>
          <w:szCs w:val="24"/>
          <w:shd w:val="clear" w:color="auto" w:fill="FFFFFF"/>
        </w:rPr>
        <w:t xml:space="preserve">the </w:t>
      </w:r>
      <w:r>
        <w:rPr>
          <w:rFonts w:ascii="Crimson Pro" w:hAnsi="Crimson Pro"/>
          <w:color w:val="000000" w:themeColor="text1"/>
          <w:sz w:val="24"/>
          <w:szCs w:val="24"/>
          <w:shd w:val="clear" w:color="auto" w:fill="FFFFFF"/>
        </w:rPr>
        <w:t xml:space="preserve">CON laws except for ambulance services in 1990. </w:t>
      </w:r>
      <w:r w:rsidR="00A62EBB">
        <w:rPr>
          <w:rFonts w:ascii="Crimson Pro" w:hAnsi="Crimson Pro"/>
          <w:color w:val="000000" w:themeColor="text1"/>
          <w:sz w:val="24"/>
          <w:szCs w:val="24"/>
          <w:shd w:val="clear" w:color="auto" w:fill="FFFFFF"/>
        </w:rPr>
        <w:t>The Arizona Hospital Association supported this action</w:t>
      </w:r>
      <w:r>
        <w:rPr>
          <w:rFonts w:ascii="Crimson Pro" w:hAnsi="Crimson Pro"/>
          <w:color w:val="000000" w:themeColor="text1"/>
          <w:sz w:val="24"/>
          <w:szCs w:val="24"/>
          <w:shd w:val="clear" w:color="auto" w:fill="FFFFFF"/>
        </w:rPr>
        <w:t>. By 1990</w:t>
      </w:r>
      <w:r w:rsidR="003A6FFE">
        <w:rPr>
          <w:rFonts w:ascii="Crimson Pro" w:hAnsi="Crimson Pro"/>
          <w:color w:val="000000" w:themeColor="text1"/>
          <w:sz w:val="24"/>
          <w:szCs w:val="24"/>
          <w:shd w:val="clear" w:color="auto" w:fill="FFFFFF"/>
        </w:rPr>
        <w:t>,</w:t>
      </w:r>
      <w:r>
        <w:rPr>
          <w:rFonts w:ascii="Crimson Pro" w:hAnsi="Crimson Pro"/>
          <w:color w:val="000000" w:themeColor="text1"/>
          <w:sz w:val="24"/>
          <w:szCs w:val="24"/>
          <w:shd w:val="clear" w:color="auto" w:fill="FFFFFF"/>
        </w:rPr>
        <w:t xml:space="preserve"> California, Colorado, Idaho, Kansas, Minnesota, New Mexico, South Dakota, Texas, Utah, Wisconsin</w:t>
      </w:r>
      <w:r w:rsidR="00A62EBB">
        <w:rPr>
          <w:rFonts w:ascii="Crimson Pro" w:hAnsi="Crimson Pro"/>
          <w:color w:val="000000" w:themeColor="text1"/>
          <w:sz w:val="24"/>
          <w:szCs w:val="24"/>
          <w:shd w:val="clear" w:color="auto" w:fill="FFFFFF"/>
        </w:rPr>
        <w:t>,</w:t>
      </w:r>
      <w:r>
        <w:rPr>
          <w:rFonts w:ascii="Crimson Pro" w:hAnsi="Crimson Pro"/>
          <w:color w:val="000000" w:themeColor="text1"/>
          <w:sz w:val="24"/>
          <w:szCs w:val="24"/>
          <w:shd w:val="clear" w:color="auto" w:fill="FFFFFF"/>
        </w:rPr>
        <w:t xml:space="preserve"> and Wyoming repealed </w:t>
      </w:r>
      <w:proofErr w:type="gramStart"/>
      <w:r>
        <w:rPr>
          <w:rFonts w:ascii="Crimson Pro" w:hAnsi="Crimson Pro"/>
          <w:color w:val="000000" w:themeColor="text1"/>
          <w:sz w:val="24"/>
          <w:szCs w:val="24"/>
          <w:shd w:val="clear" w:color="auto" w:fill="FFFFFF"/>
        </w:rPr>
        <w:t>all of</w:t>
      </w:r>
      <w:proofErr w:type="gramEnd"/>
      <w:r>
        <w:rPr>
          <w:rFonts w:ascii="Crimson Pro" w:hAnsi="Crimson Pro"/>
          <w:color w:val="000000" w:themeColor="text1"/>
          <w:sz w:val="24"/>
          <w:szCs w:val="24"/>
          <w:shd w:val="clear" w:color="auto" w:fill="FFFFFF"/>
        </w:rPr>
        <w:t xml:space="preserve"> the CON laws.</w:t>
      </w:r>
      <w:r>
        <w:rPr>
          <w:rStyle w:val="EndnoteReference"/>
          <w:rFonts w:ascii="Crimson Pro" w:hAnsi="Crimson Pro"/>
          <w:color w:val="000000" w:themeColor="text1"/>
          <w:sz w:val="24"/>
          <w:szCs w:val="24"/>
          <w:shd w:val="clear" w:color="auto" w:fill="FFFFFF"/>
        </w:rPr>
        <w:endnoteReference w:id="5"/>
      </w:r>
    </w:p>
    <w:p w14:paraId="48E7EDCD" w14:textId="049ABEB9" w:rsidR="005D65E9" w:rsidRDefault="005D65E9" w:rsidP="00DF58D7">
      <w:pPr>
        <w:rPr>
          <w:rFonts w:ascii="Crimson Pro" w:hAnsi="Crimson Pro"/>
          <w:color w:val="000000" w:themeColor="text1"/>
          <w:sz w:val="24"/>
          <w:szCs w:val="24"/>
          <w:shd w:val="clear" w:color="auto" w:fill="FFFFFF"/>
        </w:rPr>
      </w:pPr>
    </w:p>
    <w:p w14:paraId="3F936C3D" w14:textId="1B8ED841" w:rsidR="005D65E9" w:rsidRDefault="005D65E9"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The </w:t>
      </w:r>
      <w:r w:rsidR="00A62EBB">
        <w:rPr>
          <w:rFonts w:ascii="Crimson Pro" w:hAnsi="Crimson Pro"/>
          <w:color w:val="000000" w:themeColor="text1"/>
          <w:sz w:val="24"/>
          <w:szCs w:val="24"/>
          <w:shd w:val="clear" w:color="auto" w:fill="FFFFFF"/>
        </w:rPr>
        <w:t>certificate-granting</w:t>
      </w:r>
      <w:r>
        <w:rPr>
          <w:rFonts w:ascii="Crimson Pro" w:hAnsi="Crimson Pro"/>
          <w:color w:val="000000" w:themeColor="text1"/>
          <w:sz w:val="24"/>
          <w:szCs w:val="24"/>
          <w:shd w:val="clear" w:color="auto" w:fill="FFFFFF"/>
        </w:rPr>
        <w:t xml:space="preserve"> process effectively gives </w:t>
      </w:r>
      <w:r w:rsidR="00A67D58">
        <w:rPr>
          <w:rFonts w:ascii="Crimson Pro" w:hAnsi="Crimson Pro"/>
          <w:color w:val="000000" w:themeColor="text1"/>
          <w:sz w:val="24"/>
          <w:szCs w:val="24"/>
          <w:shd w:val="clear" w:color="auto" w:fill="FFFFFF"/>
        </w:rPr>
        <w:t>monopoly privileges to existing hospitals and facilities. When a new provider petitions for a certificate, established providers are usually invited to testify against their would-be competitors.</w:t>
      </w:r>
      <w:r w:rsidR="00A67D58">
        <w:rPr>
          <w:rStyle w:val="EndnoteReference"/>
          <w:rFonts w:ascii="Crimson Pro" w:hAnsi="Crimson Pro"/>
          <w:color w:val="000000" w:themeColor="text1"/>
          <w:sz w:val="24"/>
          <w:szCs w:val="24"/>
          <w:shd w:val="clear" w:color="auto" w:fill="FFFFFF"/>
        </w:rPr>
        <w:endnoteReference w:id="6"/>
      </w:r>
      <w:r w:rsidR="00A67D58">
        <w:rPr>
          <w:rFonts w:ascii="Crimson Pro" w:hAnsi="Crimson Pro"/>
          <w:color w:val="000000" w:themeColor="text1"/>
          <w:sz w:val="24"/>
          <w:szCs w:val="24"/>
          <w:shd w:val="clear" w:color="auto" w:fill="FFFFFF"/>
        </w:rPr>
        <w:t xml:space="preserve">  This means that some health care practices can openly challenge the right to exist of any practice that might hurt their bottom line. Indeed, hospital administrators openly admit that protection against competition</w:t>
      </w:r>
      <w:r w:rsidR="00A62EBB">
        <w:rPr>
          <w:rFonts w:ascii="Crimson Pro" w:hAnsi="Crimson Pro"/>
          <w:color w:val="000000" w:themeColor="text1"/>
          <w:sz w:val="24"/>
          <w:szCs w:val="24"/>
          <w:shd w:val="clear" w:color="auto" w:fill="FFFFFF"/>
        </w:rPr>
        <w:t>,</w:t>
      </w:r>
      <w:r w:rsidR="00A67D58">
        <w:rPr>
          <w:rFonts w:ascii="Crimson Pro" w:hAnsi="Crimson Pro"/>
          <w:color w:val="000000" w:themeColor="text1"/>
          <w:sz w:val="24"/>
          <w:szCs w:val="24"/>
          <w:shd w:val="clear" w:color="auto" w:fill="FFFFFF"/>
        </w:rPr>
        <w:t xml:space="preserve"> thanks to CON laws</w:t>
      </w:r>
      <w:r w:rsidR="00A62EBB">
        <w:rPr>
          <w:rFonts w:ascii="Crimson Pro" w:hAnsi="Crimson Pro"/>
          <w:color w:val="000000" w:themeColor="text1"/>
          <w:sz w:val="24"/>
          <w:szCs w:val="24"/>
          <w:shd w:val="clear" w:color="auto" w:fill="FFFFFF"/>
        </w:rPr>
        <w:t>,</w:t>
      </w:r>
      <w:r w:rsidR="00A67D58">
        <w:rPr>
          <w:rFonts w:ascii="Crimson Pro" w:hAnsi="Crimson Pro"/>
          <w:color w:val="000000" w:themeColor="text1"/>
          <w:sz w:val="24"/>
          <w:szCs w:val="24"/>
          <w:shd w:val="clear" w:color="auto" w:fill="FFFFFF"/>
        </w:rPr>
        <w:t xml:space="preserve"> has become an integral part of their business model.</w:t>
      </w:r>
    </w:p>
    <w:p w14:paraId="2D93F392" w14:textId="1FF3F465" w:rsidR="00A67D58" w:rsidRDefault="00A67D58" w:rsidP="00DF58D7">
      <w:pPr>
        <w:rPr>
          <w:rFonts w:ascii="Crimson Pro" w:hAnsi="Crimson Pro"/>
          <w:color w:val="000000" w:themeColor="text1"/>
          <w:sz w:val="24"/>
          <w:szCs w:val="24"/>
          <w:shd w:val="clear" w:color="auto" w:fill="FFFFFF"/>
        </w:rPr>
      </w:pPr>
    </w:p>
    <w:p w14:paraId="6CF37DB0" w14:textId="238FEA80" w:rsidR="00A67D58" w:rsidRDefault="00A67D58"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Hospital administrators argue against </w:t>
      </w:r>
      <w:r w:rsidR="00A62EBB">
        <w:rPr>
          <w:rFonts w:ascii="Crimson Pro" w:hAnsi="Crimson Pro"/>
          <w:color w:val="000000" w:themeColor="text1"/>
          <w:sz w:val="24"/>
          <w:szCs w:val="24"/>
          <w:shd w:val="clear" w:color="auto" w:fill="FFFFFF"/>
        </w:rPr>
        <w:t xml:space="preserve">the </w:t>
      </w:r>
      <w:r>
        <w:rPr>
          <w:rFonts w:ascii="Crimson Pro" w:hAnsi="Crimson Pro"/>
          <w:color w:val="000000" w:themeColor="text1"/>
          <w:sz w:val="24"/>
          <w:szCs w:val="24"/>
          <w:shd w:val="clear" w:color="auto" w:fill="FFFFFF"/>
        </w:rPr>
        <w:t xml:space="preserve">repeal of CON laws claiming these laws allow them to generate enough revenue to provide 24-hour emergency services and uncompensated care. Physicians and other health care practitioners also provide uncompensated care and other </w:t>
      </w:r>
      <w:r w:rsidR="00C35831">
        <w:rPr>
          <w:rFonts w:ascii="Crimson Pro" w:hAnsi="Crimson Pro"/>
          <w:color w:val="000000" w:themeColor="text1"/>
          <w:sz w:val="24"/>
          <w:szCs w:val="24"/>
          <w:shd w:val="clear" w:color="auto" w:fill="FFFFFF"/>
        </w:rPr>
        <w:t xml:space="preserve">services. Yet </w:t>
      </w:r>
      <w:r w:rsidR="000C59B4">
        <w:rPr>
          <w:rFonts w:ascii="Crimson Pro" w:hAnsi="Crimson Pro"/>
          <w:color w:val="000000" w:themeColor="text1"/>
          <w:sz w:val="24"/>
          <w:szCs w:val="24"/>
          <w:shd w:val="clear" w:color="auto" w:fill="FFFFFF"/>
        </w:rPr>
        <w:t>state</w:t>
      </w:r>
      <w:r w:rsidR="00C35831">
        <w:rPr>
          <w:rFonts w:ascii="Crimson Pro" w:hAnsi="Crimson Pro"/>
          <w:color w:val="000000" w:themeColor="text1"/>
          <w:sz w:val="24"/>
          <w:szCs w:val="24"/>
          <w:shd w:val="clear" w:color="auto" w:fill="FFFFFF"/>
        </w:rPr>
        <w:t xml:space="preserve"> professional organizations don’t argue for creating a certificate of</w:t>
      </w:r>
      <w:r w:rsidR="00A62EBB">
        <w:rPr>
          <w:rFonts w:ascii="Crimson Pro" w:hAnsi="Crimson Pro"/>
          <w:color w:val="000000" w:themeColor="text1"/>
          <w:sz w:val="24"/>
          <w:szCs w:val="24"/>
          <w:shd w:val="clear" w:color="auto" w:fill="FFFFFF"/>
        </w:rPr>
        <w:t xml:space="preserve"> </w:t>
      </w:r>
      <w:r w:rsidR="00C35831">
        <w:rPr>
          <w:rFonts w:ascii="Crimson Pro" w:hAnsi="Crimson Pro"/>
          <w:color w:val="000000" w:themeColor="text1"/>
          <w:sz w:val="24"/>
          <w:szCs w:val="24"/>
          <w:shd w:val="clear" w:color="auto" w:fill="FFFFFF"/>
        </w:rPr>
        <w:t>need requirement before allowing additional doctors, nurses, psychologists, physical therapists, etc.</w:t>
      </w:r>
      <w:r w:rsidR="00A62EBB">
        <w:rPr>
          <w:rFonts w:ascii="Crimson Pro" w:hAnsi="Crimson Pro"/>
          <w:color w:val="000000" w:themeColor="text1"/>
          <w:sz w:val="24"/>
          <w:szCs w:val="24"/>
          <w:shd w:val="clear" w:color="auto" w:fill="FFFFFF"/>
        </w:rPr>
        <w:t>,</w:t>
      </w:r>
      <w:r w:rsidR="00C35831">
        <w:rPr>
          <w:rFonts w:ascii="Crimson Pro" w:hAnsi="Crimson Pro"/>
          <w:color w:val="000000" w:themeColor="text1"/>
          <w:sz w:val="24"/>
          <w:szCs w:val="24"/>
          <w:shd w:val="clear" w:color="auto" w:fill="FFFFFF"/>
        </w:rPr>
        <w:t xml:space="preserve"> to set up practices in a state. And they would be publicly derided if they did so.</w:t>
      </w:r>
      <w:r w:rsidR="00D546A6">
        <w:rPr>
          <w:rFonts w:ascii="Crimson Pro" w:hAnsi="Crimson Pro"/>
          <w:color w:val="000000" w:themeColor="text1"/>
          <w:sz w:val="24"/>
          <w:szCs w:val="24"/>
          <w:shd w:val="clear" w:color="auto" w:fill="FFFFFF"/>
        </w:rPr>
        <w:t xml:space="preserve"> </w:t>
      </w:r>
    </w:p>
    <w:p w14:paraId="39476F08" w14:textId="047B5E7A" w:rsidR="00D546A6" w:rsidRDefault="00D546A6" w:rsidP="00DF58D7">
      <w:pPr>
        <w:rPr>
          <w:rFonts w:ascii="Crimson Pro" w:hAnsi="Crimson Pro"/>
          <w:color w:val="000000" w:themeColor="text1"/>
          <w:sz w:val="24"/>
          <w:szCs w:val="24"/>
          <w:shd w:val="clear" w:color="auto" w:fill="FFFFFF"/>
        </w:rPr>
      </w:pPr>
    </w:p>
    <w:p w14:paraId="0BE41643" w14:textId="7F0B2DD2" w:rsidR="00D546A6" w:rsidRDefault="00D546A6"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New</w:t>
      </w:r>
      <w:r w:rsidR="003858D9">
        <w:rPr>
          <w:rFonts w:ascii="Crimson Pro" w:hAnsi="Crimson Pro"/>
          <w:color w:val="000000" w:themeColor="text1"/>
          <w:sz w:val="24"/>
          <w:szCs w:val="24"/>
          <w:shd w:val="clear" w:color="auto" w:fill="FFFFFF"/>
        </w:rPr>
        <w:t xml:space="preserve"> </w:t>
      </w:r>
      <w:r>
        <w:rPr>
          <w:rFonts w:ascii="Crimson Pro" w:hAnsi="Crimson Pro"/>
          <w:color w:val="000000" w:themeColor="text1"/>
          <w:sz w:val="24"/>
          <w:szCs w:val="24"/>
          <w:shd w:val="clear" w:color="auto" w:fill="FFFFFF"/>
        </w:rPr>
        <w:t>health care practitioners</w:t>
      </w:r>
      <w:r w:rsidR="003858D9">
        <w:rPr>
          <w:rFonts w:ascii="Crimson Pro" w:hAnsi="Crimson Pro"/>
          <w:color w:val="000000" w:themeColor="text1"/>
          <w:sz w:val="24"/>
          <w:szCs w:val="24"/>
          <w:shd w:val="clear" w:color="auto" w:fill="FFFFFF"/>
        </w:rPr>
        <w:t xml:space="preserve"> entering the state</w:t>
      </w:r>
      <w:r>
        <w:rPr>
          <w:rFonts w:ascii="Crimson Pro" w:hAnsi="Crimson Pro"/>
          <w:color w:val="000000" w:themeColor="text1"/>
          <w:sz w:val="24"/>
          <w:szCs w:val="24"/>
          <w:shd w:val="clear" w:color="auto" w:fill="FFFFFF"/>
        </w:rPr>
        <w:t xml:space="preserve"> may provide competition to incumbents</w:t>
      </w:r>
      <w:r w:rsidR="000C59B4">
        <w:rPr>
          <w:rFonts w:ascii="Crimson Pro" w:hAnsi="Crimson Pro"/>
          <w:color w:val="000000" w:themeColor="text1"/>
          <w:sz w:val="24"/>
          <w:szCs w:val="24"/>
          <w:shd w:val="clear" w:color="auto" w:fill="FFFFFF"/>
        </w:rPr>
        <w:t>.</w:t>
      </w:r>
      <w:r w:rsidR="003858D9">
        <w:rPr>
          <w:rFonts w:ascii="Crimson Pro" w:hAnsi="Crimson Pro"/>
          <w:color w:val="000000" w:themeColor="text1"/>
          <w:sz w:val="24"/>
          <w:szCs w:val="24"/>
          <w:shd w:val="clear" w:color="auto" w:fill="FFFFFF"/>
        </w:rPr>
        <w:t xml:space="preserve"> </w:t>
      </w:r>
      <w:r w:rsidR="000C59B4">
        <w:rPr>
          <w:rFonts w:ascii="Crimson Pro" w:hAnsi="Crimson Pro"/>
          <w:color w:val="000000" w:themeColor="text1"/>
          <w:sz w:val="24"/>
          <w:szCs w:val="24"/>
          <w:shd w:val="clear" w:color="auto" w:fill="FFFFFF"/>
        </w:rPr>
        <w:t>This</w:t>
      </w:r>
      <w:r>
        <w:rPr>
          <w:rFonts w:ascii="Crimson Pro" w:hAnsi="Crimson Pro"/>
          <w:color w:val="000000" w:themeColor="text1"/>
          <w:sz w:val="24"/>
          <w:szCs w:val="24"/>
          <w:shd w:val="clear" w:color="auto" w:fill="FFFFFF"/>
        </w:rPr>
        <w:t xml:space="preserve"> has </w:t>
      </w:r>
      <w:r w:rsidR="003858D9">
        <w:rPr>
          <w:rFonts w:ascii="Crimson Pro" w:hAnsi="Crimson Pro"/>
          <w:color w:val="000000" w:themeColor="text1"/>
          <w:sz w:val="24"/>
          <w:szCs w:val="24"/>
          <w:shd w:val="clear" w:color="auto" w:fill="FFFFFF"/>
        </w:rPr>
        <w:t xml:space="preserve">not </w:t>
      </w:r>
      <w:r w:rsidR="000C59B4">
        <w:rPr>
          <w:rFonts w:ascii="Crimson Pro" w:hAnsi="Crimson Pro"/>
          <w:color w:val="000000" w:themeColor="text1"/>
          <w:sz w:val="24"/>
          <w:szCs w:val="24"/>
          <w:shd w:val="clear" w:color="auto" w:fill="FFFFFF"/>
        </w:rPr>
        <w:t>stunted</w:t>
      </w:r>
      <w:r w:rsidR="003858D9">
        <w:rPr>
          <w:rFonts w:ascii="Crimson Pro" w:hAnsi="Crimson Pro"/>
          <w:color w:val="000000" w:themeColor="text1"/>
          <w:sz w:val="24"/>
          <w:szCs w:val="24"/>
          <w:shd w:val="clear" w:color="auto" w:fill="FFFFFF"/>
        </w:rPr>
        <w:t xml:space="preserve"> the growth of the health care profession</w:t>
      </w:r>
      <w:r w:rsidR="004D5E54">
        <w:rPr>
          <w:rFonts w:ascii="Crimson Pro" w:hAnsi="Crimson Pro"/>
          <w:color w:val="000000" w:themeColor="text1"/>
          <w:sz w:val="24"/>
          <w:szCs w:val="24"/>
          <w:shd w:val="clear" w:color="auto" w:fill="FFFFFF"/>
        </w:rPr>
        <w:t>s</w:t>
      </w:r>
      <w:r w:rsidR="003858D9">
        <w:rPr>
          <w:rFonts w:ascii="Crimson Pro" w:hAnsi="Crimson Pro"/>
          <w:color w:val="000000" w:themeColor="text1"/>
          <w:sz w:val="24"/>
          <w:szCs w:val="24"/>
          <w:shd w:val="clear" w:color="auto" w:fill="FFFFFF"/>
        </w:rPr>
        <w:t xml:space="preserve">. Instead, it has benefitted health care consumers by increasing choice and access. </w:t>
      </w:r>
    </w:p>
    <w:p w14:paraId="1D5BCBB0" w14:textId="65A1F1A8" w:rsidR="00B14549" w:rsidRDefault="00B14549" w:rsidP="00DF58D7">
      <w:pPr>
        <w:rPr>
          <w:rFonts w:ascii="Crimson Pro" w:hAnsi="Crimson Pro"/>
          <w:color w:val="000000" w:themeColor="text1"/>
          <w:sz w:val="24"/>
          <w:szCs w:val="24"/>
          <w:shd w:val="clear" w:color="auto" w:fill="FFFFFF"/>
        </w:rPr>
      </w:pPr>
    </w:p>
    <w:p w14:paraId="10C0A841" w14:textId="1FE27C04" w:rsidR="00B14549" w:rsidRDefault="00B14549"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According to one health care journal, “hospitals tend to view CON restrictions favorably when they serve to exclude [competing] facilities from entering a market, but may take steps to circumvent the CON application process where their own expansion is concerned.”</w:t>
      </w:r>
      <w:r>
        <w:rPr>
          <w:rStyle w:val="EndnoteReference"/>
          <w:rFonts w:ascii="Crimson Pro" w:hAnsi="Crimson Pro"/>
          <w:color w:val="000000" w:themeColor="text1"/>
          <w:sz w:val="24"/>
          <w:szCs w:val="24"/>
          <w:shd w:val="clear" w:color="auto" w:fill="FFFFFF"/>
        </w:rPr>
        <w:endnoteReference w:id="7"/>
      </w:r>
    </w:p>
    <w:p w14:paraId="4EBC679D" w14:textId="2CDFDAC9" w:rsidR="007813F9" w:rsidRDefault="007813F9" w:rsidP="00DF58D7">
      <w:pPr>
        <w:rPr>
          <w:rFonts w:ascii="Crimson Pro" w:hAnsi="Crimson Pro"/>
          <w:color w:val="000000" w:themeColor="text1"/>
          <w:sz w:val="24"/>
          <w:szCs w:val="24"/>
          <w:shd w:val="clear" w:color="auto" w:fill="FFFFFF"/>
        </w:rPr>
      </w:pPr>
    </w:p>
    <w:p w14:paraId="7B9B84B7" w14:textId="7474ADE7" w:rsidR="007813F9" w:rsidRDefault="007813F9"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One of the original purposes of CON laws was to encourage hospital substitutes. Yet ironically, 28 states now </w:t>
      </w:r>
      <w:r w:rsidR="00A62EBB">
        <w:rPr>
          <w:rFonts w:ascii="Crimson Pro" w:hAnsi="Crimson Pro"/>
          <w:color w:val="000000" w:themeColor="text1"/>
          <w:sz w:val="24"/>
          <w:szCs w:val="24"/>
          <w:shd w:val="clear" w:color="auto" w:fill="FFFFFF"/>
        </w:rPr>
        <w:t>restrict</w:t>
      </w:r>
      <w:r>
        <w:rPr>
          <w:rFonts w:ascii="Crimson Pro" w:hAnsi="Crimson Pro"/>
          <w:color w:val="000000" w:themeColor="text1"/>
          <w:sz w:val="24"/>
          <w:szCs w:val="24"/>
          <w:shd w:val="clear" w:color="auto" w:fill="FFFFFF"/>
        </w:rPr>
        <w:t xml:space="preserve"> ambulatory care services, a common hospital substitute that competes with traditional hospitals.</w:t>
      </w:r>
      <w:r>
        <w:rPr>
          <w:rStyle w:val="EndnoteReference"/>
          <w:rFonts w:ascii="Crimson Pro" w:hAnsi="Crimson Pro"/>
          <w:color w:val="000000" w:themeColor="text1"/>
          <w:sz w:val="24"/>
          <w:szCs w:val="24"/>
          <w:shd w:val="clear" w:color="auto" w:fill="FFFFFF"/>
        </w:rPr>
        <w:endnoteReference w:id="8"/>
      </w:r>
      <w:r>
        <w:rPr>
          <w:rFonts w:ascii="Crimson Pro" w:hAnsi="Crimson Pro"/>
          <w:color w:val="000000" w:themeColor="text1"/>
          <w:sz w:val="24"/>
          <w:szCs w:val="24"/>
          <w:shd w:val="clear" w:color="auto" w:fill="FFFFFF"/>
        </w:rPr>
        <w:t xml:space="preserve">  </w:t>
      </w:r>
    </w:p>
    <w:p w14:paraId="53082456" w14:textId="77777777" w:rsidR="007813F9" w:rsidRDefault="007813F9" w:rsidP="00DF58D7">
      <w:pPr>
        <w:rPr>
          <w:rFonts w:ascii="Crimson Pro" w:hAnsi="Crimson Pro"/>
          <w:color w:val="000000" w:themeColor="text1"/>
          <w:sz w:val="24"/>
          <w:szCs w:val="24"/>
          <w:shd w:val="clear" w:color="auto" w:fill="FFFFFF"/>
        </w:rPr>
      </w:pPr>
    </w:p>
    <w:p w14:paraId="150F8F85" w14:textId="2F949B23" w:rsidR="007813F9" w:rsidRPr="00033862" w:rsidRDefault="00E94767" w:rsidP="00DF58D7">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Long-term care and h</w:t>
      </w:r>
      <w:r w:rsidR="007813F9">
        <w:rPr>
          <w:rFonts w:ascii="Crimson Pro" w:hAnsi="Crimson Pro"/>
          <w:color w:val="000000" w:themeColor="text1"/>
          <w:sz w:val="24"/>
          <w:szCs w:val="24"/>
          <w:shd w:val="clear" w:color="auto" w:fill="FFFFFF"/>
        </w:rPr>
        <w:t>ospice care can be offered either in nursing homes or through home health care services. Many state</w:t>
      </w:r>
      <w:r w:rsidR="009666EC">
        <w:rPr>
          <w:rFonts w:ascii="Crimson Pro" w:hAnsi="Crimson Pro"/>
          <w:color w:val="000000" w:themeColor="text1"/>
          <w:sz w:val="24"/>
          <w:szCs w:val="24"/>
          <w:shd w:val="clear" w:color="auto" w:fill="FFFFFF"/>
        </w:rPr>
        <w:t>s</w:t>
      </w:r>
      <w:r w:rsidR="007813F9">
        <w:rPr>
          <w:rFonts w:ascii="Crimson Pro" w:hAnsi="Crimson Pro"/>
          <w:color w:val="000000" w:themeColor="text1"/>
          <w:sz w:val="24"/>
          <w:szCs w:val="24"/>
          <w:shd w:val="clear" w:color="auto" w:fill="FFFFFF"/>
        </w:rPr>
        <w:t xml:space="preserve"> that have repealed some CON laws retain them </w:t>
      </w:r>
      <w:r w:rsidR="00A62EBB">
        <w:rPr>
          <w:rFonts w:ascii="Crimson Pro" w:hAnsi="Crimson Pro"/>
          <w:color w:val="000000" w:themeColor="text1"/>
          <w:sz w:val="24"/>
          <w:szCs w:val="24"/>
          <w:shd w:val="clear" w:color="auto" w:fill="FFFFFF"/>
        </w:rPr>
        <w:t>for</w:t>
      </w:r>
      <w:r w:rsidR="007813F9">
        <w:rPr>
          <w:rFonts w:ascii="Crimson Pro" w:hAnsi="Crimson Pro"/>
          <w:color w:val="000000" w:themeColor="text1"/>
          <w:sz w:val="24"/>
          <w:szCs w:val="24"/>
          <w:shd w:val="clear" w:color="auto" w:fill="FFFFFF"/>
        </w:rPr>
        <w:t xml:space="preserve"> nursing homes. Comparisons between states with some CON laws and those with no CON laws show</w:t>
      </w:r>
      <w:r>
        <w:rPr>
          <w:rFonts w:ascii="Crimson Pro" w:hAnsi="Crimson Pro"/>
          <w:color w:val="000000" w:themeColor="text1"/>
          <w:sz w:val="24"/>
          <w:szCs w:val="24"/>
          <w:shd w:val="clear" w:color="auto" w:fill="FFFFFF"/>
        </w:rPr>
        <w:t xml:space="preserve"> hospice expenditures in states with CON laws are dominated by nursing homes rather than alternatives like home health care.</w:t>
      </w:r>
      <w:r>
        <w:rPr>
          <w:rStyle w:val="EndnoteReference"/>
          <w:rFonts w:ascii="Crimson Pro" w:hAnsi="Crimson Pro"/>
          <w:color w:val="000000" w:themeColor="text1"/>
          <w:sz w:val="24"/>
          <w:szCs w:val="24"/>
          <w:shd w:val="clear" w:color="auto" w:fill="FFFFFF"/>
        </w:rPr>
        <w:endnoteReference w:id="9"/>
      </w:r>
    </w:p>
    <w:p w14:paraId="4BFE6A90" w14:textId="7A4AEBCD" w:rsidR="00D546A6" w:rsidRDefault="00D546A6" w:rsidP="00DF58D7">
      <w:pPr>
        <w:rPr>
          <w:rFonts w:ascii="Crimson Pro" w:hAnsi="Crimson Pro"/>
          <w:color w:val="000000" w:themeColor="text1"/>
          <w:sz w:val="24"/>
          <w:szCs w:val="24"/>
          <w:shd w:val="clear" w:color="auto" w:fill="FFFFFF"/>
        </w:rPr>
      </w:pPr>
    </w:p>
    <w:p w14:paraId="3EE6C726" w14:textId="59D63D98" w:rsidR="00BA68DB" w:rsidRDefault="000C59B4" w:rsidP="00BA68DB">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W</w:t>
      </w:r>
      <w:r w:rsidR="003858D9">
        <w:rPr>
          <w:rFonts w:ascii="Crimson Pro" w:hAnsi="Crimson Pro"/>
          <w:color w:val="000000" w:themeColor="text1"/>
          <w:sz w:val="24"/>
          <w:szCs w:val="24"/>
          <w:shd w:val="clear" w:color="auto" w:fill="FFFFFF"/>
        </w:rPr>
        <w:t xml:space="preserve">e have seen and continue to see </w:t>
      </w:r>
      <w:r>
        <w:rPr>
          <w:rFonts w:ascii="Crimson Pro" w:hAnsi="Crimson Pro"/>
          <w:color w:val="000000" w:themeColor="text1"/>
          <w:sz w:val="24"/>
          <w:szCs w:val="24"/>
          <w:shd w:val="clear" w:color="auto" w:fill="FFFFFF"/>
        </w:rPr>
        <w:t>that</w:t>
      </w:r>
      <w:r w:rsidR="003858D9">
        <w:rPr>
          <w:rFonts w:ascii="Crimson Pro" w:hAnsi="Crimson Pro"/>
          <w:color w:val="000000" w:themeColor="text1"/>
          <w:sz w:val="24"/>
          <w:szCs w:val="24"/>
          <w:shd w:val="clear" w:color="auto" w:fill="FFFFFF"/>
        </w:rPr>
        <w:t xml:space="preserve"> countries </w:t>
      </w:r>
      <w:r>
        <w:rPr>
          <w:rFonts w:ascii="Crimson Pro" w:hAnsi="Crimson Pro"/>
          <w:color w:val="000000" w:themeColor="text1"/>
          <w:sz w:val="24"/>
          <w:szCs w:val="24"/>
          <w:shd w:val="clear" w:color="auto" w:fill="FFFFFF"/>
        </w:rPr>
        <w:t>embracing</w:t>
      </w:r>
      <w:r w:rsidR="003858D9">
        <w:rPr>
          <w:rFonts w:ascii="Crimson Pro" w:hAnsi="Crimson Pro"/>
          <w:color w:val="000000" w:themeColor="text1"/>
          <w:sz w:val="24"/>
          <w:szCs w:val="24"/>
          <w:shd w:val="clear" w:color="auto" w:fill="FFFFFF"/>
        </w:rPr>
        <w:t xml:space="preserve"> central planning</w:t>
      </w:r>
      <w:r>
        <w:rPr>
          <w:rFonts w:ascii="Crimson Pro" w:hAnsi="Crimson Pro"/>
          <w:color w:val="000000" w:themeColor="text1"/>
          <w:sz w:val="24"/>
          <w:szCs w:val="24"/>
          <w:shd w:val="clear" w:color="auto" w:fill="FFFFFF"/>
        </w:rPr>
        <w:t xml:space="preserve"> fall victim to what </w:t>
      </w:r>
      <w:proofErr w:type="gramStart"/>
      <w:r>
        <w:rPr>
          <w:rFonts w:ascii="Crimson Pro" w:hAnsi="Crimson Pro"/>
          <w:color w:val="000000" w:themeColor="text1"/>
          <w:sz w:val="24"/>
          <w:szCs w:val="24"/>
          <w:shd w:val="clear" w:color="auto" w:fill="FFFFFF"/>
        </w:rPr>
        <w:t>economists</w:t>
      </w:r>
      <w:proofErr w:type="gramEnd"/>
      <w:r>
        <w:rPr>
          <w:rFonts w:ascii="Crimson Pro" w:hAnsi="Crimson Pro"/>
          <w:color w:val="000000" w:themeColor="text1"/>
          <w:sz w:val="24"/>
          <w:szCs w:val="24"/>
          <w:shd w:val="clear" w:color="auto" w:fill="FFFFFF"/>
        </w:rPr>
        <w:t xml:space="preserve"> call “the knowledge problem.” I</w:t>
      </w:r>
      <w:r w:rsidR="003858D9">
        <w:rPr>
          <w:rFonts w:ascii="Crimson Pro" w:hAnsi="Crimson Pro"/>
          <w:color w:val="000000" w:themeColor="text1"/>
          <w:sz w:val="24"/>
          <w:szCs w:val="24"/>
          <w:shd w:val="clear" w:color="auto" w:fill="FFFFFF"/>
        </w:rPr>
        <w:t xml:space="preserve">t is impossible to predict how many ICU beds, general beds, or other health care facilities and services will be needed to serve a </w:t>
      </w:r>
      <w:r w:rsidR="003858D9">
        <w:rPr>
          <w:rFonts w:ascii="Crimson Pro" w:hAnsi="Crimson Pro"/>
          <w:color w:val="000000" w:themeColor="text1"/>
          <w:sz w:val="24"/>
          <w:szCs w:val="24"/>
          <w:shd w:val="clear" w:color="auto" w:fill="FFFFFF"/>
        </w:rPr>
        <w:lastRenderedPageBreak/>
        <w:t xml:space="preserve">growing and dynamic population. Markets are the most accurate and efficient way of allocating goods and services. </w:t>
      </w:r>
    </w:p>
    <w:p w14:paraId="51338477" w14:textId="406D9FD9" w:rsidR="003858D9" w:rsidRDefault="003858D9" w:rsidP="00BA68DB">
      <w:pPr>
        <w:rPr>
          <w:rFonts w:ascii="Crimson Pro" w:hAnsi="Crimson Pro"/>
          <w:color w:val="000000" w:themeColor="text1"/>
          <w:sz w:val="24"/>
          <w:szCs w:val="24"/>
          <w:shd w:val="clear" w:color="auto" w:fill="FFFFFF"/>
        </w:rPr>
      </w:pPr>
    </w:p>
    <w:p w14:paraId="489A20C6" w14:textId="4BEDA8F6" w:rsidR="003858D9" w:rsidRDefault="003858D9" w:rsidP="00BA68DB">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 xml:space="preserve">With the advent of the COVID-19 pandemic, many states realized their CON laws left them unprepared </w:t>
      </w:r>
      <w:r w:rsidR="00D46703">
        <w:rPr>
          <w:rFonts w:ascii="Crimson Pro" w:hAnsi="Crimson Pro"/>
          <w:color w:val="000000" w:themeColor="text1"/>
          <w:sz w:val="24"/>
          <w:szCs w:val="24"/>
          <w:shd w:val="clear" w:color="auto" w:fill="FFFFFF"/>
        </w:rPr>
        <w:t xml:space="preserve">for a sudden surge in demand for critical care and other health care services and </w:t>
      </w:r>
      <w:r w:rsidR="00A62EBB">
        <w:rPr>
          <w:rFonts w:ascii="Crimson Pro" w:hAnsi="Crimson Pro"/>
          <w:color w:val="000000" w:themeColor="text1"/>
          <w:sz w:val="24"/>
          <w:szCs w:val="24"/>
          <w:shd w:val="clear" w:color="auto" w:fill="FFFFFF"/>
        </w:rPr>
        <w:t>straight-jacketed</w:t>
      </w:r>
      <w:r w:rsidR="00D46703">
        <w:rPr>
          <w:rFonts w:ascii="Crimson Pro" w:hAnsi="Crimson Pro"/>
          <w:color w:val="000000" w:themeColor="text1"/>
          <w:sz w:val="24"/>
          <w:szCs w:val="24"/>
          <w:shd w:val="clear" w:color="auto" w:fill="FFFFFF"/>
        </w:rPr>
        <w:t xml:space="preserve"> by bureaucratic red tape. Therefore, 20 states, including Alaska, suspended their CON laws</w:t>
      </w:r>
      <w:r w:rsidR="00A62EBB">
        <w:rPr>
          <w:rFonts w:ascii="Crimson Pro" w:hAnsi="Crimson Pro"/>
          <w:color w:val="000000" w:themeColor="text1"/>
          <w:sz w:val="24"/>
          <w:szCs w:val="24"/>
          <w:shd w:val="clear" w:color="auto" w:fill="FFFFFF"/>
        </w:rPr>
        <w:t>,</w:t>
      </w:r>
      <w:r w:rsidR="00D46703">
        <w:rPr>
          <w:rFonts w:ascii="Crimson Pro" w:hAnsi="Crimson Pro"/>
          <w:color w:val="000000" w:themeColor="text1"/>
          <w:sz w:val="24"/>
          <w:szCs w:val="24"/>
          <w:shd w:val="clear" w:color="auto" w:fill="FFFFFF"/>
        </w:rPr>
        <w:t xml:space="preserve"> and </w:t>
      </w:r>
      <w:r w:rsidR="00C467EE">
        <w:rPr>
          <w:rFonts w:ascii="Crimson Pro" w:hAnsi="Crimson Pro"/>
          <w:color w:val="000000" w:themeColor="text1"/>
          <w:sz w:val="24"/>
          <w:szCs w:val="24"/>
          <w:shd w:val="clear" w:color="auto" w:fill="FFFFFF"/>
        </w:rPr>
        <w:t>four</w:t>
      </w:r>
      <w:r w:rsidR="00D46703">
        <w:rPr>
          <w:rFonts w:ascii="Crimson Pro" w:hAnsi="Crimson Pro"/>
          <w:color w:val="000000" w:themeColor="text1"/>
          <w:sz w:val="24"/>
          <w:szCs w:val="24"/>
          <w:shd w:val="clear" w:color="auto" w:fill="FFFFFF"/>
        </w:rPr>
        <w:t xml:space="preserve"> other states issued emergency certificates of need (thus bypassing the usually months-long certificate application process).</w:t>
      </w:r>
      <w:r w:rsidR="00D46703">
        <w:rPr>
          <w:rStyle w:val="EndnoteReference"/>
          <w:rFonts w:ascii="Crimson Pro" w:hAnsi="Crimson Pro"/>
          <w:color w:val="000000" w:themeColor="text1"/>
          <w:sz w:val="24"/>
          <w:szCs w:val="24"/>
          <w:shd w:val="clear" w:color="auto" w:fill="FFFFFF"/>
        </w:rPr>
        <w:endnoteReference w:id="10"/>
      </w:r>
      <w:r w:rsidR="00D46703">
        <w:rPr>
          <w:rFonts w:ascii="Crimson Pro" w:hAnsi="Crimson Pro"/>
          <w:color w:val="000000" w:themeColor="text1"/>
          <w:sz w:val="24"/>
          <w:szCs w:val="24"/>
          <w:shd w:val="clear" w:color="auto" w:fill="FFFFFF"/>
        </w:rPr>
        <w:t xml:space="preserve"> This was a tacit admission that Certificate of Need laws </w:t>
      </w:r>
      <w:r w:rsidR="00A62EBB">
        <w:rPr>
          <w:rFonts w:ascii="Crimson Pro" w:hAnsi="Crimson Pro"/>
          <w:color w:val="000000" w:themeColor="text1"/>
          <w:sz w:val="24"/>
          <w:szCs w:val="24"/>
          <w:shd w:val="clear" w:color="auto" w:fill="FFFFFF"/>
        </w:rPr>
        <w:t>impede</w:t>
      </w:r>
      <w:r w:rsidR="00D46703">
        <w:rPr>
          <w:rFonts w:ascii="Crimson Pro" w:hAnsi="Crimson Pro"/>
          <w:color w:val="000000" w:themeColor="text1"/>
          <w:sz w:val="24"/>
          <w:szCs w:val="24"/>
          <w:shd w:val="clear" w:color="auto" w:fill="FFFFFF"/>
        </w:rPr>
        <w:t xml:space="preserve"> the rapid response of the health care system to changes in society. </w:t>
      </w:r>
    </w:p>
    <w:p w14:paraId="6EB60B8F" w14:textId="58E64C7B" w:rsidR="00D46703" w:rsidRDefault="00D46703" w:rsidP="00BA68DB">
      <w:pPr>
        <w:rPr>
          <w:rFonts w:ascii="Crimson Pro" w:hAnsi="Crimson Pro"/>
          <w:color w:val="000000" w:themeColor="text1"/>
          <w:sz w:val="24"/>
          <w:szCs w:val="24"/>
          <w:shd w:val="clear" w:color="auto" w:fill="FFFFFF"/>
        </w:rPr>
      </w:pPr>
    </w:p>
    <w:p w14:paraId="1610FB4E" w14:textId="0ECA440D" w:rsidR="00D46703" w:rsidRPr="00033862" w:rsidRDefault="00D46703" w:rsidP="00BA68DB">
      <w:pPr>
        <w:rPr>
          <w:rFonts w:ascii="Crimson Pro" w:hAnsi="Crimson Pro"/>
          <w:color w:val="000000" w:themeColor="text1"/>
          <w:sz w:val="24"/>
          <w:szCs w:val="24"/>
          <w:shd w:val="clear" w:color="auto" w:fill="FFFFFF"/>
        </w:rPr>
      </w:pPr>
      <w:r>
        <w:rPr>
          <w:rFonts w:ascii="Crimson Pro" w:hAnsi="Crimson Pro"/>
          <w:color w:val="000000" w:themeColor="text1"/>
          <w:sz w:val="24"/>
          <w:szCs w:val="24"/>
          <w:shd w:val="clear" w:color="auto" w:fill="FFFFFF"/>
        </w:rPr>
        <w:t>Lawmakers should heed the lesson</w:t>
      </w:r>
      <w:r w:rsidR="00E94767">
        <w:rPr>
          <w:rFonts w:ascii="Crimson Pro" w:hAnsi="Crimson Pro"/>
          <w:color w:val="000000" w:themeColor="text1"/>
          <w:sz w:val="24"/>
          <w:szCs w:val="24"/>
          <w:shd w:val="clear" w:color="auto" w:fill="FFFFFF"/>
        </w:rPr>
        <w:t>s</w:t>
      </w:r>
      <w:r>
        <w:rPr>
          <w:rFonts w:ascii="Crimson Pro" w:hAnsi="Crimson Pro"/>
          <w:color w:val="000000" w:themeColor="text1"/>
          <w:sz w:val="24"/>
          <w:szCs w:val="24"/>
          <w:shd w:val="clear" w:color="auto" w:fill="FFFFFF"/>
        </w:rPr>
        <w:t xml:space="preserve"> </w:t>
      </w:r>
      <w:r w:rsidR="00A62EBB">
        <w:rPr>
          <w:rFonts w:ascii="Crimson Pro" w:hAnsi="Crimson Pro"/>
          <w:color w:val="000000" w:themeColor="text1"/>
          <w:sz w:val="24"/>
          <w:szCs w:val="24"/>
          <w:shd w:val="clear" w:color="auto" w:fill="FFFFFF"/>
        </w:rPr>
        <w:t xml:space="preserve">the public health crisis provided </w:t>
      </w:r>
      <w:r>
        <w:rPr>
          <w:rFonts w:ascii="Crimson Pro" w:hAnsi="Crimson Pro"/>
          <w:color w:val="000000" w:themeColor="text1"/>
          <w:sz w:val="24"/>
          <w:szCs w:val="24"/>
          <w:shd w:val="clear" w:color="auto" w:fill="FFFFFF"/>
        </w:rPr>
        <w:t xml:space="preserve">and </w:t>
      </w:r>
      <w:r w:rsidR="006D08B9">
        <w:rPr>
          <w:rFonts w:ascii="Crimson Pro" w:hAnsi="Crimson Pro"/>
          <w:color w:val="000000" w:themeColor="text1"/>
          <w:sz w:val="24"/>
          <w:szCs w:val="24"/>
          <w:shd w:val="clear" w:color="auto" w:fill="FFFFFF"/>
        </w:rPr>
        <w:t xml:space="preserve">act now to repeal CON laws and </w:t>
      </w:r>
      <w:r w:rsidR="00E94767">
        <w:rPr>
          <w:rFonts w:ascii="Crimson Pro" w:hAnsi="Crimson Pro"/>
          <w:color w:val="000000" w:themeColor="text1"/>
          <w:sz w:val="24"/>
          <w:szCs w:val="24"/>
          <w:shd w:val="clear" w:color="auto" w:fill="FFFFFF"/>
        </w:rPr>
        <w:t>rid their health care systems of discredited central planning reminiscent of a bygone era.</w:t>
      </w:r>
    </w:p>
    <w:p w14:paraId="299ED4EC" w14:textId="4D5B3787" w:rsidR="009C693B" w:rsidRPr="00033862" w:rsidRDefault="009C693B" w:rsidP="00D05453">
      <w:pPr>
        <w:rPr>
          <w:rFonts w:ascii="Crimson Pro" w:hAnsi="Crimson Pro"/>
          <w:color w:val="000000" w:themeColor="text1"/>
          <w:sz w:val="24"/>
          <w:szCs w:val="24"/>
        </w:rPr>
      </w:pPr>
    </w:p>
    <w:p w14:paraId="3F6E2610" w14:textId="2EA535CF" w:rsidR="009C693B" w:rsidRPr="00033862" w:rsidRDefault="009C693B" w:rsidP="00D05453">
      <w:pPr>
        <w:rPr>
          <w:rFonts w:ascii="Crimson Pro" w:hAnsi="Crimson Pro"/>
          <w:color w:val="000000" w:themeColor="text1"/>
          <w:sz w:val="24"/>
          <w:szCs w:val="24"/>
        </w:rPr>
      </w:pPr>
      <w:r w:rsidRPr="00033862">
        <w:rPr>
          <w:rFonts w:ascii="Crimson Pro" w:hAnsi="Crimson Pro"/>
          <w:color w:val="000000" w:themeColor="text1"/>
          <w:sz w:val="24"/>
          <w:szCs w:val="24"/>
        </w:rPr>
        <w:t>Respectfully,</w:t>
      </w:r>
    </w:p>
    <w:p w14:paraId="130E09B6" w14:textId="1C9757D9" w:rsidR="009C693B" w:rsidRPr="00033862" w:rsidRDefault="009C693B" w:rsidP="00D05453">
      <w:pPr>
        <w:rPr>
          <w:rFonts w:ascii="Crimson Pro" w:hAnsi="Crimson Pro"/>
          <w:color w:val="000000" w:themeColor="text1"/>
          <w:sz w:val="24"/>
          <w:szCs w:val="24"/>
        </w:rPr>
      </w:pPr>
    </w:p>
    <w:p w14:paraId="7511D34E" w14:textId="743D513B" w:rsidR="009C693B" w:rsidRPr="00033862" w:rsidRDefault="009C693B" w:rsidP="00D05453">
      <w:pPr>
        <w:rPr>
          <w:rFonts w:ascii="Crimson Pro" w:hAnsi="Crimson Pro"/>
          <w:color w:val="000000" w:themeColor="text1"/>
          <w:sz w:val="24"/>
          <w:szCs w:val="24"/>
        </w:rPr>
      </w:pPr>
      <w:r w:rsidRPr="00033862">
        <w:rPr>
          <w:rFonts w:ascii="Crimson Pro" w:hAnsi="Crimson Pro"/>
          <w:color w:val="000000" w:themeColor="text1"/>
          <w:sz w:val="24"/>
          <w:szCs w:val="24"/>
        </w:rPr>
        <w:t>Jeffrey A. Singer, MD, FACS</w:t>
      </w:r>
    </w:p>
    <w:p w14:paraId="6F623559" w14:textId="015F07B3" w:rsidR="009C693B" w:rsidRPr="00033862" w:rsidRDefault="009C693B" w:rsidP="00D05453">
      <w:pPr>
        <w:rPr>
          <w:rFonts w:ascii="Crimson Pro" w:hAnsi="Crimson Pro"/>
          <w:color w:val="000000" w:themeColor="text1"/>
          <w:sz w:val="24"/>
          <w:szCs w:val="24"/>
        </w:rPr>
      </w:pPr>
      <w:r w:rsidRPr="00033862">
        <w:rPr>
          <w:rFonts w:ascii="Crimson Pro" w:hAnsi="Crimson Pro"/>
          <w:color w:val="000000" w:themeColor="text1"/>
          <w:sz w:val="24"/>
          <w:szCs w:val="24"/>
        </w:rPr>
        <w:t>Senior Fellow</w:t>
      </w:r>
    </w:p>
    <w:p w14:paraId="35B7079D" w14:textId="6635A523" w:rsidR="009C693B" w:rsidRPr="00033862" w:rsidRDefault="009C693B" w:rsidP="00D05453">
      <w:pPr>
        <w:rPr>
          <w:rFonts w:ascii="Crimson Pro" w:hAnsi="Crimson Pro"/>
          <w:color w:val="000000" w:themeColor="text1"/>
          <w:sz w:val="24"/>
          <w:szCs w:val="24"/>
        </w:rPr>
      </w:pPr>
      <w:r w:rsidRPr="00033862">
        <w:rPr>
          <w:rFonts w:ascii="Crimson Pro" w:hAnsi="Crimson Pro"/>
          <w:color w:val="000000" w:themeColor="text1"/>
          <w:sz w:val="24"/>
          <w:szCs w:val="24"/>
        </w:rPr>
        <w:t>Department of Health Policy Studies</w:t>
      </w:r>
    </w:p>
    <w:p w14:paraId="330D0B5A" w14:textId="443CBB78" w:rsidR="009C693B" w:rsidRPr="00033862" w:rsidRDefault="009C693B" w:rsidP="00D05453">
      <w:pPr>
        <w:rPr>
          <w:rFonts w:ascii="Crimson Pro" w:hAnsi="Crimson Pro"/>
          <w:color w:val="000000" w:themeColor="text1"/>
          <w:sz w:val="24"/>
          <w:szCs w:val="24"/>
        </w:rPr>
      </w:pPr>
      <w:r w:rsidRPr="00033862">
        <w:rPr>
          <w:rFonts w:ascii="Crimson Pro" w:hAnsi="Crimson Pro"/>
          <w:color w:val="000000" w:themeColor="text1"/>
          <w:sz w:val="24"/>
          <w:szCs w:val="24"/>
        </w:rPr>
        <w:t>Cato Institute</w:t>
      </w:r>
    </w:p>
    <w:p w14:paraId="68F0CC26" w14:textId="78D4BAAC" w:rsidR="009C693B" w:rsidRPr="00033862" w:rsidRDefault="009C693B" w:rsidP="00D05453">
      <w:pPr>
        <w:rPr>
          <w:rFonts w:ascii="Crimson Pro" w:hAnsi="Crimson Pro"/>
          <w:color w:val="000000" w:themeColor="text1"/>
          <w:sz w:val="24"/>
          <w:szCs w:val="24"/>
        </w:rPr>
      </w:pPr>
    </w:p>
    <w:p w14:paraId="140A55C4" w14:textId="6B890EA7" w:rsidR="009C693B" w:rsidRPr="00033862" w:rsidRDefault="009C693B" w:rsidP="00D05453">
      <w:pPr>
        <w:rPr>
          <w:rFonts w:ascii="Crimson Pro" w:hAnsi="Crimson Pro"/>
          <w:color w:val="000000" w:themeColor="text1"/>
          <w:sz w:val="24"/>
          <w:szCs w:val="24"/>
        </w:rPr>
      </w:pPr>
    </w:p>
    <w:p w14:paraId="338262B0" w14:textId="77777777" w:rsidR="009C693B" w:rsidRPr="00033862" w:rsidRDefault="009C693B" w:rsidP="00D05453">
      <w:pPr>
        <w:rPr>
          <w:rFonts w:ascii="Crimson Pro" w:hAnsi="Crimson Pro"/>
          <w:color w:val="000000" w:themeColor="text1"/>
          <w:sz w:val="24"/>
          <w:szCs w:val="24"/>
        </w:rPr>
      </w:pPr>
    </w:p>
    <w:p w14:paraId="1EB22A62" w14:textId="7924B344" w:rsidR="00BA68DB" w:rsidRPr="00033862" w:rsidRDefault="00BA68DB" w:rsidP="00D87B95">
      <w:pPr>
        <w:tabs>
          <w:tab w:val="right" w:pos="9360"/>
        </w:tabs>
        <w:rPr>
          <w:rFonts w:ascii="Crimson Pro" w:hAnsi="Crimson Pro"/>
          <w:color w:val="000000" w:themeColor="text1"/>
          <w:sz w:val="24"/>
          <w:szCs w:val="24"/>
        </w:rPr>
      </w:pPr>
    </w:p>
    <w:p w14:paraId="1EAD073F" w14:textId="19673541" w:rsidR="00DF58D7" w:rsidRPr="00033862" w:rsidRDefault="00DF58D7" w:rsidP="00695399">
      <w:pPr>
        <w:pStyle w:val="Body"/>
        <w:spacing w:line="240" w:lineRule="auto"/>
        <w:ind w:firstLine="0"/>
        <w:rPr>
          <w:rFonts w:ascii="Crimson Pro" w:eastAsia="Times New Roman" w:hAnsi="Crimson Pro"/>
          <w:color w:val="000000" w:themeColor="text1"/>
          <w:szCs w:val="24"/>
        </w:rPr>
      </w:pPr>
    </w:p>
    <w:p w14:paraId="350DF60C" w14:textId="362D3766" w:rsidR="002720E0" w:rsidRPr="00033862" w:rsidRDefault="002720E0" w:rsidP="00695399">
      <w:pPr>
        <w:pStyle w:val="Body"/>
        <w:spacing w:line="240" w:lineRule="auto"/>
        <w:ind w:firstLine="0"/>
        <w:rPr>
          <w:rFonts w:ascii="Crimson Pro" w:hAnsi="Crimson Pro"/>
          <w:color w:val="000000" w:themeColor="text1"/>
          <w:szCs w:val="24"/>
        </w:rPr>
      </w:pPr>
    </w:p>
    <w:p w14:paraId="576ABE28" w14:textId="77777777" w:rsidR="002720E0" w:rsidRPr="00033862" w:rsidRDefault="002720E0" w:rsidP="00695399">
      <w:pPr>
        <w:pStyle w:val="Body"/>
        <w:spacing w:line="240" w:lineRule="auto"/>
        <w:ind w:firstLine="0"/>
        <w:rPr>
          <w:rFonts w:ascii="Crimson Pro" w:hAnsi="Crimson Pro"/>
          <w:b/>
          <w:bCs/>
          <w:color w:val="000000" w:themeColor="text1"/>
          <w:szCs w:val="24"/>
        </w:rPr>
      </w:pPr>
    </w:p>
    <w:p w14:paraId="07C025A4" w14:textId="1AA665D0" w:rsidR="00FA7133" w:rsidRPr="00033862" w:rsidRDefault="00FA7133" w:rsidP="00695399">
      <w:pPr>
        <w:pStyle w:val="Body"/>
        <w:spacing w:line="240" w:lineRule="auto"/>
        <w:ind w:firstLine="0"/>
        <w:rPr>
          <w:rFonts w:ascii="Crimson Pro" w:hAnsi="Crimson Pro"/>
          <w:color w:val="000000" w:themeColor="text1"/>
          <w:szCs w:val="24"/>
        </w:rPr>
      </w:pPr>
    </w:p>
    <w:p w14:paraId="1598FD00" w14:textId="5C611FBB" w:rsidR="00FA7133" w:rsidRPr="00033862" w:rsidRDefault="00FA7133" w:rsidP="00695399">
      <w:pPr>
        <w:pStyle w:val="Body"/>
        <w:spacing w:line="240" w:lineRule="auto"/>
        <w:ind w:firstLine="0"/>
        <w:rPr>
          <w:rFonts w:ascii="Crimson Pro" w:hAnsi="Crimson Pro"/>
          <w:color w:val="000000" w:themeColor="text1"/>
          <w:szCs w:val="24"/>
        </w:rPr>
      </w:pPr>
    </w:p>
    <w:p w14:paraId="37F1ACCC" w14:textId="7B3C9EBA" w:rsidR="00FA7133" w:rsidRPr="00033862" w:rsidRDefault="00FA7133" w:rsidP="009E4725">
      <w:pPr>
        <w:rPr>
          <w:rFonts w:ascii="Crimson Pro" w:hAnsi="Crimson Pro"/>
          <w:color w:val="000000" w:themeColor="text1"/>
          <w:sz w:val="24"/>
          <w:szCs w:val="24"/>
        </w:rPr>
      </w:pPr>
    </w:p>
    <w:p w14:paraId="1A454314" w14:textId="10923F75" w:rsidR="00863806" w:rsidRPr="00033862" w:rsidRDefault="00863806" w:rsidP="00FA7133">
      <w:pPr>
        <w:spacing w:after="100" w:afterAutospacing="1"/>
        <w:rPr>
          <w:rFonts w:ascii="Crimson Pro" w:hAnsi="Crimson Pro"/>
          <w:color w:val="000000" w:themeColor="text1"/>
          <w:sz w:val="24"/>
          <w:szCs w:val="24"/>
        </w:rPr>
      </w:pPr>
    </w:p>
    <w:p w14:paraId="58975358" w14:textId="6E2B0C36" w:rsidR="00D6135E" w:rsidRPr="00033862" w:rsidRDefault="00D6135E" w:rsidP="00D6135E">
      <w:pPr>
        <w:rPr>
          <w:rFonts w:ascii="Crimson Pro" w:hAnsi="Crimson Pro"/>
          <w:color w:val="000000" w:themeColor="text1"/>
          <w:sz w:val="24"/>
          <w:szCs w:val="24"/>
        </w:rPr>
      </w:pPr>
    </w:p>
    <w:p w14:paraId="559E5B74" w14:textId="77777777" w:rsidR="00D6135E" w:rsidRPr="00033862" w:rsidRDefault="00D6135E" w:rsidP="00E45DE9">
      <w:pPr>
        <w:pStyle w:val="Default"/>
        <w:rPr>
          <w:rFonts w:ascii="Crimson Pro" w:hAnsi="Crimson Pro"/>
          <w:color w:val="000000" w:themeColor="text1"/>
        </w:rPr>
      </w:pPr>
    </w:p>
    <w:p w14:paraId="7CCE90A3" w14:textId="77777777" w:rsidR="00E45DE9" w:rsidRPr="00033862" w:rsidRDefault="00E45DE9" w:rsidP="00E45DE9">
      <w:pPr>
        <w:pStyle w:val="Default"/>
        <w:rPr>
          <w:rFonts w:ascii="Crimson Pro" w:hAnsi="Crimson Pro"/>
          <w:color w:val="000000" w:themeColor="text1"/>
        </w:rPr>
      </w:pPr>
    </w:p>
    <w:p w14:paraId="7977F0EF" w14:textId="77777777" w:rsidR="00E45DE9" w:rsidRPr="00033862" w:rsidRDefault="00E45DE9" w:rsidP="00C0444B">
      <w:pPr>
        <w:rPr>
          <w:rFonts w:ascii="Crimson Pro" w:hAnsi="Crimson Pro"/>
          <w:color w:val="000000" w:themeColor="text1"/>
          <w:sz w:val="24"/>
          <w:szCs w:val="24"/>
        </w:rPr>
      </w:pPr>
    </w:p>
    <w:sectPr w:rsidR="00E45DE9" w:rsidRPr="00033862" w:rsidSect="00C0444B">
      <w:endnotePr>
        <w:numFmt w:val="decimal"/>
      </w:endnotePr>
      <w:type w:val="continuous"/>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D7B2" w14:textId="77777777" w:rsidR="00D5694A" w:rsidRDefault="00D5694A" w:rsidP="00E45DE9">
      <w:r>
        <w:separator/>
      </w:r>
    </w:p>
  </w:endnote>
  <w:endnote w:type="continuationSeparator" w:id="0">
    <w:p w14:paraId="6C46486E" w14:textId="77777777" w:rsidR="00D5694A" w:rsidRDefault="00D5694A" w:rsidP="00E45DE9">
      <w:r>
        <w:continuationSeparator/>
      </w:r>
    </w:p>
  </w:endnote>
  <w:endnote w:id="1">
    <w:p w14:paraId="24AA3F37" w14:textId="50EF9FF9" w:rsidR="009812A9" w:rsidRDefault="009812A9">
      <w:pPr>
        <w:pStyle w:val="EndnoteText"/>
      </w:pPr>
      <w:r>
        <w:rPr>
          <w:rStyle w:val="EndnoteReference"/>
        </w:rPr>
        <w:endnoteRef/>
      </w:r>
      <w:r>
        <w:t xml:space="preserve"> </w:t>
      </w:r>
      <w:hyperlink r:id="rId1" w:history="1">
        <w:r w:rsidRPr="00B2126A">
          <w:rPr>
            <w:rStyle w:val="Hyperlink"/>
          </w:rPr>
          <w:t>https://www.cato.org/blog/certificate-need-laws-will-impede-preparedness-expected-surge-covid-19-cases</w:t>
        </w:r>
      </w:hyperlink>
      <w:r>
        <w:t xml:space="preserve"> </w:t>
      </w:r>
    </w:p>
  </w:endnote>
  <w:endnote w:id="2">
    <w:p w14:paraId="6508EED2" w14:textId="77777777" w:rsidR="009812A9" w:rsidRDefault="009812A9" w:rsidP="009812A9">
      <w:pPr>
        <w:pStyle w:val="EndnoteText"/>
      </w:pPr>
      <w:r>
        <w:rPr>
          <w:rStyle w:val="EndnoteReference"/>
        </w:rPr>
        <w:endnoteRef/>
      </w:r>
      <w:r>
        <w:t xml:space="preserve"> </w:t>
      </w:r>
      <w:r w:rsidRPr="00D546A6">
        <w:t>https://www.mercatus.org/system/files/mercatus-mitchell-con-healthcare-spending-v1a.pdf</w:t>
      </w:r>
    </w:p>
  </w:endnote>
  <w:endnote w:id="3">
    <w:p w14:paraId="1A4E9640" w14:textId="77777777" w:rsidR="00F71F78" w:rsidRDefault="00F71F78" w:rsidP="00F71F78">
      <w:pPr>
        <w:pStyle w:val="EndnoteText"/>
      </w:pPr>
      <w:r>
        <w:rPr>
          <w:rStyle w:val="EndnoteReference"/>
        </w:rPr>
        <w:endnoteRef/>
      </w:r>
      <w:r>
        <w:t xml:space="preserve"> </w:t>
      </w:r>
      <w:hyperlink r:id="rId2" w:anchor="Total%20national%20health%20expenditures,%20US%20$%20per%20capita,%201970-2021" w:history="1">
        <w:r w:rsidRPr="00B2126A">
          <w:rPr>
            <w:rStyle w:val="Hyperlink"/>
          </w:rPr>
          <w:t>https://www.healthsystemtracker.org/chart-collection/u-s-spending-healthcare-changed-time/#Total%20national%20health%20expenditures,%20US%20$%20per%20capita,%201970-2021</w:t>
        </w:r>
      </w:hyperlink>
      <w:r>
        <w:t xml:space="preserve"> </w:t>
      </w:r>
    </w:p>
  </w:endnote>
  <w:endnote w:id="4">
    <w:p w14:paraId="2742EF15" w14:textId="77777777" w:rsidR="005D65E9" w:rsidRPr="00F44DE0" w:rsidRDefault="005D65E9" w:rsidP="005D65E9">
      <w:pPr>
        <w:ind w:left="144" w:hanging="144"/>
        <w:rPr>
          <w:rFonts w:eastAsia="Calibri"/>
        </w:rPr>
      </w:pPr>
      <w:r>
        <w:rPr>
          <w:rStyle w:val="EndnoteReference"/>
        </w:rPr>
        <w:endnoteRef/>
      </w:r>
      <w:r>
        <w:t xml:space="preserve"> </w:t>
      </w:r>
      <w:r w:rsidRPr="00F44DE0">
        <w:rPr>
          <w:rFonts w:eastAsia="Calibri"/>
        </w:rPr>
        <w:t xml:space="preserve">Jack </w:t>
      </w:r>
      <w:r w:rsidRPr="00F44DE0">
        <w:rPr>
          <w:rFonts w:eastAsia="Calibri"/>
        </w:rPr>
        <w:t>Pistor, ‘States Modernizing Certificate of Need Laws,</w:t>
      </w:r>
      <w:r w:rsidRPr="00F44DE0">
        <w:rPr>
          <w:rFonts w:eastAsia="Calibri"/>
          <w:i/>
          <w:iCs/>
        </w:rPr>
        <w:t xml:space="preserve">’ </w:t>
      </w:r>
      <w:r w:rsidRPr="00F44DE0">
        <w:rPr>
          <w:rFonts w:eastAsia="Calibri"/>
        </w:rPr>
        <w:t xml:space="preserve">National Conference of State Legislatures Vol. 27, No. 41 (Dec. 2019), </w:t>
      </w:r>
      <w:hyperlink r:id="rId3" w:history="1">
        <w:r w:rsidRPr="00F44DE0">
          <w:rPr>
            <w:rStyle w:val="Hyperlink"/>
            <w:rFonts w:eastAsiaTheme="majorEastAsia"/>
          </w:rPr>
          <w:t>https://www.ncsl.org/research/health/states-modernizing-certificate-of-need-laws.aspx</w:t>
        </w:r>
      </w:hyperlink>
      <w:r w:rsidRPr="00F44DE0">
        <w:t xml:space="preserve">; National Conference of State Legislatures, (2019), ‘CON State List 2019’, </w:t>
      </w:r>
      <w:hyperlink r:id="rId4" w:anchor="page=41" w:history="1">
        <w:r w:rsidRPr="00F44DE0">
          <w:rPr>
            <w:rStyle w:val="Hyperlink"/>
            <w:rFonts w:eastAsiaTheme="majorEastAsia"/>
          </w:rPr>
          <w:t>https://www.ncsl.org/documents/health/CON_State_List_2019.pdf#page=41</w:t>
        </w:r>
      </w:hyperlink>
    </w:p>
    <w:p w14:paraId="4176EC92" w14:textId="4DDAC4FB" w:rsidR="005D65E9" w:rsidRDefault="005D65E9">
      <w:pPr>
        <w:pStyle w:val="EndnoteText"/>
      </w:pPr>
    </w:p>
  </w:endnote>
  <w:endnote w:id="5">
    <w:p w14:paraId="0734BABD" w14:textId="79F81526" w:rsidR="005D65E9" w:rsidRDefault="005D65E9">
      <w:pPr>
        <w:pStyle w:val="EndnoteText"/>
      </w:pPr>
      <w:r>
        <w:rPr>
          <w:rStyle w:val="EndnoteReference"/>
        </w:rPr>
        <w:endnoteRef/>
      </w:r>
      <w:r>
        <w:t xml:space="preserve"> </w:t>
      </w:r>
      <w:r w:rsidRPr="005D65E9">
        <w:t>https://medium.com/concentrated-benefits/how-state-certificate-of-need-con-laws-impact-access-to-health-care-b8d3ec84242f</w:t>
      </w:r>
    </w:p>
  </w:endnote>
  <w:endnote w:id="6">
    <w:p w14:paraId="3409E63D" w14:textId="43D8B25F" w:rsidR="00A67D58" w:rsidRDefault="00A67D58">
      <w:pPr>
        <w:pStyle w:val="EndnoteText"/>
      </w:pPr>
      <w:r>
        <w:rPr>
          <w:rStyle w:val="EndnoteReference"/>
        </w:rPr>
        <w:endnoteRef/>
      </w:r>
      <w:r>
        <w:t xml:space="preserve"> </w:t>
      </w:r>
      <w:r w:rsidRPr="00A67D58">
        <w:t>https://www.bizjournals.com/charlotte/blog/health-care/2015/01/carolinas-healthcare-asks-court-to-block-fort-mill.html</w:t>
      </w:r>
    </w:p>
  </w:endnote>
  <w:endnote w:id="7">
    <w:p w14:paraId="5227CF75" w14:textId="47385741" w:rsidR="00B14549" w:rsidRDefault="00B14549">
      <w:pPr>
        <w:pStyle w:val="EndnoteText"/>
      </w:pPr>
      <w:r>
        <w:rPr>
          <w:rStyle w:val="EndnoteReference"/>
        </w:rPr>
        <w:endnoteRef/>
      </w:r>
      <w:r>
        <w:t xml:space="preserve"> </w:t>
      </w:r>
      <w:r w:rsidRPr="00B14549">
        <w:t>http://www.healthcapital.com/hcc/newsletter/11_12/CON2.pdf</w:t>
      </w:r>
    </w:p>
  </w:endnote>
  <w:endnote w:id="8">
    <w:p w14:paraId="1A7C2757" w14:textId="7734CAA7" w:rsidR="007813F9" w:rsidRDefault="007813F9">
      <w:pPr>
        <w:pStyle w:val="EndnoteText"/>
      </w:pPr>
      <w:r>
        <w:rPr>
          <w:rStyle w:val="EndnoteReference"/>
        </w:rPr>
        <w:endnoteRef/>
      </w:r>
      <w:r>
        <w:t xml:space="preserve"> </w:t>
      </w:r>
      <w:r w:rsidRPr="007813F9">
        <w:t>https://www.mercatus.org/publications/corporate-welfare/certificate-need-laws</w:t>
      </w:r>
    </w:p>
  </w:endnote>
  <w:endnote w:id="9">
    <w:p w14:paraId="1A23613F" w14:textId="1C68C23E" w:rsidR="00E94767" w:rsidRPr="00F44DE0" w:rsidRDefault="00E94767" w:rsidP="00E94767">
      <w:pPr>
        <w:rPr>
          <w:rFonts w:eastAsia="Calibri"/>
          <w:lang w:val="en"/>
        </w:rPr>
      </w:pPr>
      <w:r>
        <w:rPr>
          <w:rStyle w:val="EndnoteReference"/>
        </w:rPr>
        <w:endnoteRef/>
      </w:r>
      <w:r>
        <w:t xml:space="preserve"> </w:t>
      </w:r>
      <w:r w:rsidRPr="00F44DE0">
        <w:rPr>
          <w:rFonts w:eastAsia="Calibri"/>
        </w:rPr>
        <w:t>Momotazur Rahman, Omar Galarraga, Jacqueline S. Zinn, David C. Grabowski &amp; Vincent Mor, ‘</w:t>
      </w:r>
      <w:r w:rsidRPr="00F44DE0">
        <w:rPr>
          <w:rFonts w:eastAsia="Calibri"/>
          <w:lang w:val="en"/>
        </w:rPr>
        <w:t>The Impact of Certificate-of-Need Laws on Nursing Home and Home Health Care Expenditures</w:t>
      </w:r>
      <w:r w:rsidR="00A62EBB">
        <w:rPr>
          <w:rFonts w:eastAsia="Calibri"/>
          <w:lang w:val="en"/>
        </w:rPr>
        <w:t>,’</w:t>
      </w:r>
      <w:r w:rsidRPr="00F44DE0">
        <w:rPr>
          <w:rFonts w:eastAsia="Calibri"/>
          <w:lang w:val="en"/>
        </w:rPr>
        <w:t xml:space="preserve"> </w:t>
      </w:r>
      <w:r w:rsidRPr="00F44DE0">
        <w:rPr>
          <w:rFonts w:eastAsia="Calibri"/>
          <w:i/>
          <w:iCs/>
          <w:lang w:val="en"/>
        </w:rPr>
        <w:t xml:space="preserve">Journal of Medical Care Research and Review </w:t>
      </w:r>
      <w:r w:rsidRPr="00F44DE0">
        <w:rPr>
          <w:rFonts w:eastAsia="Calibri"/>
          <w:lang w:val="en"/>
        </w:rPr>
        <w:t xml:space="preserve">(July 2015), </w:t>
      </w:r>
      <w:hyperlink r:id="rId5" w:history="1">
        <w:r w:rsidRPr="00F44DE0">
          <w:rPr>
            <w:rStyle w:val="Hyperlink"/>
            <w:rFonts w:eastAsia="Calibri"/>
            <w:lang w:val="en"/>
          </w:rPr>
          <w:t>https://journals.sagepub.com/doi/abs/10.1177/1077558715597161</w:t>
        </w:r>
      </w:hyperlink>
    </w:p>
    <w:p w14:paraId="6D2EC9B5" w14:textId="5A565CCA" w:rsidR="00E94767" w:rsidRDefault="00E94767">
      <w:pPr>
        <w:pStyle w:val="EndnoteText"/>
      </w:pPr>
    </w:p>
  </w:endnote>
  <w:endnote w:id="10">
    <w:p w14:paraId="082ACC5A" w14:textId="1FD2E51E" w:rsidR="00D46703" w:rsidRDefault="00D46703">
      <w:pPr>
        <w:pStyle w:val="EndnoteText"/>
      </w:pPr>
      <w:r>
        <w:rPr>
          <w:rStyle w:val="EndnoteReference"/>
        </w:rPr>
        <w:endnoteRef/>
      </w:r>
      <w:r>
        <w:t xml:space="preserve"> </w:t>
      </w:r>
      <w:r w:rsidR="00E94767" w:rsidRPr="00E94767">
        <w:t>https://pacificlegal.org/certificate-of-need-laws-covid-19/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rimson Pr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109C" w14:textId="77777777" w:rsidR="00D5694A" w:rsidRDefault="00D5694A" w:rsidP="00E45DE9">
      <w:r>
        <w:separator/>
      </w:r>
    </w:p>
  </w:footnote>
  <w:footnote w:type="continuationSeparator" w:id="0">
    <w:p w14:paraId="34CC23EB" w14:textId="77777777" w:rsidR="00D5694A" w:rsidRDefault="00D5694A" w:rsidP="00E4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E70B0"/>
    <w:multiLevelType w:val="multilevel"/>
    <w:tmpl w:val="D57235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1562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FD"/>
    <w:rsid w:val="0000419F"/>
    <w:rsid w:val="00033862"/>
    <w:rsid w:val="000600DB"/>
    <w:rsid w:val="0008453C"/>
    <w:rsid w:val="000C0173"/>
    <w:rsid w:val="000C59B4"/>
    <w:rsid w:val="000C6325"/>
    <w:rsid w:val="001001A0"/>
    <w:rsid w:val="00103DBB"/>
    <w:rsid w:val="00124578"/>
    <w:rsid w:val="0014294C"/>
    <w:rsid w:val="0017416E"/>
    <w:rsid w:val="0017754C"/>
    <w:rsid w:val="001921DA"/>
    <w:rsid w:val="00202C13"/>
    <w:rsid w:val="0022629A"/>
    <w:rsid w:val="002720E0"/>
    <w:rsid w:val="002B6836"/>
    <w:rsid w:val="002C4B9B"/>
    <w:rsid w:val="00331AD7"/>
    <w:rsid w:val="00333E19"/>
    <w:rsid w:val="003614E2"/>
    <w:rsid w:val="00364CBA"/>
    <w:rsid w:val="003858D9"/>
    <w:rsid w:val="003A6FFE"/>
    <w:rsid w:val="003F364F"/>
    <w:rsid w:val="004420C1"/>
    <w:rsid w:val="00471FB8"/>
    <w:rsid w:val="004B46F6"/>
    <w:rsid w:val="004B492B"/>
    <w:rsid w:val="004D5E54"/>
    <w:rsid w:val="004D7ED6"/>
    <w:rsid w:val="00501C68"/>
    <w:rsid w:val="005365B2"/>
    <w:rsid w:val="00543404"/>
    <w:rsid w:val="005C0676"/>
    <w:rsid w:val="005C22A0"/>
    <w:rsid w:val="005D65E9"/>
    <w:rsid w:val="00660604"/>
    <w:rsid w:val="00681770"/>
    <w:rsid w:val="0068578B"/>
    <w:rsid w:val="00695399"/>
    <w:rsid w:val="006B1A23"/>
    <w:rsid w:val="006C653E"/>
    <w:rsid w:val="006D08B9"/>
    <w:rsid w:val="006F16A2"/>
    <w:rsid w:val="007813F9"/>
    <w:rsid w:val="008215ED"/>
    <w:rsid w:val="008227AF"/>
    <w:rsid w:val="0083683E"/>
    <w:rsid w:val="00863806"/>
    <w:rsid w:val="00877EFD"/>
    <w:rsid w:val="008D3F0B"/>
    <w:rsid w:val="008D571B"/>
    <w:rsid w:val="008E13D0"/>
    <w:rsid w:val="008E24CF"/>
    <w:rsid w:val="00966428"/>
    <w:rsid w:val="009666EC"/>
    <w:rsid w:val="009812A9"/>
    <w:rsid w:val="00993555"/>
    <w:rsid w:val="009C693B"/>
    <w:rsid w:val="009E4725"/>
    <w:rsid w:val="00A027CC"/>
    <w:rsid w:val="00A62EBB"/>
    <w:rsid w:val="00A67D58"/>
    <w:rsid w:val="00B0658C"/>
    <w:rsid w:val="00B06D14"/>
    <w:rsid w:val="00B14549"/>
    <w:rsid w:val="00B70097"/>
    <w:rsid w:val="00BA68DB"/>
    <w:rsid w:val="00BB28AB"/>
    <w:rsid w:val="00C0444B"/>
    <w:rsid w:val="00C075C2"/>
    <w:rsid w:val="00C27B7A"/>
    <w:rsid w:val="00C35831"/>
    <w:rsid w:val="00C467EE"/>
    <w:rsid w:val="00C62824"/>
    <w:rsid w:val="00D046D4"/>
    <w:rsid w:val="00D05453"/>
    <w:rsid w:val="00D14D96"/>
    <w:rsid w:val="00D46703"/>
    <w:rsid w:val="00D546A6"/>
    <w:rsid w:val="00D5694A"/>
    <w:rsid w:val="00D6135E"/>
    <w:rsid w:val="00D63915"/>
    <w:rsid w:val="00D87B95"/>
    <w:rsid w:val="00D93C75"/>
    <w:rsid w:val="00DF58D7"/>
    <w:rsid w:val="00E318E0"/>
    <w:rsid w:val="00E45DE9"/>
    <w:rsid w:val="00E54AAE"/>
    <w:rsid w:val="00E9290A"/>
    <w:rsid w:val="00E94767"/>
    <w:rsid w:val="00ED4C6A"/>
    <w:rsid w:val="00EE7BDC"/>
    <w:rsid w:val="00F1437B"/>
    <w:rsid w:val="00F44406"/>
    <w:rsid w:val="00F51175"/>
    <w:rsid w:val="00F71F78"/>
    <w:rsid w:val="00F87836"/>
    <w:rsid w:val="00F945FC"/>
    <w:rsid w:val="00F97413"/>
    <w:rsid w:val="00FA7133"/>
    <w:rsid w:val="00FB02BD"/>
    <w:rsid w:val="00FD2762"/>
    <w:rsid w:val="00FD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08C"/>
  <w15:docId w15:val="{3F6CB0A9-4A61-40F5-AF0F-85EFE101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0444B"/>
    <w:rPr>
      <w:color w:val="0563C1"/>
      <w:u w:val="single"/>
    </w:rPr>
  </w:style>
  <w:style w:type="paragraph" w:styleId="NormalWeb">
    <w:name w:val="Normal (Web)"/>
    <w:basedOn w:val="Normal"/>
    <w:uiPriority w:val="99"/>
    <w:semiHidden/>
    <w:unhideWhenUsed/>
    <w:rsid w:val="00C0444B"/>
    <w:pPr>
      <w:spacing w:before="100" w:beforeAutospacing="1" w:after="100" w:afterAutospacing="1"/>
    </w:pPr>
    <w:rPr>
      <w:rFonts w:eastAsiaTheme="minorHAnsi"/>
      <w:sz w:val="24"/>
      <w:szCs w:val="24"/>
    </w:rPr>
  </w:style>
  <w:style w:type="paragraph" w:customStyle="1" w:styleId="Default">
    <w:name w:val="Default"/>
    <w:rsid w:val="0068578B"/>
    <w:pPr>
      <w:autoSpaceDE w:val="0"/>
      <w:autoSpaceDN w:val="0"/>
      <w:adjustRightInd w:val="0"/>
    </w:pPr>
    <w:rPr>
      <w:rFonts w:eastAsiaTheme="minorHAnsi"/>
      <w:color w:val="000000"/>
      <w:sz w:val="24"/>
      <w:szCs w:val="24"/>
    </w:rPr>
  </w:style>
  <w:style w:type="paragraph" w:styleId="FootnoteText">
    <w:name w:val="footnote text"/>
    <w:basedOn w:val="Normal"/>
    <w:link w:val="FootnoteTextChar"/>
    <w:uiPriority w:val="99"/>
    <w:semiHidden/>
    <w:unhideWhenUsed/>
    <w:rsid w:val="00E45DE9"/>
  </w:style>
  <w:style w:type="character" w:customStyle="1" w:styleId="FootnoteTextChar">
    <w:name w:val="Footnote Text Char"/>
    <w:basedOn w:val="DefaultParagraphFont"/>
    <w:link w:val="FootnoteText"/>
    <w:uiPriority w:val="99"/>
    <w:semiHidden/>
    <w:rsid w:val="00E45DE9"/>
  </w:style>
  <w:style w:type="character" w:styleId="FootnoteReference">
    <w:name w:val="footnote reference"/>
    <w:basedOn w:val="DefaultParagraphFont"/>
    <w:uiPriority w:val="99"/>
    <w:semiHidden/>
    <w:unhideWhenUsed/>
    <w:rsid w:val="00E45DE9"/>
    <w:rPr>
      <w:vertAlign w:val="superscript"/>
    </w:rPr>
  </w:style>
  <w:style w:type="paragraph" w:styleId="EndnoteText">
    <w:name w:val="endnote text"/>
    <w:basedOn w:val="Normal"/>
    <w:link w:val="EndnoteTextChar"/>
    <w:uiPriority w:val="99"/>
    <w:semiHidden/>
    <w:unhideWhenUsed/>
    <w:rsid w:val="00E45DE9"/>
  </w:style>
  <w:style w:type="character" w:customStyle="1" w:styleId="EndnoteTextChar">
    <w:name w:val="Endnote Text Char"/>
    <w:basedOn w:val="DefaultParagraphFont"/>
    <w:link w:val="EndnoteText"/>
    <w:uiPriority w:val="99"/>
    <w:semiHidden/>
    <w:rsid w:val="00E45DE9"/>
  </w:style>
  <w:style w:type="character" w:styleId="EndnoteReference">
    <w:name w:val="endnote reference"/>
    <w:basedOn w:val="DefaultParagraphFont"/>
    <w:uiPriority w:val="99"/>
    <w:semiHidden/>
    <w:unhideWhenUsed/>
    <w:rsid w:val="00E45DE9"/>
    <w:rPr>
      <w:vertAlign w:val="superscript"/>
    </w:rPr>
  </w:style>
  <w:style w:type="character" w:styleId="UnresolvedMention">
    <w:name w:val="Unresolved Mention"/>
    <w:basedOn w:val="DefaultParagraphFont"/>
    <w:uiPriority w:val="99"/>
    <w:semiHidden/>
    <w:unhideWhenUsed/>
    <w:rsid w:val="00D6135E"/>
    <w:rPr>
      <w:color w:val="605E5C"/>
      <w:shd w:val="clear" w:color="auto" w:fill="E1DFDD"/>
    </w:rPr>
  </w:style>
  <w:style w:type="paragraph" w:customStyle="1" w:styleId="Body">
    <w:name w:val="Body"/>
    <w:uiPriority w:val="10"/>
    <w:qFormat/>
    <w:rsid w:val="00FA7133"/>
    <w:pPr>
      <w:spacing w:before="240" w:after="240" w:line="480" w:lineRule="auto"/>
      <w:ind w:firstLine="360"/>
      <w:contextualSpacing/>
    </w:pPr>
    <w:rPr>
      <w:rFonts w:eastAsiaTheme="minorHAnsi"/>
      <w:sz w:val="24"/>
      <w:szCs w:val="32"/>
    </w:rPr>
  </w:style>
  <w:style w:type="character" w:styleId="FollowedHyperlink">
    <w:name w:val="FollowedHyperlink"/>
    <w:basedOn w:val="DefaultParagraphFont"/>
    <w:uiPriority w:val="99"/>
    <w:semiHidden/>
    <w:unhideWhenUsed/>
    <w:rsid w:val="002720E0"/>
    <w:rPr>
      <w:color w:val="800080" w:themeColor="followedHyperlink"/>
      <w:u w:val="single"/>
    </w:rPr>
  </w:style>
  <w:style w:type="character" w:customStyle="1" w:styleId="apple-converted-space">
    <w:name w:val="apple-converted-space"/>
    <w:basedOn w:val="DefaultParagraphFont"/>
    <w:rsid w:val="000C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683">
      <w:bodyDiv w:val="1"/>
      <w:marLeft w:val="0"/>
      <w:marRight w:val="0"/>
      <w:marTop w:val="0"/>
      <w:marBottom w:val="0"/>
      <w:divBdr>
        <w:top w:val="none" w:sz="0" w:space="0" w:color="auto"/>
        <w:left w:val="none" w:sz="0" w:space="0" w:color="auto"/>
        <w:bottom w:val="none" w:sz="0" w:space="0" w:color="auto"/>
        <w:right w:val="none" w:sz="0" w:space="0" w:color="auto"/>
      </w:divBdr>
    </w:div>
    <w:div w:id="119882700">
      <w:bodyDiv w:val="1"/>
      <w:marLeft w:val="0"/>
      <w:marRight w:val="0"/>
      <w:marTop w:val="0"/>
      <w:marBottom w:val="0"/>
      <w:divBdr>
        <w:top w:val="none" w:sz="0" w:space="0" w:color="auto"/>
        <w:left w:val="none" w:sz="0" w:space="0" w:color="auto"/>
        <w:bottom w:val="none" w:sz="0" w:space="0" w:color="auto"/>
        <w:right w:val="none" w:sz="0" w:space="0" w:color="auto"/>
      </w:divBdr>
    </w:div>
    <w:div w:id="792866331">
      <w:bodyDiv w:val="1"/>
      <w:marLeft w:val="0"/>
      <w:marRight w:val="0"/>
      <w:marTop w:val="0"/>
      <w:marBottom w:val="0"/>
      <w:divBdr>
        <w:top w:val="none" w:sz="0" w:space="0" w:color="auto"/>
        <w:left w:val="none" w:sz="0" w:space="0" w:color="auto"/>
        <w:bottom w:val="none" w:sz="0" w:space="0" w:color="auto"/>
        <w:right w:val="none" w:sz="0" w:space="0" w:color="auto"/>
      </w:divBdr>
    </w:div>
    <w:div w:id="1075080790">
      <w:bodyDiv w:val="1"/>
      <w:marLeft w:val="0"/>
      <w:marRight w:val="0"/>
      <w:marTop w:val="0"/>
      <w:marBottom w:val="0"/>
      <w:divBdr>
        <w:top w:val="none" w:sz="0" w:space="0" w:color="auto"/>
        <w:left w:val="none" w:sz="0" w:space="0" w:color="auto"/>
        <w:bottom w:val="none" w:sz="0" w:space="0" w:color="auto"/>
        <w:right w:val="none" w:sz="0" w:space="0" w:color="auto"/>
      </w:divBdr>
    </w:div>
    <w:div w:id="1158157949">
      <w:bodyDiv w:val="1"/>
      <w:marLeft w:val="0"/>
      <w:marRight w:val="0"/>
      <w:marTop w:val="0"/>
      <w:marBottom w:val="0"/>
      <w:divBdr>
        <w:top w:val="none" w:sz="0" w:space="0" w:color="auto"/>
        <w:left w:val="none" w:sz="0" w:space="0" w:color="auto"/>
        <w:bottom w:val="none" w:sz="0" w:space="0" w:color="auto"/>
        <w:right w:val="none" w:sz="0" w:space="0" w:color="auto"/>
      </w:divBdr>
    </w:div>
    <w:div w:id="1642231871">
      <w:bodyDiv w:val="1"/>
      <w:marLeft w:val="0"/>
      <w:marRight w:val="0"/>
      <w:marTop w:val="0"/>
      <w:marBottom w:val="0"/>
      <w:divBdr>
        <w:top w:val="none" w:sz="0" w:space="0" w:color="auto"/>
        <w:left w:val="none" w:sz="0" w:space="0" w:color="auto"/>
        <w:bottom w:val="none" w:sz="0" w:space="0" w:color="auto"/>
        <w:right w:val="none" w:sz="0" w:space="0" w:color="auto"/>
      </w:divBdr>
    </w:div>
    <w:div w:id="1756391228">
      <w:bodyDiv w:val="1"/>
      <w:marLeft w:val="0"/>
      <w:marRight w:val="0"/>
      <w:marTop w:val="0"/>
      <w:marBottom w:val="0"/>
      <w:divBdr>
        <w:top w:val="none" w:sz="0" w:space="0" w:color="auto"/>
        <w:left w:val="none" w:sz="0" w:space="0" w:color="auto"/>
        <w:bottom w:val="none" w:sz="0" w:space="0" w:color="auto"/>
        <w:right w:val="none" w:sz="0" w:space="0" w:color="auto"/>
      </w:divBdr>
    </w:div>
    <w:div w:id="1902859564">
      <w:bodyDiv w:val="1"/>
      <w:marLeft w:val="0"/>
      <w:marRight w:val="0"/>
      <w:marTop w:val="0"/>
      <w:marBottom w:val="0"/>
      <w:divBdr>
        <w:top w:val="none" w:sz="0" w:space="0" w:color="auto"/>
        <w:left w:val="none" w:sz="0" w:space="0" w:color="auto"/>
        <w:bottom w:val="none" w:sz="0" w:space="0" w:color="auto"/>
        <w:right w:val="none" w:sz="0" w:space="0" w:color="auto"/>
      </w:divBdr>
    </w:div>
    <w:div w:id="209920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ncsl.org/research/health/states-modernizing-certificate-of-need-laws.aspx" TargetMode="External"/><Relationship Id="rId2" Type="http://schemas.openxmlformats.org/officeDocument/2006/relationships/hyperlink" Target="https://www.healthsystemtracker.org/chart-collection/u-s-spending-healthcare-changed-time/" TargetMode="External"/><Relationship Id="rId1" Type="http://schemas.openxmlformats.org/officeDocument/2006/relationships/hyperlink" Target="https://www.cato.org/blog/certificate-need-laws-will-impede-preparedness-expected-surge-covid-19-cases" TargetMode="External"/><Relationship Id="rId5" Type="http://schemas.openxmlformats.org/officeDocument/2006/relationships/hyperlink" Target="https://journals.sagepub.com/doi/abs/10.1177/1077558715597161" TargetMode="External"/><Relationship Id="rId4" Type="http://schemas.openxmlformats.org/officeDocument/2006/relationships/hyperlink" Target="https://www.ncsl.org/documents/health/CON_State_Lis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Schemenaur</dc:creator>
  <cp:lastModifiedBy>Jeffrey Singer</cp:lastModifiedBy>
  <cp:revision>5</cp:revision>
  <dcterms:created xsi:type="dcterms:W3CDTF">2023-02-19T17:51:00Z</dcterms:created>
  <dcterms:modified xsi:type="dcterms:W3CDTF">2023-02-19T18:59:00Z</dcterms:modified>
</cp:coreProperties>
</file>