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theme/themeOverride1.xml" ContentType="application/vnd.openxmlformats-officedocument.themeOverride+xml"/>
  <Default Extension="xml" ContentType="application/xml"/>
  <Override PartName="/word/charts/chart1.xml" ContentType="application/vnd.openxmlformats-officedocument.drawingml.chart+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8D5" w:rsidRDefault="006778D5">
      <w:r>
        <w:t xml:space="preserve">Date: </w:t>
      </w:r>
      <w:r>
        <w:tab/>
        <w:t>March 25, 2012</w:t>
      </w:r>
    </w:p>
    <w:p w:rsidR="006778D5" w:rsidRDefault="006778D5"/>
    <w:p w:rsidR="006778D5" w:rsidRDefault="006778D5">
      <w:r>
        <w:t>To:</w:t>
      </w:r>
      <w:r>
        <w:tab/>
        <w:t>Representative Bill Thomas, Co Chair</w:t>
      </w:r>
    </w:p>
    <w:p w:rsidR="006778D5" w:rsidRDefault="006778D5" w:rsidP="009B3228">
      <w:pPr>
        <w:ind w:firstLine="720"/>
      </w:pPr>
      <w:r>
        <w:t xml:space="preserve">Representative </w:t>
      </w:r>
      <w:r w:rsidR="008C40B7">
        <w:t xml:space="preserve">Bill </w:t>
      </w:r>
      <w:r>
        <w:t>Stoltze, Co Chair</w:t>
      </w:r>
    </w:p>
    <w:p w:rsidR="006778D5" w:rsidRDefault="006778D5" w:rsidP="009B3228">
      <w:pPr>
        <w:ind w:firstLine="720"/>
      </w:pPr>
    </w:p>
    <w:p w:rsidR="006778D5" w:rsidRDefault="006778D5" w:rsidP="009B3228">
      <w:pPr>
        <w:ind w:firstLine="720"/>
      </w:pPr>
      <w:r>
        <w:t>Members of the House Finance Committee</w:t>
      </w:r>
    </w:p>
    <w:p w:rsidR="006778D5" w:rsidRDefault="006778D5" w:rsidP="00582816">
      <w:pPr>
        <w:ind w:firstLine="720"/>
      </w:pPr>
      <w:r>
        <w:t>27</w:t>
      </w:r>
      <w:r w:rsidRPr="009B3228">
        <w:rPr>
          <w:vertAlign w:val="superscript"/>
        </w:rPr>
        <w:t>th</w:t>
      </w:r>
      <w:r>
        <w:t xml:space="preserve"> Alaska State Legislature</w:t>
      </w:r>
    </w:p>
    <w:p w:rsidR="006778D5" w:rsidRDefault="006778D5"/>
    <w:p w:rsidR="006778D5" w:rsidRDefault="006778D5">
      <w:r>
        <w:t>From:  Michael Swain, Jr.</w:t>
      </w:r>
    </w:p>
    <w:p w:rsidR="006778D5" w:rsidRDefault="006778D5">
      <w:r>
        <w:tab/>
        <w:t>President, Bristol Bay Borough School District</w:t>
      </w:r>
    </w:p>
    <w:p w:rsidR="006778D5" w:rsidRDefault="006778D5"/>
    <w:p w:rsidR="006778D5" w:rsidRDefault="006778D5">
      <w:r>
        <w:t xml:space="preserve">Thank you for the opportunity to provide a perspective on the financial situation and challenges we face in the Bristol Bay Borough School District.  As a District that serves approximately 150 students in grades k-12 from the southwest communities of Naknek, South Naknek, and King Salmon, we have a history of providing a quality academic and extra curricular program for the students.  </w:t>
      </w:r>
    </w:p>
    <w:p w:rsidR="006778D5" w:rsidRDefault="006778D5"/>
    <w:p w:rsidR="006778D5" w:rsidRDefault="006778D5">
      <w:r>
        <w:t>In 2011, we joined an ever-growing list of schools and districts that did not make Adequate Yearly Progress (AYP) as prescribed under the No Child Left Behind (NCLB) legislation.  This was the first time we fell short of that measure.  It is important to mention we hit all of the academic targets at every grade level and in every subject.  We did not reach the 85% graduation rate and only achieved a 72% level.  Obviously, this is a rate we will be working on and hope to improve on.  I think that graduation rate is also a statistic that puts a complicated matter in an easily calculated metric.  It leaves considerable realities out of the discussion.</w:t>
      </w:r>
    </w:p>
    <w:p w:rsidR="006778D5" w:rsidRDefault="006778D5"/>
    <w:p w:rsidR="006778D5" w:rsidRDefault="006778D5">
      <w:r>
        <w:t>We were asked to respond to specific questions and to prepare written testimony in advance of the testimony before the Committee.</w:t>
      </w:r>
    </w:p>
    <w:p w:rsidR="006778D5" w:rsidRDefault="006778D5"/>
    <w:p w:rsidR="006778D5" w:rsidRDefault="006778D5" w:rsidP="0026563F">
      <w:pPr>
        <w:pStyle w:val="ListParagraph"/>
        <w:numPr>
          <w:ilvl w:val="0"/>
          <w:numId w:val="1"/>
        </w:numPr>
        <w:rPr>
          <w:rFonts w:cs="Calibri"/>
          <w:b/>
          <w:sz w:val="24"/>
        </w:rPr>
      </w:pPr>
      <w:r w:rsidRPr="001729AF">
        <w:rPr>
          <w:rFonts w:cs="Calibri"/>
          <w:b/>
          <w:sz w:val="24"/>
        </w:rPr>
        <w:t xml:space="preserve">What is your FY13 total school district budget?  </w:t>
      </w:r>
    </w:p>
    <w:p w:rsidR="00954E49" w:rsidRPr="00954E49" w:rsidRDefault="00A06B2B" w:rsidP="00954E49">
      <w:pPr>
        <w:pStyle w:val="ListParagraph"/>
        <w:numPr>
          <w:ilvl w:val="1"/>
          <w:numId w:val="1"/>
        </w:numPr>
        <w:rPr>
          <w:rFonts w:cs="Calibri"/>
          <w:sz w:val="24"/>
        </w:rPr>
      </w:pPr>
      <w:r>
        <w:rPr>
          <w:rFonts w:cs="Calibri"/>
          <w:sz w:val="24"/>
        </w:rPr>
        <w:t>In 2013</w:t>
      </w:r>
      <w:r w:rsidR="00954E49" w:rsidRPr="00954E49">
        <w:rPr>
          <w:rFonts w:cs="Calibri"/>
          <w:sz w:val="24"/>
        </w:rPr>
        <w:t xml:space="preserve">, our total budget </w:t>
      </w:r>
      <w:r w:rsidR="008C40B7">
        <w:rPr>
          <w:rFonts w:cs="Calibri"/>
          <w:sz w:val="24"/>
        </w:rPr>
        <w:t>i</w:t>
      </w:r>
      <w:r w:rsidR="00954E49" w:rsidRPr="00954E49">
        <w:rPr>
          <w:rFonts w:cs="Calibri"/>
          <w:sz w:val="24"/>
        </w:rPr>
        <w:t>s $</w:t>
      </w:r>
      <w:r>
        <w:rPr>
          <w:rFonts w:cs="Calibri"/>
          <w:sz w:val="24"/>
        </w:rPr>
        <w:t>4,144,778</w:t>
      </w:r>
      <w:r w:rsidR="00954E49" w:rsidRPr="00954E49">
        <w:rPr>
          <w:rFonts w:cs="Calibri"/>
          <w:sz w:val="24"/>
        </w:rPr>
        <w:t>.</w:t>
      </w:r>
    </w:p>
    <w:p w:rsidR="00954E49" w:rsidRPr="00954E49" w:rsidRDefault="00954E49" w:rsidP="00954E49">
      <w:pPr>
        <w:pStyle w:val="ListParagraph"/>
        <w:numPr>
          <w:ilvl w:val="1"/>
          <w:numId w:val="1"/>
        </w:numPr>
        <w:rPr>
          <w:rFonts w:cs="Calibri"/>
          <w:sz w:val="24"/>
        </w:rPr>
      </w:pPr>
      <w:r w:rsidRPr="00954E49">
        <w:rPr>
          <w:rFonts w:cs="Calibri"/>
          <w:sz w:val="24"/>
        </w:rPr>
        <w:t>In 2012, our total budget was $</w:t>
      </w:r>
      <w:r w:rsidR="00A06B2B">
        <w:rPr>
          <w:rFonts w:cs="Calibri"/>
          <w:sz w:val="24"/>
        </w:rPr>
        <w:t>3,856,653</w:t>
      </w:r>
      <w:r w:rsidRPr="00954E49">
        <w:rPr>
          <w:rFonts w:cs="Calibri"/>
          <w:sz w:val="24"/>
        </w:rPr>
        <w:t>.</w:t>
      </w:r>
    </w:p>
    <w:p w:rsidR="006778D5" w:rsidRPr="00954E49" w:rsidRDefault="006778D5" w:rsidP="00954E49">
      <w:pPr>
        <w:pStyle w:val="ListParagraph"/>
        <w:numPr>
          <w:ilvl w:val="0"/>
          <w:numId w:val="1"/>
        </w:numPr>
        <w:rPr>
          <w:rFonts w:cs="Calibri"/>
          <w:b/>
          <w:sz w:val="24"/>
        </w:rPr>
      </w:pPr>
      <w:r w:rsidRPr="00954E49">
        <w:rPr>
          <w:rFonts w:cs="Calibri"/>
          <w:b/>
          <w:sz w:val="24"/>
        </w:rPr>
        <w:t>What percentage goes to personnel?</w:t>
      </w:r>
    </w:p>
    <w:p w:rsidR="006778D5" w:rsidRDefault="002A5F6E" w:rsidP="0026563F">
      <w:pPr>
        <w:pStyle w:val="ListParagraph"/>
        <w:numPr>
          <w:ilvl w:val="1"/>
          <w:numId w:val="1"/>
        </w:numPr>
        <w:rPr>
          <w:rFonts w:cs="Calibri"/>
          <w:sz w:val="24"/>
        </w:rPr>
      </w:pPr>
      <w:r>
        <w:rPr>
          <w:rFonts w:cs="Calibri"/>
          <w:sz w:val="24"/>
        </w:rPr>
        <w:t>Personnel costs this year represent</w:t>
      </w:r>
      <w:r w:rsidR="00A06B2B">
        <w:rPr>
          <w:rFonts w:cs="Calibri"/>
          <w:sz w:val="24"/>
        </w:rPr>
        <w:t xml:space="preserve"> 68</w:t>
      </w:r>
      <w:r w:rsidR="006778D5" w:rsidRPr="000D5D04">
        <w:rPr>
          <w:rFonts w:cs="Calibri"/>
          <w:sz w:val="24"/>
        </w:rPr>
        <w:t>%</w:t>
      </w:r>
      <w:r w:rsidR="006778D5">
        <w:rPr>
          <w:rFonts w:cs="Calibri"/>
          <w:sz w:val="24"/>
        </w:rPr>
        <w:t xml:space="preserve"> </w:t>
      </w:r>
      <w:r>
        <w:rPr>
          <w:rFonts w:cs="Calibri"/>
          <w:sz w:val="24"/>
        </w:rPr>
        <w:t xml:space="preserve">of our total budget.  Historically, that number had been 60-65% </w:t>
      </w:r>
      <w:r w:rsidR="006778D5">
        <w:rPr>
          <w:rFonts w:cs="Calibri"/>
          <w:sz w:val="24"/>
        </w:rPr>
        <w:t>for the greater part of a decade in Bristol Bay.  In the last 5 years we have moved that number up, knowing that our salaries and benefits were not as competitive as necessary and that was a position of not only the district, but the 2007 Education Funding Task Force that the State Legislature had created.</w:t>
      </w:r>
    </w:p>
    <w:p w:rsidR="006778D5" w:rsidRPr="000D5D04" w:rsidRDefault="006778D5" w:rsidP="009C027A">
      <w:pPr>
        <w:pStyle w:val="ListParagraph"/>
        <w:ind w:left="1440"/>
        <w:rPr>
          <w:rFonts w:cs="Calibri"/>
          <w:sz w:val="24"/>
        </w:rPr>
      </w:pPr>
    </w:p>
    <w:p w:rsidR="006778D5" w:rsidRDefault="006778D5" w:rsidP="001729AF">
      <w:pPr>
        <w:pStyle w:val="ListParagraph"/>
        <w:numPr>
          <w:ilvl w:val="0"/>
          <w:numId w:val="1"/>
        </w:numPr>
        <w:rPr>
          <w:rFonts w:cs="Calibri"/>
          <w:b/>
          <w:sz w:val="24"/>
        </w:rPr>
      </w:pPr>
      <w:r w:rsidRPr="001729AF">
        <w:rPr>
          <w:rFonts w:cs="Calibri"/>
          <w:b/>
          <w:sz w:val="24"/>
        </w:rPr>
        <w:t>Provide a graph that shows your total school district budget from FY09-FY13 (5 years), broken down by funding source (state/local/fed/mix)</w:t>
      </w:r>
    </w:p>
    <w:p w:rsidR="0079285C" w:rsidRPr="0079285C" w:rsidRDefault="0079285C" w:rsidP="0079285C">
      <w:pPr>
        <w:pStyle w:val="ListParagraph"/>
        <w:rPr>
          <w:rFonts w:cs="Calibri"/>
          <w:b/>
        </w:rPr>
      </w:pPr>
    </w:p>
    <w:p w:rsidR="0079285C" w:rsidRDefault="00862561" w:rsidP="0079285C">
      <w:pPr>
        <w:pStyle w:val="ListParagraph"/>
        <w:ind w:left="810"/>
        <w:rPr>
          <w:rFonts w:cs="Calibri"/>
          <w:b/>
          <w:sz w:val="24"/>
        </w:rPr>
      </w:pPr>
      <w:r>
        <w:rPr>
          <w:noProof/>
        </w:rPr>
        <w:drawing>
          <wp:inline distT="0" distB="0" distL="0" distR="0">
            <wp:extent cx="4569460" cy="2740660"/>
            <wp:effectExtent l="0" t="0" r="27940" b="27940"/>
            <wp:docPr id="3" name="Picture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6778D5" w:rsidRPr="002A0866" w:rsidRDefault="006778D5" w:rsidP="007D5E6F">
      <w:pPr>
        <w:pStyle w:val="ListParagraph"/>
        <w:numPr>
          <w:ilvl w:val="1"/>
          <w:numId w:val="5"/>
        </w:numPr>
        <w:ind w:left="720"/>
        <w:rPr>
          <w:rFonts w:cs="Calibri"/>
          <w:b/>
          <w:sz w:val="24"/>
        </w:rPr>
      </w:pPr>
      <w:r w:rsidRPr="002A0866">
        <w:rPr>
          <w:rFonts w:cs="Calibri"/>
          <w:b/>
          <w:sz w:val="24"/>
        </w:rPr>
        <w:t xml:space="preserve">Did you fund to the </w:t>
      </w:r>
      <w:r w:rsidRPr="002A0866">
        <w:rPr>
          <w:rFonts w:cs="Calibri"/>
          <w:b/>
          <w:sz w:val="24"/>
          <w:u w:val="single"/>
        </w:rPr>
        <w:t>total allowable</w:t>
      </w:r>
      <w:r w:rsidRPr="002A0866">
        <w:rPr>
          <w:rFonts w:cs="Calibri"/>
          <w:b/>
          <w:sz w:val="24"/>
        </w:rPr>
        <w:t xml:space="preserve"> local contribution in FY 12?</w:t>
      </w:r>
      <w:r w:rsidRPr="002A0866">
        <w:rPr>
          <w:rFonts w:cs="Calibri"/>
          <w:sz w:val="24"/>
        </w:rPr>
        <w:t xml:space="preserve">  No </w:t>
      </w:r>
    </w:p>
    <w:p w:rsidR="006778D5" w:rsidRPr="002A0866" w:rsidRDefault="006778D5" w:rsidP="007D5E6F">
      <w:pPr>
        <w:pStyle w:val="ListParagraph"/>
        <w:numPr>
          <w:ilvl w:val="2"/>
          <w:numId w:val="6"/>
        </w:numPr>
        <w:tabs>
          <w:tab w:val="left" w:pos="1530"/>
        </w:tabs>
        <w:ind w:left="1530" w:hanging="450"/>
        <w:rPr>
          <w:rFonts w:cs="Calibri"/>
          <w:b/>
          <w:sz w:val="24"/>
        </w:rPr>
      </w:pPr>
      <w:r w:rsidRPr="002A0866">
        <w:rPr>
          <w:rFonts w:cs="Calibri"/>
          <w:sz w:val="24"/>
        </w:rPr>
        <w:t xml:space="preserve"> </w:t>
      </w:r>
      <w:r w:rsidRPr="002A0866">
        <w:rPr>
          <w:rFonts w:cs="Calibri"/>
          <w:b/>
          <w:sz w:val="24"/>
        </w:rPr>
        <w:t>In FY13?</w:t>
      </w:r>
      <w:r w:rsidRPr="002A0866">
        <w:rPr>
          <w:rFonts w:cs="Calibri"/>
          <w:sz w:val="24"/>
        </w:rPr>
        <w:t xml:space="preserve"> No, the borough has never gone to the cap, yet they continue to fund at a level that is above the 4 mil</w:t>
      </w:r>
      <w:r w:rsidR="0079285C">
        <w:rPr>
          <w:rFonts w:cs="Calibri"/>
          <w:sz w:val="24"/>
        </w:rPr>
        <w:t>l</w:t>
      </w:r>
      <w:r w:rsidRPr="002A0866">
        <w:rPr>
          <w:rFonts w:cs="Calibri"/>
          <w:sz w:val="24"/>
        </w:rPr>
        <w:t xml:space="preserve"> commitment they are required to make.  Their initial discussions this year starts at an equivalent of 4.4 mil</w:t>
      </w:r>
      <w:r w:rsidR="0079285C">
        <w:rPr>
          <w:rFonts w:cs="Calibri"/>
          <w:sz w:val="24"/>
        </w:rPr>
        <w:t>l</w:t>
      </w:r>
      <w:r w:rsidRPr="002A0866">
        <w:rPr>
          <w:rFonts w:cs="Calibri"/>
          <w:sz w:val="24"/>
        </w:rPr>
        <w:t>.  In some years their cash and in-kind contributions have been above a 5 mill level.</w:t>
      </w:r>
    </w:p>
    <w:p w:rsidR="006778D5" w:rsidRPr="00E01D8A" w:rsidRDefault="006778D5" w:rsidP="000C589B">
      <w:pPr>
        <w:pStyle w:val="ListParagraph"/>
        <w:rPr>
          <w:rFonts w:cs="Calibri"/>
          <w:sz w:val="24"/>
        </w:rPr>
      </w:pPr>
    </w:p>
    <w:p w:rsidR="006778D5" w:rsidRPr="00E01D8A" w:rsidRDefault="006778D5" w:rsidP="007D5E6F">
      <w:pPr>
        <w:pStyle w:val="ListParagraph"/>
        <w:numPr>
          <w:ilvl w:val="0"/>
          <w:numId w:val="10"/>
        </w:numPr>
        <w:rPr>
          <w:rFonts w:cs="Calibri"/>
          <w:b/>
          <w:sz w:val="24"/>
        </w:rPr>
      </w:pPr>
      <w:r w:rsidRPr="00E01D8A">
        <w:rPr>
          <w:rFonts w:cs="Calibri"/>
          <w:b/>
          <w:sz w:val="24"/>
        </w:rPr>
        <w:t>If not, how much below were you?</w:t>
      </w:r>
      <w:r w:rsidRPr="00E01D8A">
        <w:rPr>
          <w:rFonts w:cs="Calibri"/>
          <w:sz w:val="24"/>
        </w:rPr>
        <w:t xml:space="preserve">  On average the Borough contribution is generally $200,000 plus below the cap</w:t>
      </w:r>
      <w:r>
        <w:rPr>
          <w:rFonts w:cs="Calibri"/>
          <w:sz w:val="24"/>
        </w:rPr>
        <w:t>.</w:t>
      </w:r>
      <w:r w:rsidRPr="00E01D8A">
        <w:rPr>
          <w:rFonts w:cs="Calibri"/>
          <w:sz w:val="24"/>
        </w:rPr>
        <w:t xml:space="preserve">  </w:t>
      </w:r>
      <w:r w:rsidRPr="00E01D8A">
        <w:rPr>
          <w:rFonts w:cs="Calibri"/>
          <w:b/>
          <w:sz w:val="24"/>
        </w:rPr>
        <w:t>Why?</w:t>
      </w:r>
    </w:p>
    <w:p w:rsidR="006778D5" w:rsidRPr="000C589B" w:rsidRDefault="006778D5" w:rsidP="007D5E6F">
      <w:pPr>
        <w:pStyle w:val="ListParagraph"/>
        <w:numPr>
          <w:ilvl w:val="2"/>
          <w:numId w:val="8"/>
        </w:numPr>
        <w:ind w:left="1440" w:hanging="450"/>
        <w:rPr>
          <w:rFonts w:cs="Calibri"/>
          <w:b/>
          <w:sz w:val="24"/>
        </w:rPr>
      </w:pPr>
      <w:r>
        <w:rPr>
          <w:rFonts w:cs="Calibri"/>
          <w:sz w:val="24"/>
        </w:rPr>
        <w:t>The B</w:t>
      </w:r>
      <w:r w:rsidRPr="000D5D04">
        <w:rPr>
          <w:rFonts w:cs="Calibri"/>
          <w:sz w:val="24"/>
        </w:rPr>
        <w:t xml:space="preserve">orough has many priorities and like the legislature, there are times when education is not the top </w:t>
      </w:r>
      <w:r>
        <w:rPr>
          <w:rFonts w:cs="Calibri"/>
          <w:sz w:val="24"/>
        </w:rPr>
        <w:t xml:space="preserve">or only </w:t>
      </w:r>
      <w:r w:rsidRPr="000D5D04">
        <w:rPr>
          <w:rFonts w:cs="Calibri"/>
          <w:sz w:val="24"/>
        </w:rPr>
        <w:t xml:space="preserve">priority. </w:t>
      </w:r>
    </w:p>
    <w:p w:rsidR="006778D5" w:rsidRPr="000C589B" w:rsidRDefault="006778D5" w:rsidP="007D5E6F">
      <w:pPr>
        <w:pStyle w:val="ListParagraph"/>
        <w:numPr>
          <w:ilvl w:val="2"/>
          <w:numId w:val="8"/>
        </w:numPr>
        <w:ind w:left="1440" w:hanging="450"/>
        <w:rPr>
          <w:rFonts w:cs="Calibri"/>
          <w:b/>
          <w:sz w:val="24"/>
        </w:rPr>
      </w:pPr>
      <w:r>
        <w:rPr>
          <w:rFonts w:cs="Calibri"/>
          <w:sz w:val="24"/>
        </w:rPr>
        <w:t>Members of the community and Assembly hear what ind</w:t>
      </w:r>
      <w:r w:rsidR="00E50852">
        <w:rPr>
          <w:rFonts w:cs="Calibri"/>
          <w:sz w:val="24"/>
        </w:rPr>
        <w:t xml:space="preserve">ividuals like the Governor say </w:t>
      </w:r>
      <w:r>
        <w:rPr>
          <w:rFonts w:cs="Calibri"/>
          <w:sz w:val="24"/>
        </w:rPr>
        <w:t>about schools being failed systems and bad investments, often echoed by other elected officials, the University of Alaska system, and a national media, and they have a harder time</w:t>
      </w:r>
      <w:r w:rsidRPr="000D5D04">
        <w:rPr>
          <w:rFonts w:cs="Calibri"/>
          <w:sz w:val="24"/>
        </w:rPr>
        <w:t xml:space="preserve"> </w:t>
      </w:r>
      <w:r w:rsidR="00E50852">
        <w:rPr>
          <w:rFonts w:cs="Calibri"/>
          <w:sz w:val="24"/>
        </w:rPr>
        <w:t>believing we need more money.</w:t>
      </w:r>
    </w:p>
    <w:p w:rsidR="006778D5" w:rsidRPr="002944C5" w:rsidRDefault="006778D5" w:rsidP="007D5E6F">
      <w:pPr>
        <w:pStyle w:val="ListParagraph"/>
        <w:numPr>
          <w:ilvl w:val="2"/>
          <w:numId w:val="8"/>
        </w:numPr>
        <w:ind w:left="1440" w:hanging="450"/>
        <w:rPr>
          <w:rFonts w:cs="Calibri"/>
          <w:b/>
          <w:sz w:val="24"/>
        </w:rPr>
      </w:pPr>
      <w:r w:rsidRPr="000D5D04">
        <w:rPr>
          <w:rFonts w:cs="Calibri"/>
          <w:sz w:val="24"/>
        </w:rPr>
        <w:t>There are many who believe the rhetoric that schools are failing and are not helping prepare kids for the future.  In asking the district to accept the same funding for two years, the fy12 contributions of the borough amounted to a reduction as no costs would stay the same</w:t>
      </w:r>
      <w:r w:rsidR="00E50852">
        <w:rPr>
          <w:rFonts w:cs="Calibri"/>
          <w:sz w:val="24"/>
        </w:rPr>
        <w:t xml:space="preserve"> as in FY11</w:t>
      </w:r>
      <w:r w:rsidRPr="000D5D04">
        <w:rPr>
          <w:rFonts w:cs="Calibri"/>
          <w:sz w:val="24"/>
        </w:rPr>
        <w:t>.</w:t>
      </w:r>
    </w:p>
    <w:p w:rsidR="006778D5" w:rsidRPr="000D5D04" w:rsidRDefault="006778D5" w:rsidP="007D5E6F">
      <w:pPr>
        <w:pStyle w:val="ListParagraph"/>
        <w:numPr>
          <w:ilvl w:val="2"/>
          <w:numId w:val="8"/>
        </w:numPr>
        <w:ind w:left="1440" w:hanging="450"/>
        <w:rPr>
          <w:rFonts w:cs="Calibri"/>
          <w:b/>
          <w:sz w:val="24"/>
        </w:rPr>
      </w:pPr>
      <w:r>
        <w:rPr>
          <w:rFonts w:cs="Calibri"/>
          <w:sz w:val="24"/>
        </w:rPr>
        <w:t xml:space="preserve">We also recognize that our declining student numbers is also an indicator of the fact that </w:t>
      </w:r>
      <w:r w:rsidR="00E50852">
        <w:rPr>
          <w:rFonts w:cs="Calibri"/>
          <w:sz w:val="24"/>
        </w:rPr>
        <w:t>fewer</w:t>
      </w:r>
      <w:r>
        <w:rPr>
          <w:rFonts w:cs="Calibri"/>
          <w:sz w:val="24"/>
        </w:rPr>
        <w:t xml:space="preserve"> homes in our Borough contain children who attend our schools and as their other expenses continue to escalate it is harder for them to continue to support education</w:t>
      </w:r>
      <w:r w:rsidR="00E50852">
        <w:rPr>
          <w:rFonts w:cs="Calibri"/>
          <w:sz w:val="24"/>
        </w:rPr>
        <w:t xml:space="preserve"> at a level they may have.</w:t>
      </w:r>
    </w:p>
    <w:p w:rsidR="007D5E6F" w:rsidRDefault="006778D5" w:rsidP="0026563F">
      <w:pPr>
        <w:pStyle w:val="ListParagraph"/>
        <w:numPr>
          <w:ilvl w:val="0"/>
          <w:numId w:val="1"/>
        </w:numPr>
        <w:rPr>
          <w:rFonts w:cs="Calibri"/>
          <w:b/>
          <w:sz w:val="24"/>
        </w:rPr>
      </w:pPr>
      <w:r w:rsidRPr="001729AF">
        <w:rPr>
          <w:rFonts w:cs="Calibri"/>
          <w:b/>
          <w:sz w:val="24"/>
        </w:rPr>
        <w:t>How much has t</w:t>
      </w:r>
      <w:r w:rsidR="00301AC9">
        <w:rPr>
          <w:rFonts w:cs="Calibri"/>
          <w:b/>
          <w:sz w:val="24"/>
        </w:rPr>
        <w:t>he state contributed to the PERS</w:t>
      </w:r>
      <w:r w:rsidRPr="001729AF">
        <w:rPr>
          <w:rFonts w:cs="Calibri"/>
          <w:b/>
          <w:sz w:val="24"/>
        </w:rPr>
        <w:t xml:space="preserve">/TRS unfunded liability on behalf of your school district in FY12? </w:t>
      </w:r>
    </w:p>
    <w:p w:rsidR="006778D5" w:rsidRPr="001729AF" w:rsidRDefault="006778D5" w:rsidP="007D5E6F">
      <w:pPr>
        <w:pStyle w:val="ListParagraph"/>
        <w:numPr>
          <w:ilvl w:val="1"/>
          <w:numId w:val="1"/>
        </w:numPr>
        <w:rPr>
          <w:rFonts w:cs="Calibri"/>
          <w:b/>
          <w:sz w:val="24"/>
        </w:rPr>
      </w:pPr>
      <w:r w:rsidRPr="00301AC9">
        <w:rPr>
          <w:rFonts w:cs="Calibri"/>
          <w:sz w:val="24"/>
        </w:rPr>
        <w:t>TRS- $329,150</w:t>
      </w:r>
      <w:r w:rsidR="00301AC9" w:rsidRPr="00301AC9">
        <w:rPr>
          <w:rFonts w:cs="Calibri"/>
          <w:sz w:val="24"/>
        </w:rPr>
        <w:t>, PERS $55,262, Total- $384,412</w:t>
      </w:r>
    </w:p>
    <w:p w:rsidR="007D5E6F" w:rsidRDefault="006778D5" w:rsidP="007D5E6F">
      <w:pPr>
        <w:pStyle w:val="ListParagraph"/>
        <w:numPr>
          <w:ilvl w:val="0"/>
          <w:numId w:val="11"/>
        </w:numPr>
        <w:rPr>
          <w:rFonts w:cs="Calibri"/>
          <w:b/>
          <w:sz w:val="24"/>
        </w:rPr>
      </w:pPr>
      <w:r w:rsidRPr="001729AF">
        <w:rPr>
          <w:rFonts w:cs="Calibri"/>
          <w:b/>
          <w:sz w:val="24"/>
        </w:rPr>
        <w:t xml:space="preserve">How much is the state </w:t>
      </w:r>
      <w:r w:rsidR="0011696E">
        <w:rPr>
          <w:rFonts w:cs="Calibri"/>
          <w:b/>
          <w:sz w:val="24"/>
        </w:rPr>
        <w:t>scheduled to contribute for PERS</w:t>
      </w:r>
      <w:r w:rsidRPr="001729AF">
        <w:rPr>
          <w:rFonts w:cs="Calibri"/>
          <w:b/>
          <w:sz w:val="24"/>
        </w:rPr>
        <w:t xml:space="preserve">/TRS unfunded liability costs on behalf of your district in FY13?  </w:t>
      </w:r>
    </w:p>
    <w:p w:rsidR="006778D5" w:rsidRPr="001729AF" w:rsidRDefault="00301AC9" w:rsidP="007D5E6F">
      <w:pPr>
        <w:pStyle w:val="ListParagraph"/>
        <w:numPr>
          <w:ilvl w:val="1"/>
          <w:numId w:val="11"/>
        </w:numPr>
        <w:rPr>
          <w:rFonts w:cs="Calibri"/>
          <w:b/>
          <w:sz w:val="24"/>
        </w:rPr>
      </w:pPr>
      <w:r w:rsidRPr="00301AC9">
        <w:rPr>
          <w:rFonts w:cs="Calibri"/>
          <w:sz w:val="24"/>
        </w:rPr>
        <w:t>TRS- $</w:t>
      </w:r>
      <w:r>
        <w:rPr>
          <w:rFonts w:cs="Calibri"/>
          <w:sz w:val="24"/>
        </w:rPr>
        <w:t>424</w:t>
      </w:r>
      <w:r w:rsidRPr="00301AC9">
        <w:rPr>
          <w:rFonts w:cs="Calibri"/>
          <w:sz w:val="24"/>
        </w:rPr>
        <w:t>,1</w:t>
      </w:r>
      <w:r>
        <w:rPr>
          <w:rFonts w:cs="Calibri"/>
          <w:sz w:val="24"/>
        </w:rPr>
        <w:t>75, PERS $57</w:t>
      </w:r>
      <w:r w:rsidRPr="00301AC9">
        <w:rPr>
          <w:rFonts w:cs="Calibri"/>
          <w:sz w:val="24"/>
        </w:rPr>
        <w:t>,</w:t>
      </w:r>
      <w:r>
        <w:rPr>
          <w:rFonts w:cs="Calibri"/>
          <w:sz w:val="24"/>
        </w:rPr>
        <w:t>539</w:t>
      </w:r>
      <w:r w:rsidRPr="00301AC9">
        <w:rPr>
          <w:rFonts w:cs="Calibri"/>
          <w:sz w:val="24"/>
        </w:rPr>
        <w:t>, Total- $</w:t>
      </w:r>
      <w:r w:rsidR="0011696E">
        <w:rPr>
          <w:rFonts w:cs="Calibri"/>
          <w:sz w:val="24"/>
        </w:rPr>
        <w:t>491,714</w:t>
      </w:r>
    </w:p>
    <w:p w:rsidR="006778D5" w:rsidRPr="00403C62" w:rsidRDefault="006778D5" w:rsidP="0026563F">
      <w:pPr>
        <w:pStyle w:val="ListParagraph"/>
        <w:numPr>
          <w:ilvl w:val="1"/>
          <w:numId w:val="1"/>
        </w:numPr>
        <w:rPr>
          <w:rFonts w:cs="Calibri"/>
          <w:b/>
          <w:sz w:val="24"/>
        </w:rPr>
      </w:pPr>
      <w:r w:rsidRPr="00403C62">
        <w:rPr>
          <w:rFonts w:cs="Calibri"/>
          <w:sz w:val="24"/>
        </w:rPr>
        <w:t>To suggest that this amount of money is an on-behalf amount that we as a district owed is a slightly tilted opinion.  This is</w:t>
      </w:r>
      <w:r>
        <w:rPr>
          <w:rFonts w:cs="Calibri"/>
          <w:sz w:val="24"/>
        </w:rPr>
        <w:t>,</w:t>
      </w:r>
      <w:r w:rsidRPr="00403C62">
        <w:rPr>
          <w:rFonts w:cs="Calibri"/>
          <w:sz w:val="24"/>
        </w:rPr>
        <w:t xml:space="preserve"> and always has been an obligation of the State as a result of creating a Teacher Retirement System or a Public Employee Retirement System.   The fact that it was never reported in school district budgets until 2004 supports that same position.  This chart illustrates the TRS/PRS liability numbers since it was first required to be reported in 2008.</w:t>
      </w:r>
    </w:p>
    <w:p w:rsidR="006778D5" w:rsidRDefault="006778D5" w:rsidP="00403C62">
      <w:pPr>
        <w:pStyle w:val="ListParagraph"/>
        <w:ind w:left="1440"/>
        <w:rPr>
          <w:rFonts w:cs="Calibri"/>
          <w:sz w:val="24"/>
        </w:rPr>
      </w:pPr>
    </w:p>
    <w:tbl>
      <w:tblPr>
        <w:tblStyle w:val="TableGrid"/>
        <w:tblW w:w="0" w:type="auto"/>
        <w:tblInd w:w="738" w:type="dxa"/>
        <w:tblLook w:val="00A0"/>
      </w:tblPr>
      <w:tblGrid>
        <w:gridCol w:w="1908"/>
        <w:gridCol w:w="1275"/>
        <w:gridCol w:w="1275"/>
        <w:gridCol w:w="1275"/>
        <w:gridCol w:w="1275"/>
        <w:gridCol w:w="1275"/>
        <w:gridCol w:w="1275"/>
      </w:tblGrid>
      <w:tr w:rsidR="006778D5" w:rsidRPr="00052C38">
        <w:tc>
          <w:tcPr>
            <w:tcW w:w="1908" w:type="dxa"/>
          </w:tcPr>
          <w:p w:rsidR="006778D5" w:rsidRDefault="006778D5" w:rsidP="00403C62">
            <w:pPr>
              <w:pStyle w:val="ListParagraph"/>
              <w:ind w:left="0"/>
              <w:rPr>
                <w:rFonts w:cs="Calibri"/>
                <w:b/>
                <w:sz w:val="24"/>
              </w:rPr>
            </w:pPr>
          </w:p>
        </w:tc>
        <w:tc>
          <w:tcPr>
            <w:tcW w:w="1275" w:type="dxa"/>
          </w:tcPr>
          <w:p w:rsidR="006778D5" w:rsidRDefault="006778D5" w:rsidP="00403C62">
            <w:pPr>
              <w:pStyle w:val="ListParagraph"/>
              <w:ind w:left="0"/>
              <w:rPr>
                <w:rFonts w:cs="Calibri"/>
                <w:b/>
                <w:sz w:val="24"/>
              </w:rPr>
            </w:pPr>
            <w:r>
              <w:rPr>
                <w:rFonts w:cs="Calibri"/>
                <w:b/>
                <w:sz w:val="24"/>
              </w:rPr>
              <w:t>2008</w:t>
            </w:r>
          </w:p>
        </w:tc>
        <w:tc>
          <w:tcPr>
            <w:tcW w:w="1275" w:type="dxa"/>
          </w:tcPr>
          <w:p w:rsidR="006778D5" w:rsidRDefault="006778D5" w:rsidP="00403C62">
            <w:pPr>
              <w:pStyle w:val="ListParagraph"/>
              <w:ind w:left="0"/>
              <w:rPr>
                <w:rFonts w:cs="Calibri"/>
                <w:b/>
                <w:sz w:val="24"/>
              </w:rPr>
            </w:pPr>
            <w:r>
              <w:rPr>
                <w:rFonts w:cs="Calibri"/>
                <w:b/>
                <w:sz w:val="24"/>
              </w:rPr>
              <w:t>2009</w:t>
            </w:r>
          </w:p>
        </w:tc>
        <w:tc>
          <w:tcPr>
            <w:tcW w:w="1275" w:type="dxa"/>
          </w:tcPr>
          <w:p w:rsidR="006778D5" w:rsidRDefault="006778D5" w:rsidP="00403C62">
            <w:pPr>
              <w:pStyle w:val="ListParagraph"/>
              <w:ind w:left="0"/>
              <w:rPr>
                <w:rFonts w:cs="Calibri"/>
                <w:b/>
                <w:sz w:val="24"/>
              </w:rPr>
            </w:pPr>
            <w:r>
              <w:rPr>
                <w:rFonts w:cs="Calibri"/>
                <w:b/>
                <w:sz w:val="24"/>
              </w:rPr>
              <w:t>2010</w:t>
            </w:r>
          </w:p>
        </w:tc>
        <w:tc>
          <w:tcPr>
            <w:tcW w:w="1275" w:type="dxa"/>
          </w:tcPr>
          <w:p w:rsidR="006778D5" w:rsidRDefault="006778D5" w:rsidP="00403C62">
            <w:pPr>
              <w:pStyle w:val="ListParagraph"/>
              <w:ind w:left="0"/>
              <w:rPr>
                <w:rFonts w:cs="Calibri"/>
                <w:b/>
                <w:sz w:val="24"/>
              </w:rPr>
            </w:pPr>
            <w:r>
              <w:rPr>
                <w:rFonts w:cs="Calibri"/>
                <w:b/>
                <w:sz w:val="24"/>
              </w:rPr>
              <w:t>2011</w:t>
            </w:r>
          </w:p>
        </w:tc>
        <w:tc>
          <w:tcPr>
            <w:tcW w:w="1275" w:type="dxa"/>
          </w:tcPr>
          <w:p w:rsidR="006778D5" w:rsidRDefault="006778D5" w:rsidP="00403C62">
            <w:pPr>
              <w:pStyle w:val="ListParagraph"/>
              <w:ind w:left="0"/>
              <w:rPr>
                <w:rFonts w:cs="Calibri"/>
                <w:b/>
                <w:sz w:val="24"/>
              </w:rPr>
            </w:pPr>
            <w:r>
              <w:rPr>
                <w:rFonts w:cs="Calibri"/>
                <w:b/>
                <w:sz w:val="24"/>
              </w:rPr>
              <w:t>2012</w:t>
            </w:r>
          </w:p>
        </w:tc>
        <w:tc>
          <w:tcPr>
            <w:tcW w:w="1275" w:type="dxa"/>
          </w:tcPr>
          <w:p w:rsidR="006778D5" w:rsidRPr="00403C62" w:rsidRDefault="006778D5" w:rsidP="00403C62">
            <w:pPr>
              <w:pStyle w:val="ListParagraph"/>
              <w:ind w:left="0"/>
              <w:rPr>
                <w:rFonts w:cs="Calibri"/>
                <w:b/>
                <w:color w:val="660066"/>
                <w:sz w:val="24"/>
              </w:rPr>
            </w:pPr>
            <w:r w:rsidRPr="00403C62">
              <w:rPr>
                <w:rFonts w:cs="Calibri"/>
                <w:b/>
                <w:color w:val="660066"/>
                <w:sz w:val="24"/>
              </w:rPr>
              <w:t>2013</w:t>
            </w:r>
          </w:p>
        </w:tc>
      </w:tr>
      <w:tr w:rsidR="006778D5" w:rsidRPr="00052C38">
        <w:tc>
          <w:tcPr>
            <w:tcW w:w="1908" w:type="dxa"/>
          </w:tcPr>
          <w:p w:rsidR="006778D5" w:rsidRDefault="006778D5" w:rsidP="00403C62">
            <w:pPr>
              <w:pStyle w:val="ListParagraph"/>
              <w:ind w:left="0"/>
              <w:rPr>
                <w:rFonts w:cs="Calibri"/>
                <w:b/>
                <w:sz w:val="24"/>
              </w:rPr>
            </w:pPr>
            <w:r>
              <w:rPr>
                <w:rFonts w:cs="Calibri"/>
                <w:b/>
                <w:sz w:val="24"/>
              </w:rPr>
              <w:t>TRS On behalf</w:t>
            </w:r>
          </w:p>
        </w:tc>
        <w:tc>
          <w:tcPr>
            <w:tcW w:w="1275" w:type="dxa"/>
          </w:tcPr>
          <w:p w:rsidR="006778D5" w:rsidRPr="00403C62" w:rsidRDefault="006778D5" w:rsidP="00403C62">
            <w:pPr>
              <w:pStyle w:val="ListParagraph"/>
              <w:ind w:left="0"/>
              <w:rPr>
                <w:rFonts w:cs="Calibri"/>
                <w:sz w:val="24"/>
              </w:rPr>
            </w:pPr>
            <w:r w:rsidRPr="00403C62">
              <w:rPr>
                <w:rFonts w:cs="Calibri"/>
                <w:sz w:val="24"/>
              </w:rPr>
              <w:t>399,322</w:t>
            </w:r>
          </w:p>
        </w:tc>
        <w:tc>
          <w:tcPr>
            <w:tcW w:w="1275" w:type="dxa"/>
          </w:tcPr>
          <w:p w:rsidR="006778D5" w:rsidRPr="00403C62" w:rsidRDefault="006778D5" w:rsidP="00403C62">
            <w:pPr>
              <w:pStyle w:val="ListParagraph"/>
              <w:ind w:left="0"/>
              <w:rPr>
                <w:rFonts w:cs="Calibri"/>
                <w:sz w:val="24"/>
              </w:rPr>
            </w:pPr>
            <w:r w:rsidRPr="00403C62">
              <w:rPr>
                <w:rFonts w:cs="Calibri"/>
                <w:sz w:val="24"/>
              </w:rPr>
              <w:t>289,255</w:t>
            </w:r>
          </w:p>
        </w:tc>
        <w:tc>
          <w:tcPr>
            <w:tcW w:w="1275" w:type="dxa"/>
          </w:tcPr>
          <w:p w:rsidR="006778D5" w:rsidRPr="00403C62" w:rsidRDefault="006778D5" w:rsidP="00403C62">
            <w:pPr>
              <w:pStyle w:val="ListParagraph"/>
              <w:ind w:left="0"/>
              <w:rPr>
                <w:rFonts w:cs="Calibri"/>
                <w:sz w:val="24"/>
              </w:rPr>
            </w:pPr>
            <w:r w:rsidRPr="00403C62">
              <w:rPr>
                <w:rFonts w:cs="Calibri"/>
                <w:sz w:val="24"/>
              </w:rPr>
              <w:t>232,688</w:t>
            </w:r>
          </w:p>
        </w:tc>
        <w:tc>
          <w:tcPr>
            <w:tcW w:w="1275" w:type="dxa"/>
          </w:tcPr>
          <w:p w:rsidR="006778D5" w:rsidRPr="00403C62" w:rsidRDefault="006778D5" w:rsidP="00403C62">
            <w:pPr>
              <w:pStyle w:val="ListParagraph"/>
              <w:ind w:left="0"/>
              <w:rPr>
                <w:rFonts w:cs="Calibri"/>
                <w:sz w:val="24"/>
              </w:rPr>
            </w:pPr>
            <w:r w:rsidRPr="00403C62">
              <w:rPr>
                <w:rFonts w:cs="Calibri"/>
                <w:sz w:val="24"/>
              </w:rPr>
              <w:t>251,034</w:t>
            </w:r>
          </w:p>
        </w:tc>
        <w:tc>
          <w:tcPr>
            <w:tcW w:w="1275" w:type="dxa"/>
          </w:tcPr>
          <w:p w:rsidR="006778D5" w:rsidRPr="00403C62" w:rsidRDefault="006778D5" w:rsidP="00403C62">
            <w:pPr>
              <w:pStyle w:val="ListParagraph"/>
              <w:ind w:left="0"/>
              <w:rPr>
                <w:rFonts w:cs="Calibri"/>
                <w:sz w:val="24"/>
              </w:rPr>
            </w:pPr>
            <w:r w:rsidRPr="00403C62">
              <w:rPr>
                <w:rFonts w:cs="Calibri"/>
                <w:sz w:val="24"/>
              </w:rPr>
              <w:t>329,150</w:t>
            </w:r>
          </w:p>
        </w:tc>
        <w:tc>
          <w:tcPr>
            <w:tcW w:w="1275" w:type="dxa"/>
          </w:tcPr>
          <w:p w:rsidR="006778D5" w:rsidRPr="00403C62" w:rsidRDefault="006778D5" w:rsidP="00403C62">
            <w:pPr>
              <w:pStyle w:val="ListParagraph"/>
              <w:ind w:left="0"/>
              <w:rPr>
                <w:rFonts w:cs="Calibri"/>
                <w:b/>
                <w:color w:val="660066"/>
                <w:sz w:val="24"/>
              </w:rPr>
            </w:pPr>
            <w:r w:rsidRPr="00403C62">
              <w:rPr>
                <w:rFonts w:cs="Calibri"/>
                <w:b/>
                <w:color w:val="660066"/>
                <w:sz w:val="24"/>
              </w:rPr>
              <w:t>424,175</w:t>
            </w:r>
          </w:p>
        </w:tc>
      </w:tr>
      <w:tr w:rsidR="006778D5" w:rsidRPr="00052C38">
        <w:tc>
          <w:tcPr>
            <w:tcW w:w="1908" w:type="dxa"/>
          </w:tcPr>
          <w:p w:rsidR="006778D5" w:rsidRDefault="006778D5" w:rsidP="00403C62">
            <w:pPr>
              <w:pStyle w:val="ListParagraph"/>
              <w:ind w:left="0"/>
              <w:rPr>
                <w:rFonts w:cs="Calibri"/>
                <w:b/>
                <w:sz w:val="24"/>
              </w:rPr>
            </w:pPr>
            <w:r>
              <w:rPr>
                <w:rFonts w:cs="Calibri"/>
                <w:b/>
                <w:sz w:val="24"/>
              </w:rPr>
              <w:t>PRS On behalf</w:t>
            </w:r>
          </w:p>
        </w:tc>
        <w:tc>
          <w:tcPr>
            <w:tcW w:w="1275" w:type="dxa"/>
          </w:tcPr>
          <w:p w:rsidR="006778D5" w:rsidRPr="00403C62" w:rsidRDefault="006778D5" w:rsidP="00403C62">
            <w:pPr>
              <w:pStyle w:val="ListParagraph"/>
              <w:ind w:left="0"/>
              <w:rPr>
                <w:rFonts w:cs="Calibri"/>
                <w:sz w:val="24"/>
              </w:rPr>
            </w:pPr>
            <w:r w:rsidRPr="00403C62">
              <w:rPr>
                <w:rFonts w:cs="Calibri"/>
                <w:sz w:val="24"/>
              </w:rPr>
              <w:t>102,327</w:t>
            </w:r>
          </w:p>
        </w:tc>
        <w:tc>
          <w:tcPr>
            <w:tcW w:w="1275" w:type="dxa"/>
          </w:tcPr>
          <w:p w:rsidR="006778D5" w:rsidRPr="00403C62" w:rsidRDefault="006778D5" w:rsidP="00403C62">
            <w:pPr>
              <w:pStyle w:val="ListParagraph"/>
              <w:ind w:left="0"/>
              <w:rPr>
                <w:rFonts w:cs="Calibri"/>
                <w:sz w:val="24"/>
              </w:rPr>
            </w:pPr>
            <w:r w:rsidRPr="00403C62">
              <w:rPr>
                <w:rFonts w:cs="Calibri"/>
                <w:sz w:val="24"/>
              </w:rPr>
              <w:t>63,695</w:t>
            </w:r>
          </w:p>
        </w:tc>
        <w:tc>
          <w:tcPr>
            <w:tcW w:w="1275" w:type="dxa"/>
          </w:tcPr>
          <w:p w:rsidR="006778D5" w:rsidRPr="00403C62" w:rsidRDefault="006778D5" w:rsidP="00403C62">
            <w:pPr>
              <w:pStyle w:val="ListParagraph"/>
              <w:ind w:left="0"/>
              <w:rPr>
                <w:rFonts w:cs="Calibri"/>
                <w:sz w:val="24"/>
              </w:rPr>
            </w:pPr>
            <w:r w:rsidRPr="00403C62">
              <w:rPr>
                <w:rFonts w:cs="Calibri"/>
                <w:sz w:val="24"/>
              </w:rPr>
              <w:t>28,234</w:t>
            </w:r>
          </w:p>
        </w:tc>
        <w:tc>
          <w:tcPr>
            <w:tcW w:w="1275" w:type="dxa"/>
          </w:tcPr>
          <w:p w:rsidR="006778D5" w:rsidRPr="00403C62" w:rsidRDefault="006778D5" w:rsidP="00403C62">
            <w:pPr>
              <w:pStyle w:val="ListParagraph"/>
              <w:ind w:left="0"/>
              <w:rPr>
                <w:rFonts w:cs="Calibri"/>
                <w:sz w:val="24"/>
              </w:rPr>
            </w:pPr>
            <w:r w:rsidRPr="00403C62">
              <w:rPr>
                <w:rFonts w:cs="Calibri"/>
                <w:sz w:val="24"/>
              </w:rPr>
              <w:t>34,219</w:t>
            </w:r>
          </w:p>
        </w:tc>
        <w:tc>
          <w:tcPr>
            <w:tcW w:w="1275" w:type="dxa"/>
          </w:tcPr>
          <w:p w:rsidR="006778D5" w:rsidRPr="00403C62" w:rsidRDefault="006778D5" w:rsidP="00403C62">
            <w:pPr>
              <w:pStyle w:val="ListParagraph"/>
              <w:ind w:left="0"/>
              <w:rPr>
                <w:rFonts w:cs="Calibri"/>
                <w:sz w:val="24"/>
              </w:rPr>
            </w:pPr>
            <w:r w:rsidRPr="00403C62">
              <w:rPr>
                <w:rFonts w:cs="Calibri"/>
                <w:sz w:val="24"/>
              </w:rPr>
              <w:t>55,262</w:t>
            </w:r>
          </w:p>
        </w:tc>
        <w:tc>
          <w:tcPr>
            <w:tcW w:w="1275" w:type="dxa"/>
          </w:tcPr>
          <w:p w:rsidR="006778D5" w:rsidRPr="00403C62" w:rsidRDefault="006778D5" w:rsidP="00403C62">
            <w:pPr>
              <w:pStyle w:val="ListParagraph"/>
              <w:ind w:left="0"/>
              <w:rPr>
                <w:rFonts w:cs="Calibri"/>
                <w:b/>
                <w:color w:val="660066"/>
                <w:sz w:val="24"/>
              </w:rPr>
            </w:pPr>
            <w:r w:rsidRPr="00403C62">
              <w:rPr>
                <w:rFonts w:cs="Calibri"/>
                <w:b/>
                <w:color w:val="660066"/>
                <w:sz w:val="24"/>
              </w:rPr>
              <w:t>67,539</w:t>
            </w:r>
          </w:p>
        </w:tc>
      </w:tr>
      <w:tr w:rsidR="00A06B2B" w:rsidRPr="00052C38">
        <w:tc>
          <w:tcPr>
            <w:tcW w:w="1908" w:type="dxa"/>
          </w:tcPr>
          <w:p w:rsidR="00A06B2B" w:rsidRDefault="00A06B2B" w:rsidP="00403C62">
            <w:pPr>
              <w:pStyle w:val="ListParagraph"/>
              <w:ind w:left="0"/>
              <w:rPr>
                <w:rFonts w:cs="Calibri"/>
                <w:b/>
                <w:sz w:val="24"/>
              </w:rPr>
            </w:pPr>
            <w:r>
              <w:rPr>
                <w:rFonts w:cs="Calibri"/>
                <w:b/>
                <w:sz w:val="24"/>
              </w:rPr>
              <w:t>total</w:t>
            </w:r>
          </w:p>
        </w:tc>
        <w:tc>
          <w:tcPr>
            <w:tcW w:w="1275" w:type="dxa"/>
          </w:tcPr>
          <w:p w:rsidR="00A06B2B" w:rsidRPr="00403C62" w:rsidRDefault="00A06B2B" w:rsidP="00403C62">
            <w:pPr>
              <w:pStyle w:val="ListParagraph"/>
              <w:ind w:left="0"/>
              <w:rPr>
                <w:rFonts w:cs="Calibri"/>
                <w:sz w:val="24"/>
              </w:rPr>
            </w:pPr>
            <w:r>
              <w:rPr>
                <w:rFonts w:cs="Calibri"/>
                <w:sz w:val="24"/>
              </w:rPr>
              <w:t>501,649</w:t>
            </w:r>
          </w:p>
        </w:tc>
        <w:tc>
          <w:tcPr>
            <w:tcW w:w="1275" w:type="dxa"/>
          </w:tcPr>
          <w:p w:rsidR="00A06B2B" w:rsidRPr="00403C62" w:rsidRDefault="00A06B2B" w:rsidP="00403C62">
            <w:pPr>
              <w:pStyle w:val="ListParagraph"/>
              <w:ind w:left="0"/>
              <w:rPr>
                <w:rFonts w:cs="Calibri"/>
                <w:sz w:val="24"/>
              </w:rPr>
            </w:pPr>
            <w:r>
              <w:rPr>
                <w:rFonts w:cs="Calibri"/>
                <w:sz w:val="24"/>
              </w:rPr>
              <w:t>352,950</w:t>
            </w:r>
          </w:p>
        </w:tc>
        <w:tc>
          <w:tcPr>
            <w:tcW w:w="1275" w:type="dxa"/>
          </w:tcPr>
          <w:p w:rsidR="00A06B2B" w:rsidRPr="00403C62" w:rsidRDefault="00A06B2B" w:rsidP="00403C62">
            <w:pPr>
              <w:pStyle w:val="ListParagraph"/>
              <w:ind w:left="0"/>
              <w:rPr>
                <w:rFonts w:cs="Calibri"/>
                <w:sz w:val="24"/>
              </w:rPr>
            </w:pPr>
            <w:r>
              <w:rPr>
                <w:rFonts w:cs="Calibri"/>
                <w:sz w:val="24"/>
              </w:rPr>
              <w:t>260,922</w:t>
            </w:r>
          </w:p>
        </w:tc>
        <w:tc>
          <w:tcPr>
            <w:tcW w:w="1275" w:type="dxa"/>
          </w:tcPr>
          <w:p w:rsidR="00A06B2B" w:rsidRPr="00403C62" w:rsidRDefault="00A06B2B" w:rsidP="00403C62">
            <w:pPr>
              <w:pStyle w:val="ListParagraph"/>
              <w:ind w:left="0"/>
              <w:rPr>
                <w:rFonts w:cs="Calibri"/>
                <w:sz w:val="24"/>
              </w:rPr>
            </w:pPr>
            <w:r>
              <w:rPr>
                <w:rFonts w:cs="Calibri"/>
                <w:sz w:val="24"/>
              </w:rPr>
              <w:t>285,243</w:t>
            </w:r>
          </w:p>
        </w:tc>
        <w:tc>
          <w:tcPr>
            <w:tcW w:w="1275" w:type="dxa"/>
          </w:tcPr>
          <w:p w:rsidR="00A06B2B" w:rsidRPr="00403C62" w:rsidRDefault="00A06B2B" w:rsidP="00403C62">
            <w:pPr>
              <w:pStyle w:val="ListParagraph"/>
              <w:ind w:left="0"/>
              <w:rPr>
                <w:rFonts w:cs="Calibri"/>
                <w:sz w:val="24"/>
              </w:rPr>
            </w:pPr>
            <w:r>
              <w:rPr>
                <w:rFonts w:cs="Calibri"/>
                <w:sz w:val="24"/>
              </w:rPr>
              <w:t>384,412</w:t>
            </w:r>
          </w:p>
        </w:tc>
        <w:tc>
          <w:tcPr>
            <w:tcW w:w="1275" w:type="dxa"/>
          </w:tcPr>
          <w:p w:rsidR="00A06B2B" w:rsidRPr="00403C62" w:rsidRDefault="00A06B2B" w:rsidP="00403C62">
            <w:pPr>
              <w:pStyle w:val="ListParagraph"/>
              <w:ind w:left="0"/>
              <w:rPr>
                <w:rFonts w:cs="Calibri"/>
                <w:b/>
                <w:color w:val="660066"/>
                <w:sz w:val="24"/>
              </w:rPr>
            </w:pPr>
            <w:r>
              <w:rPr>
                <w:rFonts w:cs="Calibri"/>
                <w:b/>
                <w:color w:val="660066"/>
                <w:sz w:val="24"/>
              </w:rPr>
              <w:t>491,714</w:t>
            </w:r>
          </w:p>
        </w:tc>
      </w:tr>
    </w:tbl>
    <w:p w:rsidR="006778D5" w:rsidRPr="003B424A" w:rsidRDefault="006778D5" w:rsidP="00403C62">
      <w:pPr>
        <w:pStyle w:val="ListParagraph"/>
        <w:ind w:left="1440"/>
        <w:rPr>
          <w:rFonts w:cs="Calibri"/>
          <w:b/>
          <w:sz w:val="24"/>
        </w:rPr>
      </w:pPr>
    </w:p>
    <w:p w:rsidR="006778D5" w:rsidRPr="003B424A" w:rsidRDefault="006778D5" w:rsidP="0026563F">
      <w:pPr>
        <w:pStyle w:val="ListParagraph"/>
        <w:numPr>
          <w:ilvl w:val="0"/>
          <w:numId w:val="1"/>
        </w:numPr>
        <w:rPr>
          <w:rFonts w:cs="Calibri"/>
          <w:b/>
          <w:sz w:val="24"/>
        </w:rPr>
      </w:pPr>
      <w:r w:rsidRPr="003B424A">
        <w:rPr>
          <w:rFonts w:cs="Calibri"/>
          <w:b/>
          <w:sz w:val="24"/>
        </w:rPr>
        <w:t>When was your most recently ratified teacher contract put into place?</w:t>
      </w:r>
    </w:p>
    <w:p w:rsidR="006778D5" w:rsidRPr="000D5D04" w:rsidRDefault="0011696E" w:rsidP="00403C62">
      <w:pPr>
        <w:pStyle w:val="ListParagraph"/>
        <w:numPr>
          <w:ilvl w:val="1"/>
          <w:numId w:val="1"/>
        </w:numPr>
        <w:rPr>
          <w:rFonts w:cs="Calibri"/>
          <w:sz w:val="24"/>
        </w:rPr>
      </w:pPr>
      <w:r>
        <w:rPr>
          <w:rFonts w:cs="Calibri"/>
          <w:sz w:val="24"/>
        </w:rPr>
        <w:t>We settled a three-</w:t>
      </w:r>
      <w:r w:rsidR="006778D5" w:rsidRPr="000D5D04">
        <w:rPr>
          <w:rFonts w:cs="Calibri"/>
          <w:sz w:val="24"/>
        </w:rPr>
        <w:t>year contract in June of 2010.  Next January we will begin new negotiations</w:t>
      </w:r>
      <w:r>
        <w:rPr>
          <w:rFonts w:cs="Calibri"/>
          <w:sz w:val="24"/>
        </w:rPr>
        <w:t xml:space="preserve"> with our teachers</w:t>
      </w:r>
      <w:r w:rsidR="006778D5" w:rsidRPr="000D5D04">
        <w:rPr>
          <w:rFonts w:cs="Calibri"/>
          <w:sz w:val="24"/>
        </w:rPr>
        <w:t>.</w:t>
      </w:r>
    </w:p>
    <w:p w:rsidR="006778D5" w:rsidRPr="003B424A" w:rsidRDefault="006778D5" w:rsidP="007D5E6F">
      <w:pPr>
        <w:pStyle w:val="ListParagraph"/>
        <w:numPr>
          <w:ilvl w:val="0"/>
          <w:numId w:val="12"/>
        </w:numPr>
        <w:rPr>
          <w:rFonts w:cs="Calibri"/>
          <w:b/>
          <w:sz w:val="24"/>
        </w:rPr>
      </w:pPr>
      <w:r w:rsidRPr="003B424A">
        <w:rPr>
          <w:rFonts w:cs="Calibri"/>
          <w:b/>
          <w:sz w:val="24"/>
        </w:rPr>
        <w:t>What were the terms?  (salary and benefits increases/decreases per year, in percentag</w:t>
      </w:r>
      <w:r w:rsidR="007D5E6F">
        <w:rPr>
          <w:rFonts w:cs="Calibri"/>
          <w:b/>
          <w:sz w:val="24"/>
        </w:rPr>
        <w:t>es {or dollars, if appropriate}</w:t>
      </w:r>
    </w:p>
    <w:p w:rsidR="006778D5" w:rsidRDefault="006778D5" w:rsidP="0026563F">
      <w:pPr>
        <w:pStyle w:val="ListParagraph"/>
        <w:numPr>
          <w:ilvl w:val="1"/>
          <w:numId w:val="1"/>
        </w:numPr>
        <w:rPr>
          <w:rFonts w:cs="Calibri"/>
          <w:sz w:val="24"/>
        </w:rPr>
      </w:pPr>
      <w:r w:rsidRPr="000D5D04">
        <w:rPr>
          <w:rFonts w:cs="Calibri"/>
          <w:sz w:val="24"/>
        </w:rPr>
        <w:t>In the last negotiations, salaries increased by 2% for 2010-11, 3% for 2011-12, and 3% for 2012-13 with similar insurance splits above the cap begun in 2008.</w:t>
      </w:r>
    </w:p>
    <w:p w:rsidR="006778D5" w:rsidRPr="000D5D04" w:rsidRDefault="006778D5" w:rsidP="0026563F">
      <w:pPr>
        <w:pStyle w:val="ListParagraph"/>
        <w:numPr>
          <w:ilvl w:val="1"/>
          <w:numId w:val="1"/>
        </w:numPr>
        <w:rPr>
          <w:rFonts w:cs="Calibri"/>
          <w:sz w:val="24"/>
        </w:rPr>
      </w:pPr>
      <w:r>
        <w:rPr>
          <w:rFonts w:cs="Calibri"/>
          <w:sz w:val="24"/>
        </w:rPr>
        <w:t>In the 2007-2008 school year we had also settled a three</w:t>
      </w:r>
      <w:r w:rsidR="0011696E">
        <w:rPr>
          <w:rFonts w:cs="Calibri"/>
          <w:sz w:val="24"/>
        </w:rPr>
        <w:t>-</w:t>
      </w:r>
      <w:r>
        <w:rPr>
          <w:rFonts w:cs="Calibri"/>
          <w:sz w:val="24"/>
        </w:rPr>
        <w:t>year agreement with our teachers and that settlement included a 4% settlement in each year and a requirement that teachers and other staff would begin to pick up a share of their insurance premium.</w:t>
      </w:r>
    </w:p>
    <w:p w:rsidR="006778D5" w:rsidRPr="00E01D8A" w:rsidRDefault="006778D5" w:rsidP="007D5E6F">
      <w:pPr>
        <w:numPr>
          <w:ilvl w:val="0"/>
          <w:numId w:val="13"/>
        </w:numPr>
        <w:rPr>
          <w:rFonts w:cs="Calibri"/>
          <w:b/>
        </w:rPr>
      </w:pPr>
      <w:r w:rsidRPr="00E01D8A">
        <w:rPr>
          <w:rFonts w:cs="Calibri"/>
          <w:b/>
        </w:rPr>
        <w:t>What is your average teacher salary?</w:t>
      </w:r>
    </w:p>
    <w:p w:rsidR="004E157F" w:rsidRDefault="004E157F" w:rsidP="0026563F">
      <w:pPr>
        <w:pStyle w:val="ListParagraph"/>
        <w:numPr>
          <w:ilvl w:val="1"/>
          <w:numId w:val="1"/>
        </w:numPr>
        <w:rPr>
          <w:rFonts w:cs="Calibri"/>
          <w:sz w:val="24"/>
        </w:rPr>
      </w:pPr>
      <w:r>
        <w:rPr>
          <w:rFonts w:cs="Calibri"/>
          <w:sz w:val="24"/>
        </w:rPr>
        <w:t>In 2012, average teacher salary: $53,068</w:t>
      </w:r>
    </w:p>
    <w:p w:rsidR="006778D5" w:rsidRPr="000D5D04" w:rsidRDefault="006778D5" w:rsidP="0026563F">
      <w:pPr>
        <w:pStyle w:val="ListParagraph"/>
        <w:numPr>
          <w:ilvl w:val="1"/>
          <w:numId w:val="1"/>
        </w:numPr>
        <w:rPr>
          <w:rFonts w:cs="Calibri"/>
          <w:sz w:val="24"/>
        </w:rPr>
      </w:pPr>
      <w:r w:rsidRPr="000D5D04">
        <w:rPr>
          <w:rFonts w:cs="Calibri"/>
          <w:sz w:val="24"/>
        </w:rPr>
        <w:t>Lots of recent turnover and retirements in recent years.  Average salary number is a limited snapshot of where we are. Remains flat or regressing as a result.</w:t>
      </w:r>
    </w:p>
    <w:p w:rsidR="006778D5" w:rsidRPr="004E157F" w:rsidRDefault="006778D5" w:rsidP="007D5E6F">
      <w:pPr>
        <w:pStyle w:val="ListParagraph"/>
        <w:numPr>
          <w:ilvl w:val="0"/>
          <w:numId w:val="14"/>
        </w:numPr>
        <w:rPr>
          <w:rFonts w:cs="Calibri"/>
          <w:b/>
          <w:sz w:val="24"/>
        </w:rPr>
      </w:pPr>
      <w:r w:rsidRPr="004E157F">
        <w:rPr>
          <w:rFonts w:cs="Calibri"/>
          <w:b/>
          <w:sz w:val="24"/>
        </w:rPr>
        <w:t>What is your starting teacher salary?</w:t>
      </w:r>
    </w:p>
    <w:p w:rsidR="006778D5" w:rsidRPr="002A0866" w:rsidRDefault="006778D5" w:rsidP="0026563F">
      <w:pPr>
        <w:pStyle w:val="ListParagraph"/>
        <w:numPr>
          <w:ilvl w:val="1"/>
          <w:numId w:val="1"/>
        </w:numPr>
        <w:rPr>
          <w:rFonts w:cs="Calibri"/>
          <w:sz w:val="24"/>
        </w:rPr>
      </w:pPr>
      <w:r w:rsidRPr="002A0866">
        <w:rPr>
          <w:rFonts w:cs="Calibri"/>
          <w:sz w:val="24"/>
        </w:rPr>
        <w:t>In the 2011-2012 school year our starting salary was $43,914</w:t>
      </w:r>
    </w:p>
    <w:p w:rsidR="006778D5" w:rsidRPr="002A0866" w:rsidRDefault="006778D5" w:rsidP="0026563F">
      <w:pPr>
        <w:pStyle w:val="ListParagraph"/>
        <w:numPr>
          <w:ilvl w:val="1"/>
          <w:numId w:val="1"/>
        </w:numPr>
        <w:rPr>
          <w:rFonts w:cs="Calibri"/>
          <w:sz w:val="24"/>
        </w:rPr>
      </w:pPr>
      <w:r w:rsidRPr="002A0866">
        <w:rPr>
          <w:rFonts w:cs="Calibri"/>
          <w:sz w:val="24"/>
        </w:rPr>
        <w:t>Next year that starting salary will be $45,231</w:t>
      </w:r>
    </w:p>
    <w:p w:rsidR="006778D5" w:rsidRPr="00E01D8A" w:rsidRDefault="006778D5" w:rsidP="007D5E6F">
      <w:pPr>
        <w:numPr>
          <w:ilvl w:val="0"/>
          <w:numId w:val="15"/>
        </w:numPr>
        <w:rPr>
          <w:rFonts w:cs="Calibri"/>
          <w:b/>
        </w:rPr>
      </w:pPr>
      <w:r w:rsidRPr="00E01D8A">
        <w:rPr>
          <w:rFonts w:cs="Calibri"/>
          <w:b/>
        </w:rPr>
        <w:t xml:space="preserve">Did you negotiate significant salary increases in you labor contracts for FY2013? </w:t>
      </w:r>
    </w:p>
    <w:p w:rsidR="006778D5" w:rsidRDefault="006778D5" w:rsidP="0026563F">
      <w:pPr>
        <w:pStyle w:val="ListParagraph"/>
        <w:numPr>
          <w:ilvl w:val="1"/>
          <w:numId w:val="1"/>
        </w:numPr>
        <w:rPr>
          <w:rFonts w:cs="Calibri"/>
          <w:sz w:val="24"/>
        </w:rPr>
      </w:pPr>
      <w:r w:rsidRPr="000D5D04">
        <w:rPr>
          <w:rFonts w:cs="Calibri"/>
          <w:sz w:val="24"/>
        </w:rPr>
        <w:t>It will be another 3% increase next year</w:t>
      </w:r>
    </w:p>
    <w:p w:rsidR="006778D5" w:rsidRPr="000D5D04" w:rsidRDefault="006778D5" w:rsidP="0026563F">
      <w:pPr>
        <w:pStyle w:val="ListParagraph"/>
        <w:numPr>
          <w:ilvl w:val="1"/>
          <w:numId w:val="1"/>
        </w:numPr>
        <w:rPr>
          <w:rFonts w:cs="Calibri"/>
          <w:sz w:val="24"/>
        </w:rPr>
      </w:pPr>
      <w:r>
        <w:rPr>
          <w:rFonts w:cs="Calibri"/>
          <w:sz w:val="24"/>
        </w:rPr>
        <w:t>Depending on the increase to health insurance costs, the teacher share of the amount paid per month will also go up and cut into that raise.</w:t>
      </w:r>
    </w:p>
    <w:p w:rsidR="006778D5" w:rsidRPr="00E01D8A" w:rsidRDefault="006778D5" w:rsidP="007D5E6F">
      <w:pPr>
        <w:numPr>
          <w:ilvl w:val="0"/>
          <w:numId w:val="16"/>
        </w:numPr>
        <w:rPr>
          <w:rFonts w:cs="Calibri"/>
          <w:b/>
        </w:rPr>
      </w:pPr>
      <w:r w:rsidRPr="00E01D8A">
        <w:rPr>
          <w:rFonts w:cs="Calibri"/>
          <w:b/>
        </w:rPr>
        <w:t>If yes, why did you do that given the current funding situation/debate?</w:t>
      </w:r>
    </w:p>
    <w:p w:rsidR="006778D5" w:rsidRDefault="006778D5" w:rsidP="0026563F">
      <w:pPr>
        <w:pStyle w:val="ListParagraph"/>
        <w:numPr>
          <w:ilvl w:val="1"/>
          <w:numId w:val="1"/>
        </w:numPr>
        <w:rPr>
          <w:rFonts w:cs="Calibri"/>
          <w:sz w:val="24"/>
        </w:rPr>
      </w:pPr>
      <w:r w:rsidRPr="000D5D04">
        <w:rPr>
          <w:rFonts w:cs="Calibri"/>
          <w:sz w:val="24"/>
        </w:rPr>
        <w:t>Is 3% significant?  Not when people get $400 month electric bills</w:t>
      </w:r>
      <w:r>
        <w:rPr>
          <w:rFonts w:cs="Calibri"/>
          <w:sz w:val="24"/>
        </w:rPr>
        <w:t xml:space="preserve"> in Naknek and King Salmon</w:t>
      </w:r>
      <w:r w:rsidRPr="000D5D04">
        <w:rPr>
          <w:rFonts w:cs="Calibri"/>
          <w:sz w:val="24"/>
        </w:rPr>
        <w:t xml:space="preserve">, gas </w:t>
      </w:r>
      <w:r w:rsidR="0079285C">
        <w:rPr>
          <w:rFonts w:cs="Calibri"/>
          <w:sz w:val="24"/>
        </w:rPr>
        <w:t xml:space="preserve">for an auto </w:t>
      </w:r>
      <w:r w:rsidRPr="000D5D04">
        <w:rPr>
          <w:rFonts w:cs="Calibri"/>
          <w:sz w:val="24"/>
        </w:rPr>
        <w:t xml:space="preserve">has been over </w:t>
      </w:r>
      <w:r>
        <w:rPr>
          <w:rFonts w:cs="Calibri"/>
          <w:sz w:val="24"/>
        </w:rPr>
        <w:t>$5</w:t>
      </w:r>
      <w:r w:rsidR="004E157F">
        <w:rPr>
          <w:rFonts w:cs="Calibri"/>
          <w:sz w:val="24"/>
        </w:rPr>
        <w:t>.</w:t>
      </w:r>
      <w:r w:rsidRPr="000D5D04">
        <w:rPr>
          <w:rFonts w:cs="Calibri"/>
          <w:sz w:val="24"/>
        </w:rPr>
        <w:t xml:space="preserve">25 a gallon for 5 plus years, and </w:t>
      </w:r>
      <w:r>
        <w:rPr>
          <w:rFonts w:cs="Calibri"/>
          <w:sz w:val="24"/>
        </w:rPr>
        <w:t>a gallon of milk is sold locally at $12.00.</w:t>
      </w:r>
      <w:r w:rsidR="0079285C">
        <w:rPr>
          <w:rFonts w:cs="Calibri"/>
          <w:sz w:val="24"/>
        </w:rPr>
        <w:t xml:space="preserve"> Current round trip airfares to Anchorage from King Salmon are nearly $600.00.</w:t>
      </w:r>
    </w:p>
    <w:p w:rsidR="006778D5" w:rsidRPr="00E01D8A" w:rsidRDefault="006778D5" w:rsidP="0026563F">
      <w:pPr>
        <w:pStyle w:val="ListParagraph"/>
        <w:numPr>
          <w:ilvl w:val="1"/>
          <w:numId w:val="1"/>
        </w:numPr>
        <w:rPr>
          <w:rFonts w:cs="Calibri"/>
          <w:b/>
          <w:sz w:val="24"/>
        </w:rPr>
      </w:pPr>
      <w:r>
        <w:rPr>
          <w:rFonts w:cs="Calibri"/>
          <w:sz w:val="24"/>
        </w:rPr>
        <w:t>When state employees and other federal</w:t>
      </w:r>
      <w:r w:rsidRPr="000D5D04">
        <w:rPr>
          <w:rFonts w:cs="Calibri"/>
          <w:sz w:val="24"/>
        </w:rPr>
        <w:t xml:space="preserve"> </w:t>
      </w:r>
      <w:r>
        <w:rPr>
          <w:rFonts w:cs="Calibri"/>
          <w:sz w:val="24"/>
        </w:rPr>
        <w:t xml:space="preserve">employees living in the same region </w:t>
      </w:r>
      <w:r w:rsidRPr="000D5D04">
        <w:rPr>
          <w:rFonts w:cs="Calibri"/>
          <w:sz w:val="24"/>
        </w:rPr>
        <w:t>are provided differentials equal to 20-30% more than colleagues in Anchorage to address the high cost of living</w:t>
      </w:r>
      <w:r>
        <w:rPr>
          <w:rFonts w:cs="Calibri"/>
          <w:sz w:val="24"/>
        </w:rPr>
        <w:t>, shouldn’t a similar system exist for the teachers living in those same conditions</w:t>
      </w:r>
      <w:r w:rsidRPr="000D5D04">
        <w:rPr>
          <w:rFonts w:cs="Calibri"/>
          <w:sz w:val="24"/>
        </w:rPr>
        <w:t>.</w:t>
      </w:r>
    </w:p>
    <w:p w:rsidR="006778D5" w:rsidRPr="00E01D8A" w:rsidRDefault="006778D5" w:rsidP="0026563F">
      <w:pPr>
        <w:pStyle w:val="ListParagraph"/>
        <w:numPr>
          <w:ilvl w:val="0"/>
          <w:numId w:val="1"/>
        </w:numPr>
        <w:rPr>
          <w:rFonts w:cs="Calibri"/>
          <w:b/>
          <w:sz w:val="24"/>
        </w:rPr>
      </w:pPr>
      <w:r w:rsidRPr="00E01D8A">
        <w:rPr>
          <w:rFonts w:cs="Calibri"/>
          <w:b/>
          <w:sz w:val="24"/>
        </w:rPr>
        <w:t>What are the cost drivers in your budget?</w:t>
      </w:r>
    </w:p>
    <w:p w:rsidR="006778D5" w:rsidRPr="00CE5049" w:rsidRDefault="006778D5" w:rsidP="00E01D8A">
      <w:pPr>
        <w:pStyle w:val="ListParagraph"/>
        <w:numPr>
          <w:ilvl w:val="1"/>
          <w:numId w:val="1"/>
        </w:numPr>
        <w:rPr>
          <w:rFonts w:cs="Calibri"/>
          <w:b/>
          <w:sz w:val="24"/>
        </w:rPr>
      </w:pPr>
      <w:r w:rsidRPr="000D5D04">
        <w:rPr>
          <w:rFonts w:cs="Calibri"/>
          <w:sz w:val="24"/>
        </w:rPr>
        <w:t>Energy costs are big and there is no controlling those costs.  The facility has millions in deferred maintenance to complete and that will grow significantly in next 6 years.</w:t>
      </w:r>
    </w:p>
    <w:p w:rsidR="00CE5049" w:rsidRPr="007D5E6F" w:rsidRDefault="00CE5049" w:rsidP="00E01D8A">
      <w:pPr>
        <w:pStyle w:val="ListParagraph"/>
        <w:numPr>
          <w:ilvl w:val="1"/>
          <w:numId w:val="1"/>
        </w:numPr>
        <w:rPr>
          <w:rFonts w:cs="Calibri"/>
          <w:b/>
          <w:sz w:val="24"/>
        </w:rPr>
      </w:pPr>
      <w:r>
        <w:rPr>
          <w:rFonts w:cs="Calibri"/>
          <w:sz w:val="24"/>
        </w:rPr>
        <w:t>Transportation costs, the shipping costs associated with supplies and materials</w:t>
      </w:r>
      <w:r w:rsidR="007D5E6F">
        <w:rPr>
          <w:rFonts w:cs="Calibri"/>
          <w:sz w:val="24"/>
        </w:rPr>
        <w:t>, travel for our own staff, professional development presenters, and visiting special education related services personnel who are required to be on-site are all significant.</w:t>
      </w:r>
    </w:p>
    <w:p w:rsidR="007D5E6F" w:rsidRPr="00E01D8A" w:rsidRDefault="007D5E6F" w:rsidP="00E01D8A">
      <w:pPr>
        <w:pStyle w:val="ListParagraph"/>
        <w:numPr>
          <w:ilvl w:val="1"/>
          <w:numId w:val="1"/>
        </w:numPr>
        <w:rPr>
          <w:rFonts w:cs="Calibri"/>
          <w:b/>
          <w:sz w:val="24"/>
        </w:rPr>
      </w:pPr>
      <w:r>
        <w:rPr>
          <w:rFonts w:cs="Calibri"/>
          <w:sz w:val="24"/>
        </w:rPr>
        <w:t>Health insurance costs continue to escalate</w:t>
      </w:r>
      <w:r w:rsidR="00BC1478">
        <w:rPr>
          <w:rFonts w:cs="Calibri"/>
          <w:sz w:val="24"/>
        </w:rPr>
        <w:t xml:space="preserve"> in ways that are significant, as are other insurance costs.</w:t>
      </w:r>
    </w:p>
    <w:p w:rsidR="006778D5" w:rsidRPr="00E01D8A" w:rsidRDefault="006778D5" w:rsidP="0026563F">
      <w:pPr>
        <w:pStyle w:val="ListParagraph"/>
        <w:numPr>
          <w:ilvl w:val="0"/>
          <w:numId w:val="1"/>
        </w:numPr>
        <w:rPr>
          <w:rFonts w:cs="Calibri"/>
          <w:b/>
          <w:sz w:val="24"/>
        </w:rPr>
      </w:pPr>
      <w:r w:rsidRPr="00E01D8A">
        <w:rPr>
          <w:rFonts w:cs="Calibri"/>
          <w:b/>
          <w:sz w:val="24"/>
        </w:rPr>
        <w:t xml:space="preserve">How much were your energy costs in FY11?  </w:t>
      </w:r>
      <w:r w:rsidRPr="002A0866">
        <w:rPr>
          <w:rFonts w:cs="Calibri"/>
          <w:sz w:val="24"/>
        </w:rPr>
        <w:t>$373,744.53</w:t>
      </w:r>
    </w:p>
    <w:p w:rsidR="006778D5" w:rsidRPr="00E01D8A" w:rsidRDefault="006778D5" w:rsidP="0026563F">
      <w:pPr>
        <w:pStyle w:val="ListParagraph"/>
        <w:numPr>
          <w:ilvl w:val="0"/>
          <w:numId w:val="1"/>
        </w:numPr>
        <w:rPr>
          <w:rFonts w:cs="Calibri"/>
          <w:b/>
          <w:sz w:val="24"/>
        </w:rPr>
      </w:pPr>
      <w:r w:rsidRPr="00E01D8A">
        <w:rPr>
          <w:rFonts w:cs="Calibri"/>
          <w:b/>
          <w:sz w:val="24"/>
        </w:rPr>
        <w:t>How much do you project them to be in FY13?</w:t>
      </w:r>
      <w:r w:rsidRPr="00E01D8A">
        <w:rPr>
          <w:rFonts w:cs="Calibri"/>
          <w:b/>
          <w:sz w:val="24"/>
        </w:rPr>
        <w:tab/>
      </w:r>
      <w:r w:rsidRPr="002A0866">
        <w:rPr>
          <w:rFonts w:cs="Calibri"/>
          <w:sz w:val="24"/>
        </w:rPr>
        <w:t>$</w:t>
      </w:r>
      <w:r w:rsidR="00A06B2B">
        <w:rPr>
          <w:rFonts w:cs="Calibri"/>
          <w:sz w:val="24"/>
        </w:rPr>
        <w:t>421</w:t>
      </w:r>
      <w:r w:rsidRPr="002A0866">
        <w:rPr>
          <w:rFonts w:cs="Calibri"/>
          <w:sz w:val="24"/>
        </w:rPr>
        <w:t>,000</w:t>
      </w:r>
    </w:p>
    <w:p w:rsidR="006778D5" w:rsidRPr="00E01D8A" w:rsidRDefault="006778D5" w:rsidP="0026563F">
      <w:pPr>
        <w:pStyle w:val="ListParagraph"/>
        <w:numPr>
          <w:ilvl w:val="0"/>
          <w:numId w:val="1"/>
        </w:numPr>
        <w:rPr>
          <w:rFonts w:cs="Calibri"/>
          <w:b/>
          <w:sz w:val="24"/>
        </w:rPr>
      </w:pPr>
      <w:r w:rsidRPr="00E01D8A">
        <w:rPr>
          <w:rFonts w:cs="Calibri"/>
          <w:b/>
          <w:sz w:val="24"/>
        </w:rPr>
        <w:t>Do you have a system in place to make budget adjustments when enrollment drops—how do you approach this?</w:t>
      </w:r>
    </w:p>
    <w:p w:rsidR="006778D5" w:rsidRDefault="006778D5" w:rsidP="00E01D8A">
      <w:pPr>
        <w:pStyle w:val="ListParagraph"/>
        <w:numPr>
          <w:ilvl w:val="1"/>
          <w:numId w:val="1"/>
        </w:numPr>
        <w:rPr>
          <w:rFonts w:cs="Calibri"/>
          <w:sz w:val="24"/>
        </w:rPr>
      </w:pPr>
      <w:r w:rsidRPr="000D5D04">
        <w:rPr>
          <w:rFonts w:cs="Calibri"/>
          <w:sz w:val="24"/>
        </w:rPr>
        <w:t>We are in a declining enrollment mode and have two large cohort</w:t>
      </w:r>
      <w:r>
        <w:rPr>
          <w:rFonts w:cs="Calibri"/>
          <w:sz w:val="24"/>
        </w:rPr>
        <w:t xml:space="preserve">s </w:t>
      </w:r>
      <w:r w:rsidR="00CE5049">
        <w:rPr>
          <w:rFonts w:cs="Calibri"/>
          <w:sz w:val="24"/>
        </w:rPr>
        <w:t xml:space="preserve">of @ 20 </w:t>
      </w:r>
      <w:r>
        <w:rPr>
          <w:rFonts w:cs="Calibri"/>
          <w:sz w:val="24"/>
        </w:rPr>
        <w:t>graduating in fy13 and fy14</w:t>
      </w:r>
      <w:r w:rsidR="00CE5049">
        <w:rPr>
          <w:rFonts w:cs="Calibri"/>
          <w:sz w:val="24"/>
        </w:rPr>
        <w:t xml:space="preserve"> and only 5-7 children coming into kindergarten</w:t>
      </w:r>
      <w:r>
        <w:rPr>
          <w:rFonts w:cs="Calibri"/>
          <w:sz w:val="24"/>
        </w:rPr>
        <w:t>.</w:t>
      </w:r>
    </w:p>
    <w:p w:rsidR="006778D5" w:rsidRPr="00E01D8A" w:rsidRDefault="006778D5" w:rsidP="00E01D8A">
      <w:pPr>
        <w:pStyle w:val="ListParagraph"/>
        <w:numPr>
          <w:ilvl w:val="1"/>
          <w:numId w:val="1"/>
        </w:numPr>
        <w:rPr>
          <w:rFonts w:cs="Calibri"/>
          <w:b/>
          <w:sz w:val="24"/>
        </w:rPr>
      </w:pPr>
      <w:r w:rsidRPr="000D5D04">
        <w:rPr>
          <w:rFonts w:cs="Calibri"/>
          <w:sz w:val="24"/>
        </w:rPr>
        <w:t>We are reducing staff as a result, but the next reductions will cause us to restructure our elementary grade level instruction and that will create new challenges that will require significant retraining of teachers and the community.</w:t>
      </w:r>
    </w:p>
    <w:p w:rsidR="006778D5" w:rsidRPr="00E01D8A" w:rsidRDefault="006778D5" w:rsidP="0026563F">
      <w:pPr>
        <w:pStyle w:val="ListParagraph"/>
        <w:numPr>
          <w:ilvl w:val="0"/>
          <w:numId w:val="1"/>
        </w:numPr>
        <w:rPr>
          <w:rFonts w:cs="Calibri"/>
          <w:b/>
          <w:sz w:val="24"/>
        </w:rPr>
      </w:pPr>
      <w:r w:rsidRPr="00E01D8A">
        <w:rPr>
          <w:rFonts w:cs="Calibri"/>
          <w:b/>
          <w:sz w:val="24"/>
        </w:rPr>
        <w:t>What are your biggest instructional challenges?</w:t>
      </w:r>
    </w:p>
    <w:p w:rsidR="00CE5049" w:rsidRPr="00CE5049" w:rsidRDefault="006778D5" w:rsidP="00E01D8A">
      <w:pPr>
        <w:pStyle w:val="ListParagraph"/>
        <w:numPr>
          <w:ilvl w:val="1"/>
          <w:numId w:val="1"/>
        </w:numPr>
        <w:rPr>
          <w:rFonts w:cs="Calibri"/>
          <w:b/>
          <w:sz w:val="24"/>
        </w:rPr>
      </w:pPr>
      <w:r w:rsidRPr="0018519A">
        <w:rPr>
          <w:rFonts w:cs="Calibri"/>
          <w:sz w:val="24"/>
        </w:rPr>
        <w:t>Math and writing are big challenges</w:t>
      </w:r>
      <w:r w:rsidR="00CE5049">
        <w:rPr>
          <w:rFonts w:cs="Calibri"/>
          <w:sz w:val="24"/>
        </w:rPr>
        <w:t xml:space="preserve"> for our district</w:t>
      </w:r>
      <w:r w:rsidRPr="0018519A">
        <w:rPr>
          <w:rFonts w:cs="Calibri"/>
          <w:sz w:val="24"/>
        </w:rPr>
        <w:t xml:space="preserve">, and science scores remain well below what we would like them to be.  </w:t>
      </w:r>
    </w:p>
    <w:p w:rsidR="00CE5049" w:rsidRPr="00CE5049" w:rsidRDefault="00CE5049" w:rsidP="00E01D8A">
      <w:pPr>
        <w:pStyle w:val="ListParagraph"/>
        <w:numPr>
          <w:ilvl w:val="1"/>
          <w:numId w:val="1"/>
        </w:numPr>
        <w:rPr>
          <w:rFonts w:cs="Calibri"/>
          <w:b/>
          <w:sz w:val="24"/>
        </w:rPr>
      </w:pPr>
      <w:r>
        <w:rPr>
          <w:rFonts w:cs="Calibri"/>
          <w:sz w:val="24"/>
        </w:rPr>
        <w:t xml:space="preserve">In recent years we have dedicated considerable efforts to a review and update of our language arts </w:t>
      </w:r>
      <w:r w:rsidR="00954E49">
        <w:rPr>
          <w:rFonts w:cs="Calibri"/>
          <w:sz w:val="24"/>
        </w:rPr>
        <w:t>curriculum, which resulted in the purchase of new instructional materials for grades k-5 and professional development for staff.</w:t>
      </w:r>
    </w:p>
    <w:p w:rsidR="006778D5" w:rsidRPr="00954E49" w:rsidRDefault="006778D5" w:rsidP="00E01D8A">
      <w:pPr>
        <w:pStyle w:val="ListParagraph"/>
        <w:numPr>
          <w:ilvl w:val="1"/>
          <w:numId w:val="1"/>
        </w:numPr>
        <w:rPr>
          <w:rFonts w:cs="Calibri"/>
          <w:b/>
          <w:sz w:val="24"/>
        </w:rPr>
      </w:pPr>
      <w:r w:rsidRPr="0018519A">
        <w:rPr>
          <w:rFonts w:cs="Calibri"/>
          <w:sz w:val="24"/>
        </w:rPr>
        <w:t>We are looking into our math program and if there might be a better set of materials for our teachers to use.</w:t>
      </w:r>
      <w:r w:rsidR="00954E49">
        <w:rPr>
          <w:rFonts w:cs="Calibri"/>
          <w:sz w:val="24"/>
        </w:rPr>
        <w:t xml:space="preserve">  This is a big undertaking and requires some research so we avoid the mistakes others occasionally make.</w:t>
      </w:r>
    </w:p>
    <w:p w:rsidR="00954E49" w:rsidRPr="00E01D8A" w:rsidRDefault="00954E49" w:rsidP="00E01D8A">
      <w:pPr>
        <w:pStyle w:val="ListParagraph"/>
        <w:numPr>
          <w:ilvl w:val="1"/>
          <w:numId w:val="1"/>
        </w:numPr>
        <w:rPr>
          <w:rFonts w:cs="Calibri"/>
          <w:b/>
          <w:sz w:val="24"/>
        </w:rPr>
      </w:pPr>
      <w:r>
        <w:rPr>
          <w:rFonts w:cs="Calibri"/>
          <w:sz w:val="24"/>
        </w:rPr>
        <w:t>High turnover demands a greater commitment to professional development for all staff.  In a 2-3 year period you could have no teacher trained in the use of specific materials and programs</w:t>
      </w:r>
      <w:r w:rsidR="002A5F6E">
        <w:rPr>
          <w:rFonts w:cs="Calibri"/>
          <w:sz w:val="24"/>
        </w:rPr>
        <w:t xml:space="preserve"> the district has committed to and if we don’t change that, academic success will suffer.</w:t>
      </w:r>
      <w:r>
        <w:rPr>
          <w:rFonts w:cs="Calibri"/>
          <w:sz w:val="24"/>
        </w:rPr>
        <w:t>.</w:t>
      </w:r>
    </w:p>
    <w:p w:rsidR="006778D5" w:rsidRPr="00E01D8A" w:rsidRDefault="006778D5" w:rsidP="0026563F">
      <w:pPr>
        <w:pStyle w:val="ListParagraph"/>
        <w:numPr>
          <w:ilvl w:val="0"/>
          <w:numId w:val="1"/>
        </w:numPr>
        <w:rPr>
          <w:rFonts w:cs="Calibri"/>
          <w:b/>
          <w:sz w:val="24"/>
        </w:rPr>
      </w:pPr>
      <w:r w:rsidRPr="00E01D8A">
        <w:rPr>
          <w:rFonts w:cs="Calibri"/>
          <w:b/>
          <w:sz w:val="24"/>
        </w:rPr>
        <w:t>What grade would you give your school district (A-F)?</w:t>
      </w:r>
    </w:p>
    <w:p w:rsidR="00954E49" w:rsidRPr="00954E49" w:rsidRDefault="006778D5" w:rsidP="00E01D8A">
      <w:pPr>
        <w:pStyle w:val="ListParagraph"/>
        <w:numPr>
          <w:ilvl w:val="1"/>
          <w:numId w:val="1"/>
        </w:numPr>
        <w:rPr>
          <w:rFonts w:cs="Calibri"/>
          <w:b/>
          <w:sz w:val="24"/>
        </w:rPr>
      </w:pPr>
      <w:r w:rsidRPr="0018519A">
        <w:rPr>
          <w:rFonts w:cs="Calibri"/>
          <w:sz w:val="24"/>
        </w:rPr>
        <w:t xml:space="preserve">We are a district that gets a B or B-.  We have high performing teachers and students and understand what the state standards require.  We know we can always do better, and while we continue to meet the NCLB academic targets, when the required graduation rate jumped to 85% this year, we did not make that target. </w:t>
      </w:r>
    </w:p>
    <w:p w:rsidR="006778D5" w:rsidRPr="002A5F6E" w:rsidRDefault="006778D5" w:rsidP="00E01D8A">
      <w:pPr>
        <w:pStyle w:val="ListParagraph"/>
        <w:numPr>
          <w:ilvl w:val="1"/>
          <w:numId w:val="1"/>
        </w:numPr>
        <w:rPr>
          <w:rFonts w:cs="Calibri"/>
          <w:b/>
          <w:sz w:val="24"/>
        </w:rPr>
      </w:pPr>
      <w:r w:rsidRPr="0018519A">
        <w:rPr>
          <w:rFonts w:cs="Calibri"/>
          <w:sz w:val="24"/>
        </w:rPr>
        <w:t>In 2010 and 2011 a total of 3 students who did not graduate in 4 years came back to take the last parts of the graduation exam in the fall semester and they passed.  That allowed them to earn their diplomas, but there is no credit given to the student or school for that success.</w:t>
      </w:r>
    </w:p>
    <w:p w:rsidR="002A5F6E" w:rsidRPr="00E01D8A" w:rsidRDefault="002A5F6E" w:rsidP="00E01D8A">
      <w:pPr>
        <w:pStyle w:val="ListParagraph"/>
        <w:numPr>
          <w:ilvl w:val="1"/>
          <w:numId w:val="1"/>
        </w:numPr>
        <w:rPr>
          <w:rFonts w:cs="Calibri"/>
          <w:b/>
          <w:sz w:val="24"/>
        </w:rPr>
      </w:pPr>
      <w:r>
        <w:rPr>
          <w:rFonts w:cs="Calibri"/>
          <w:sz w:val="24"/>
        </w:rPr>
        <w:t>We know that every student, every parent, staff member, and community member wants every child to graduate and we will do better in this area.  Our small numbers  do mean that every single child represents about 10% in that calculation, so we must make sure every child is successful.</w:t>
      </w:r>
    </w:p>
    <w:p w:rsidR="006778D5" w:rsidRDefault="006778D5" w:rsidP="00E51599">
      <w:pPr>
        <w:pStyle w:val="ListParagraph"/>
        <w:numPr>
          <w:ilvl w:val="0"/>
          <w:numId w:val="4"/>
        </w:numPr>
        <w:rPr>
          <w:rFonts w:cs="Calibri"/>
          <w:b/>
          <w:sz w:val="24"/>
        </w:rPr>
      </w:pPr>
      <w:r w:rsidRPr="00E01D8A">
        <w:rPr>
          <w:rFonts w:cs="Calibri"/>
          <w:b/>
          <w:sz w:val="24"/>
        </w:rPr>
        <w:t>What are you proposing to do differently to improve student performance?</w:t>
      </w:r>
    </w:p>
    <w:p w:rsidR="0079285C" w:rsidRPr="00E51599" w:rsidRDefault="0079285C" w:rsidP="0026563F">
      <w:pPr>
        <w:pStyle w:val="ListParagraph"/>
        <w:numPr>
          <w:ilvl w:val="1"/>
          <w:numId w:val="1"/>
        </w:numPr>
        <w:rPr>
          <w:rFonts w:cs="Calibri"/>
          <w:sz w:val="24"/>
        </w:rPr>
      </w:pPr>
      <w:r w:rsidRPr="00E51599">
        <w:rPr>
          <w:rFonts w:cs="Calibri"/>
          <w:sz w:val="24"/>
        </w:rPr>
        <w:t xml:space="preserve">Continue the good things we are doing.  The </w:t>
      </w:r>
      <w:r w:rsidR="00E51599" w:rsidRPr="00E51599">
        <w:rPr>
          <w:rFonts w:cs="Calibri"/>
          <w:sz w:val="24"/>
        </w:rPr>
        <w:t>fact that 70-90% of our children are proficient in every academic area, is an indicator that many things we do, our families do, and our students do are working.</w:t>
      </w:r>
    </w:p>
    <w:p w:rsidR="00E51599" w:rsidRDefault="00E51599" w:rsidP="0026563F">
      <w:pPr>
        <w:pStyle w:val="ListParagraph"/>
        <w:numPr>
          <w:ilvl w:val="1"/>
          <w:numId w:val="1"/>
        </w:numPr>
        <w:rPr>
          <w:rFonts w:cs="Calibri"/>
          <w:sz w:val="24"/>
        </w:rPr>
      </w:pPr>
      <w:r w:rsidRPr="00E51599">
        <w:rPr>
          <w:rFonts w:cs="Calibri"/>
          <w:sz w:val="24"/>
        </w:rPr>
        <w:t>Continue to raise the bar on rigor and implement a plan for most students to have the opportunity to qualify for the Governor’s Performance Scholarship and to be better prepared for post secondary pursuits.</w:t>
      </w:r>
    </w:p>
    <w:p w:rsidR="00E51599" w:rsidRPr="00E51599" w:rsidRDefault="00E51599" w:rsidP="0026563F">
      <w:pPr>
        <w:pStyle w:val="ListParagraph"/>
        <w:numPr>
          <w:ilvl w:val="1"/>
          <w:numId w:val="1"/>
        </w:numPr>
        <w:rPr>
          <w:rFonts w:cs="Calibri"/>
          <w:sz w:val="24"/>
        </w:rPr>
      </w:pPr>
      <w:r>
        <w:rPr>
          <w:rFonts w:cs="Calibri"/>
          <w:sz w:val="24"/>
        </w:rPr>
        <w:t>We will be looking at more distance options and using those resources to implement programs for our highest performing students, and all others.</w:t>
      </w:r>
    </w:p>
    <w:p w:rsidR="006778D5" w:rsidRDefault="006778D5" w:rsidP="0026563F">
      <w:pPr>
        <w:pStyle w:val="ListParagraph"/>
        <w:numPr>
          <w:ilvl w:val="0"/>
          <w:numId w:val="1"/>
        </w:numPr>
        <w:rPr>
          <w:rFonts w:cs="Calibri"/>
          <w:b/>
          <w:sz w:val="24"/>
        </w:rPr>
      </w:pPr>
      <w:r w:rsidRPr="00E01D8A">
        <w:rPr>
          <w:rFonts w:cs="Calibri"/>
          <w:b/>
          <w:sz w:val="24"/>
        </w:rPr>
        <w:t>Is the state providing the kind of planning and curriculum support that is helpful to your school district?</w:t>
      </w:r>
    </w:p>
    <w:p w:rsidR="00E51599" w:rsidRDefault="00E51599" w:rsidP="00E51599">
      <w:pPr>
        <w:pStyle w:val="ListParagraph"/>
        <w:numPr>
          <w:ilvl w:val="1"/>
          <w:numId w:val="1"/>
        </w:numPr>
        <w:rPr>
          <w:rFonts w:cs="Calibri"/>
          <w:sz w:val="24"/>
        </w:rPr>
      </w:pPr>
      <w:r w:rsidRPr="00816EB4">
        <w:rPr>
          <w:rFonts w:cs="Calibri"/>
          <w:sz w:val="24"/>
        </w:rPr>
        <w:t>DEED is a much more regulatory and compliance agency then an agency that can provide supports in curriculum and planning.</w:t>
      </w:r>
    </w:p>
    <w:p w:rsidR="0051440A" w:rsidRPr="00816EB4" w:rsidRDefault="0051440A" w:rsidP="00E51599">
      <w:pPr>
        <w:pStyle w:val="ListParagraph"/>
        <w:numPr>
          <w:ilvl w:val="1"/>
          <w:numId w:val="1"/>
        </w:numPr>
        <w:rPr>
          <w:rFonts w:cs="Calibri"/>
          <w:sz w:val="24"/>
        </w:rPr>
      </w:pPr>
      <w:r>
        <w:rPr>
          <w:rFonts w:cs="Calibri"/>
          <w:sz w:val="24"/>
        </w:rPr>
        <w:t>In recent years a growing focus of their services has been to provide support for those districts and schools identified as the lowest performing, and thankfully, that is not an issue we are dealing with.</w:t>
      </w:r>
    </w:p>
    <w:p w:rsidR="00E51599" w:rsidRDefault="00E51599" w:rsidP="00E51599">
      <w:pPr>
        <w:pStyle w:val="ListParagraph"/>
        <w:numPr>
          <w:ilvl w:val="1"/>
          <w:numId w:val="1"/>
        </w:numPr>
        <w:rPr>
          <w:rFonts w:cs="Calibri"/>
          <w:sz w:val="24"/>
        </w:rPr>
      </w:pPr>
      <w:r w:rsidRPr="00816EB4">
        <w:rPr>
          <w:rFonts w:cs="Calibri"/>
          <w:sz w:val="24"/>
        </w:rPr>
        <w:t xml:space="preserve">Our district typically turns to the Anchorage, Mat-Su, and Kenai districts for those supports as they have much more evolved and robust </w:t>
      </w:r>
      <w:r w:rsidR="00816EB4" w:rsidRPr="00816EB4">
        <w:rPr>
          <w:rFonts w:cs="Calibri"/>
          <w:sz w:val="24"/>
        </w:rPr>
        <w:t>expertise in these areas.</w:t>
      </w:r>
    </w:p>
    <w:p w:rsidR="00816EB4" w:rsidRPr="00816EB4" w:rsidRDefault="00816EB4" w:rsidP="00E51599">
      <w:pPr>
        <w:pStyle w:val="ListParagraph"/>
        <w:numPr>
          <w:ilvl w:val="1"/>
          <w:numId w:val="1"/>
        </w:numPr>
        <w:rPr>
          <w:rFonts w:cs="Calibri"/>
          <w:sz w:val="24"/>
        </w:rPr>
      </w:pPr>
      <w:r>
        <w:rPr>
          <w:rFonts w:cs="Calibri"/>
          <w:sz w:val="24"/>
        </w:rPr>
        <w:t>We have sought federal grants for additional support in this area and it has been very helpful.</w:t>
      </w:r>
    </w:p>
    <w:p w:rsidR="006778D5" w:rsidRDefault="006778D5" w:rsidP="0026563F">
      <w:pPr>
        <w:pStyle w:val="ListParagraph"/>
        <w:numPr>
          <w:ilvl w:val="0"/>
          <w:numId w:val="1"/>
        </w:numPr>
        <w:rPr>
          <w:rFonts w:cs="Calibri"/>
          <w:b/>
          <w:sz w:val="24"/>
        </w:rPr>
      </w:pPr>
      <w:r w:rsidRPr="00E01D8A">
        <w:rPr>
          <w:rFonts w:cs="Calibri"/>
          <w:b/>
          <w:sz w:val="24"/>
        </w:rPr>
        <w:t>How can the DEED, the Board of Education or other state agencies help you achieve better results, other than just providing you with more money?</w:t>
      </w:r>
    </w:p>
    <w:p w:rsidR="00816EB4" w:rsidRDefault="00816EB4" w:rsidP="00816EB4">
      <w:pPr>
        <w:pStyle w:val="ListParagraph"/>
        <w:numPr>
          <w:ilvl w:val="1"/>
          <w:numId w:val="1"/>
        </w:numPr>
        <w:rPr>
          <w:rFonts w:cs="Calibri"/>
          <w:sz w:val="24"/>
        </w:rPr>
      </w:pPr>
      <w:r w:rsidRPr="00816EB4">
        <w:rPr>
          <w:rFonts w:cs="Calibri"/>
          <w:sz w:val="24"/>
        </w:rPr>
        <w:t>Truly eliminate the items we regularly suggest are of no value, to us or the state- (ie the 70/30 requirements or waiver letters, a graduation exam that limits any individual students from earning a diploma, help families do a better job of parenting and getting their children to school and learning the importance of that basic skill by enforcing statutes on truancy</w:t>
      </w:r>
      <w:r>
        <w:rPr>
          <w:rFonts w:cs="Calibri"/>
          <w:sz w:val="24"/>
        </w:rPr>
        <w:t xml:space="preserve"> and having law enforcement and courts fulfill their </w:t>
      </w:r>
      <w:r w:rsidR="00D77CC9">
        <w:rPr>
          <w:rFonts w:cs="Calibri"/>
          <w:sz w:val="24"/>
        </w:rPr>
        <w:t xml:space="preserve">statutory </w:t>
      </w:r>
      <w:r>
        <w:rPr>
          <w:rFonts w:cs="Calibri"/>
          <w:sz w:val="24"/>
        </w:rPr>
        <w:t>obligations in this matter, etc)</w:t>
      </w:r>
    </w:p>
    <w:p w:rsidR="00D77CC9" w:rsidRDefault="00816EB4" w:rsidP="00816EB4">
      <w:pPr>
        <w:pStyle w:val="ListParagraph"/>
        <w:numPr>
          <w:ilvl w:val="1"/>
          <w:numId w:val="1"/>
        </w:numPr>
        <w:rPr>
          <w:rFonts w:cs="Calibri"/>
          <w:sz w:val="24"/>
        </w:rPr>
      </w:pPr>
      <w:r>
        <w:rPr>
          <w:rFonts w:cs="Calibri"/>
          <w:sz w:val="24"/>
        </w:rPr>
        <w:t xml:space="preserve">Hold the university </w:t>
      </w:r>
      <w:r w:rsidR="00D77CC9">
        <w:rPr>
          <w:rFonts w:cs="Calibri"/>
          <w:sz w:val="24"/>
        </w:rPr>
        <w:t xml:space="preserve">system </w:t>
      </w:r>
      <w:r>
        <w:rPr>
          <w:rFonts w:cs="Calibri"/>
          <w:sz w:val="24"/>
        </w:rPr>
        <w:t>accoun</w:t>
      </w:r>
      <w:r w:rsidR="00D77CC9">
        <w:rPr>
          <w:rFonts w:cs="Calibri"/>
          <w:sz w:val="24"/>
        </w:rPr>
        <w:t>table to a higher standard.  I</w:t>
      </w:r>
      <w:r>
        <w:rPr>
          <w:rFonts w:cs="Calibri"/>
          <w:sz w:val="24"/>
        </w:rPr>
        <w:t>f they are concerned about k-12 preparation</w:t>
      </w:r>
      <w:r w:rsidR="00D77CC9">
        <w:rPr>
          <w:rFonts w:cs="Calibri"/>
          <w:sz w:val="24"/>
        </w:rPr>
        <w:t>, establish a standard of admission standards that goes beyond open enrollment so everyone understands the competitive world of today and tomorrow will require skills and training beyond high school.</w:t>
      </w:r>
    </w:p>
    <w:p w:rsidR="00816EB4" w:rsidRPr="00816EB4" w:rsidRDefault="00D77CC9" w:rsidP="00816EB4">
      <w:pPr>
        <w:pStyle w:val="ListParagraph"/>
        <w:numPr>
          <w:ilvl w:val="1"/>
          <w:numId w:val="1"/>
        </w:numPr>
        <w:rPr>
          <w:rFonts w:cs="Calibri"/>
          <w:sz w:val="24"/>
        </w:rPr>
      </w:pPr>
      <w:r>
        <w:rPr>
          <w:rFonts w:cs="Calibri"/>
          <w:sz w:val="24"/>
        </w:rPr>
        <w:t xml:space="preserve">Help to support the Department of Labor realize that teacher and administrative shortages in our rural areas are real </w:t>
      </w:r>
      <w:r w:rsidR="0051440A">
        <w:rPr>
          <w:rFonts w:cs="Calibri"/>
          <w:sz w:val="24"/>
        </w:rPr>
        <w:t>concerns for the present and future.  These shortages</w:t>
      </w:r>
      <w:r>
        <w:rPr>
          <w:rFonts w:cs="Calibri"/>
          <w:sz w:val="24"/>
        </w:rPr>
        <w:t xml:space="preserve"> will only get worst if we don’t take a serious look at what can be done to better invest in recruiting and support for those willing to accept that challenge.</w:t>
      </w:r>
    </w:p>
    <w:p w:rsidR="006778D5" w:rsidRPr="00AC1277" w:rsidRDefault="006778D5" w:rsidP="0026563F">
      <w:pPr>
        <w:pStyle w:val="ListParagraph"/>
        <w:numPr>
          <w:ilvl w:val="0"/>
          <w:numId w:val="1"/>
        </w:numPr>
        <w:rPr>
          <w:rFonts w:cs="Calibri"/>
          <w:sz w:val="24"/>
        </w:rPr>
      </w:pPr>
      <w:r w:rsidRPr="00AC1277">
        <w:rPr>
          <w:rFonts w:cs="Calibri"/>
          <w:b/>
          <w:sz w:val="24"/>
        </w:rPr>
        <w:t xml:space="preserve">How much ARRA funding did you receive over the past few years? </w:t>
      </w:r>
    </w:p>
    <w:p w:rsidR="006778D5" w:rsidRPr="00AC1277" w:rsidRDefault="00AC1277" w:rsidP="00E01D8A">
      <w:pPr>
        <w:pStyle w:val="ListParagraph"/>
        <w:numPr>
          <w:ilvl w:val="1"/>
          <w:numId w:val="1"/>
        </w:numPr>
        <w:rPr>
          <w:rFonts w:cs="Calibri"/>
          <w:sz w:val="24"/>
        </w:rPr>
      </w:pPr>
      <w:r w:rsidRPr="00AC1277">
        <w:rPr>
          <w:rFonts w:cs="Calibri"/>
          <w:sz w:val="24"/>
        </w:rPr>
        <w:t>Bristol Bay received just over $12</w:t>
      </w:r>
      <w:r w:rsidR="006778D5" w:rsidRPr="00AC1277">
        <w:rPr>
          <w:rFonts w:cs="Calibri"/>
          <w:sz w:val="24"/>
        </w:rPr>
        <w:t>0,000</w:t>
      </w:r>
      <w:r w:rsidR="0051440A">
        <w:rPr>
          <w:rFonts w:cs="Calibri"/>
          <w:sz w:val="24"/>
        </w:rPr>
        <w:t>,</w:t>
      </w:r>
      <w:r w:rsidRPr="00AC1277">
        <w:rPr>
          <w:rFonts w:cs="Calibri"/>
          <w:sz w:val="24"/>
        </w:rPr>
        <w:t xml:space="preserve"> which included both the ARRA and State Stabilization funding, and the Education Jobs dollars.</w:t>
      </w:r>
    </w:p>
    <w:p w:rsidR="006778D5" w:rsidRPr="00AC1277" w:rsidRDefault="006778D5" w:rsidP="0051440A">
      <w:pPr>
        <w:numPr>
          <w:ilvl w:val="0"/>
          <w:numId w:val="17"/>
        </w:numPr>
        <w:rPr>
          <w:rFonts w:cs="Calibri"/>
          <w:b/>
        </w:rPr>
      </w:pPr>
      <w:r w:rsidRPr="00AC1277">
        <w:rPr>
          <w:rFonts w:cs="Calibri"/>
          <w:b/>
        </w:rPr>
        <w:t>How did you invest any ARRA funds you received?</w:t>
      </w:r>
    </w:p>
    <w:p w:rsidR="006778D5" w:rsidRPr="0051440A" w:rsidRDefault="006778D5" w:rsidP="0051440A">
      <w:pPr>
        <w:numPr>
          <w:ilvl w:val="1"/>
          <w:numId w:val="1"/>
        </w:numPr>
        <w:rPr>
          <w:rFonts w:cs="Calibri"/>
        </w:rPr>
      </w:pPr>
      <w:r w:rsidRPr="0051440A">
        <w:rPr>
          <w:rFonts w:cs="Calibri"/>
        </w:rPr>
        <w:t xml:space="preserve">We used </w:t>
      </w:r>
      <w:r w:rsidR="00A06B2B" w:rsidRPr="0051440A">
        <w:rPr>
          <w:rFonts w:cs="Calibri"/>
        </w:rPr>
        <w:t>the one-time ARRA funding for some of the professional development</w:t>
      </w:r>
      <w:r w:rsidR="0051440A">
        <w:rPr>
          <w:rFonts w:cs="Calibri"/>
        </w:rPr>
        <w:t>, instructional materials including some technology purchases,</w:t>
      </w:r>
      <w:r w:rsidR="00A06B2B" w:rsidRPr="0051440A">
        <w:rPr>
          <w:rFonts w:cs="Calibri"/>
        </w:rPr>
        <w:t xml:space="preserve"> and </w:t>
      </w:r>
      <w:r w:rsidR="0051440A">
        <w:rPr>
          <w:rFonts w:cs="Calibri"/>
        </w:rPr>
        <w:t xml:space="preserve">other </w:t>
      </w:r>
      <w:r w:rsidR="00A06B2B" w:rsidRPr="0051440A">
        <w:rPr>
          <w:rFonts w:cs="Calibri"/>
        </w:rPr>
        <w:t>infrastructure needs</w:t>
      </w:r>
      <w:r w:rsidR="0051440A">
        <w:rPr>
          <w:rFonts w:cs="Calibri"/>
        </w:rPr>
        <w:t xml:space="preserve"> we had set as</w:t>
      </w:r>
      <w:r w:rsidR="00AC1277" w:rsidRPr="0051440A">
        <w:rPr>
          <w:rFonts w:cs="Calibri"/>
        </w:rPr>
        <w:t>ide in recent years.</w:t>
      </w:r>
    </w:p>
    <w:p w:rsidR="00AC1277" w:rsidRPr="0051440A" w:rsidRDefault="00AC1277" w:rsidP="0051440A">
      <w:pPr>
        <w:numPr>
          <w:ilvl w:val="1"/>
          <w:numId w:val="1"/>
        </w:numPr>
        <w:rPr>
          <w:rFonts w:cs="Calibri"/>
        </w:rPr>
      </w:pPr>
      <w:r w:rsidRPr="0051440A">
        <w:rPr>
          <w:rFonts w:cs="Calibri"/>
        </w:rPr>
        <w:t xml:space="preserve">Some of this money designated for special education needs allowed us to extend our related services agreements to include an additional visit or </w:t>
      </w:r>
      <w:r w:rsidR="0051440A">
        <w:rPr>
          <w:rFonts w:cs="Calibri"/>
        </w:rPr>
        <w:t xml:space="preserve">provide </w:t>
      </w:r>
      <w:r w:rsidRPr="0051440A">
        <w:rPr>
          <w:rFonts w:cs="Calibri"/>
        </w:rPr>
        <w:t xml:space="preserve">support </w:t>
      </w:r>
      <w:r w:rsidR="0051440A">
        <w:rPr>
          <w:rFonts w:cs="Calibri"/>
        </w:rPr>
        <w:t xml:space="preserve">for the </w:t>
      </w:r>
      <w:r w:rsidRPr="0051440A">
        <w:rPr>
          <w:rFonts w:cs="Calibri"/>
        </w:rPr>
        <w:t>related costs.</w:t>
      </w:r>
    </w:p>
    <w:p w:rsidR="006778D5" w:rsidRDefault="00AC1277" w:rsidP="002A5F6E">
      <w:pPr>
        <w:numPr>
          <w:ilvl w:val="1"/>
          <w:numId w:val="1"/>
        </w:numPr>
        <w:rPr>
          <w:rFonts w:cs="Calibri"/>
        </w:rPr>
      </w:pPr>
      <w:r w:rsidRPr="0051440A">
        <w:rPr>
          <w:rFonts w:cs="Calibri"/>
        </w:rPr>
        <w:t>We used the funds from the Ed Jobs to help offset increasing health</w:t>
      </w:r>
      <w:r w:rsidR="0051440A">
        <w:rPr>
          <w:rFonts w:cs="Calibri"/>
        </w:rPr>
        <w:t xml:space="preserve"> </w:t>
      </w:r>
      <w:r w:rsidR="0051440A" w:rsidRPr="0051440A">
        <w:rPr>
          <w:rFonts w:cs="Calibri"/>
        </w:rPr>
        <w:t>costs</w:t>
      </w:r>
      <w:r w:rsidRPr="0051440A">
        <w:rPr>
          <w:rFonts w:cs="Calibri"/>
        </w:rPr>
        <w:t xml:space="preserve"> and other benefits.</w:t>
      </w:r>
      <w:r w:rsidR="0051440A">
        <w:rPr>
          <w:rFonts w:cs="Calibri"/>
        </w:rPr>
        <w:t xml:space="preserve">  At $12,000, it was not enough money to save any position.</w:t>
      </w:r>
    </w:p>
    <w:p w:rsidR="00816589" w:rsidRDefault="00816589" w:rsidP="00816589">
      <w:pPr>
        <w:rPr>
          <w:rFonts w:cs="Calibri"/>
        </w:rPr>
      </w:pPr>
    </w:p>
    <w:p w:rsidR="00816589" w:rsidRDefault="00816589" w:rsidP="00816589">
      <w:pPr>
        <w:rPr>
          <w:rFonts w:cs="Calibri"/>
        </w:rPr>
      </w:pPr>
    </w:p>
    <w:p w:rsidR="00816589" w:rsidRDefault="00816589" w:rsidP="00816589">
      <w:pPr>
        <w:rPr>
          <w:rFonts w:cs="Calibri"/>
        </w:rPr>
      </w:pPr>
    </w:p>
    <w:p w:rsidR="00816589" w:rsidRDefault="00816589" w:rsidP="00816589">
      <w:pPr>
        <w:rPr>
          <w:rFonts w:cs="Calibri"/>
        </w:rPr>
      </w:pPr>
    </w:p>
    <w:p w:rsidR="00816589" w:rsidRPr="002A5F6E" w:rsidRDefault="00816589" w:rsidP="00816589">
      <w:pPr>
        <w:rPr>
          <w:rFonts w:cs="Calibri"/>
        </w:rPr>
      </w:pPr>
      <w:r>
        <w:rPr>
          <w:rFonts w:cs="Calibri"/>
        </w:rPr>
        <w:t>Cc</w:t>
      </w:r>
      <w:r>
        <w:rPr>
          <w:rFonts w:cs="Calibri"/>
        </w:rPr>
        <w:tab/>
        <w:t>Representative Bryce Edgmon</w:t>
      </w:r>
      <w:bookmarkStart w:id="0" w:name="_GoBack"/>
      <w:bookmarkEnd w:id="0"/>
    </w:p>
    <w:sectPr w:rsidR="00816589" w:rsidRPr="002A5F6E" w:rsidSect="002944C5">
      <w:pgSz w:w="12240" w:h="15840"/>
      <w:pgMar w:top="1440" w:right="1080" w:bottom="1440" w:left="108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241B1"/>
    <w:multiLevelType w:val="hybridMultilevel"/>
    <w:tmpl w:val="DE32C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8963B0"/>
    <w:multiLevelType w:val="hybridMultilevel"/>
    <w:tmpl w:val="5DC2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424380"/>
    <w:multiLevelType w:val="hybridMultilevel"/>
    <w:tmpl w:val="7FE638F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
    <w:nsid w:val="2BB5037E"/>
    <w:multiLevelType w:val="hybridMultilevel"/>
    <w:tmpl w:val="5AD65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C6722B"/>
    <w:multiLevelType w:val="hybridMultilevel"/>
    <w:tmpl w:val="9CFE3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D91B2C"/>
    <w:multiLevelType w:val="hybridMultilevel"/>
    <w:tmpl w:val="47D2A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576350"/>
    <w:multiLevelType w:val="hybridMultilevel"/>
    <w:tmpl w:val="655AAB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C61EE2"/>
    <w:multiLevelType w:val="hybridMultilevel"/>
    <w:tmpl w:val="FCB8D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027B03"/>
    <w:multiLevelType w:val="hybridMultilevel"/>
    <w:tmpl w:val="03B45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515430"/>
    <w:multiLevelType w:val="hybridMultilevel"/>
    <w:tmpl w:val="1E6C8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6B4DCA"/>
    <w:multiLevelType w:val="hybridMultilevel"/>
    <w:tmpl w:val="EB7817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8A5847"/>
    <w:multiLevelType w:val="hybridMultilevel"/>
    <w:tmpl w:val="D4626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5E2EAA"/>
    <w:multiLevelType w:val="hybridMultilevel"/>
    <w:tmpl w:val="DF882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7AE2825"/>
    <w:multiLevelType w:val="hybridMultilevel"/>
    <w:tmpl w:val="7A2E9D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B844EB0"/>
    <w:multiLevelType w:val="hybridMultilevel"/>
    <w:tmpl w:val="FEE66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B06D98"/>
    <w:multiLevelType w:val="hybridMultilevel"/>
    <w:tmpl w:val="762AB1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F8668D"/>
    <w:multiLevelType w:val="hybridMultilevel"/>
    <w:tmpl w:val="DC36A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3"/>
  </w:num>
  <w:num w:numId="4">
    <w:abstractNumId w:val="8"/>
  </w:num>
  <w:num w:numId="5">
    <w:abstractNumId w:val="10"/>
  </w:num>
  <w:num w:numId="6">
    <w:abstractNumId w:val="3"/>
  </w:num>
  <w:num w:numId="7">
    <w:abstractNumId w:val="6"/>
  </w:num>
  <w:num w:numId="8">
    <w:abstractNumId w:val="7"/>
  </w:num>
  <w:num w:numId="9">
    <w:abstractNumId w:val="12"/>
  </w:num>
  <w:num w:numId="10">
    <w:abstractNumId w:val="0"/>
  </w:num>
  <w:num w:numId="11">
    <w:abstractNumId w:val="5"/>
  </w:num>
  <w:num w:numId="12">
    <w:abstractNumId w:val="1"/>
  </w:num>
  <w:num w:numId="13">
    <w:abstractNumId w:val="9"/>
  </w:num>
  <w:num w:numId="14">
    <w:abstractNumId w:val="16"/>
  </w:num>
  <w:num w:numId="15">
    <w:abstractNumId w:val="11"/>
  </w:num>
  <w:num w:numId="16">
    <w:abstractNumId w:val="2"/>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compat>
    <w:useFELayout/>
  </w:compat>
  <w:rsids>
    <w:rsidRoot w:val="00582816"/>
    <w:rsid w:val="00052C38"/>
    <w:rsid w:val="00080483"/>
    <w:rsid w:val="00085D50"/>
    <w:rsid w:val="000C589B"/>
    <w:rsid w:val="000D5D04"/>
    <w:rsid w:val="0011696E"/>
    <w:rsid w:val="0014272F"/>
    <w:rsid w:val="001729AF"/>
    <w:rsid w:val="0018519A"/>
    <w:rsid w:val="0026563F"/>
    <w:rsid w:val="002944C5"/>
    <w:rsid w:val="002A0866"/>
    <w:rsid w:val="002A5F6E"/>
    <w:rsid w:val="00301AC9"/>
    <w:rsid w:val="003B424A"/>
    <w:rsid w:val="00403C62"/>
    <w:rsid w:val="004370F7"/>
    <w:rsid w:val="004E157F"/>
    <w:rsid w:val="0051440A"/>
    <w:rsid w:val="00582816"/>
    <w:rsid w:val="005E436D"/>
    <w:rsid w:val="00610379"/>
    <w:rsid w:val="00676430"/>
    <w:rsid w:val="006778D5"/>
    <w:rsid w:val="0079285C"/>
    <w:rsid w:val="007D5E6F"/>
    <w:rsid w:val="00816589"/>
    <w:rsid w:val="00816EB4"/>
    <w:rsid w:val="00862561"/>
    <w:rsid w:val="008C40B7"/>
    <w:rsid w:val="00954E49"/>
    <w:rsid w:val="009B3228"/>
    <w:rsid w:val="009C027A"/>
    <w:rsid w:val="00A06B2B"/>
    <w:rsid w:val="00AC1277"/>
    <w:rsid w:val="00B54748"/>
    <w:rsid w:val="00B720CF"/>
    <w:rsid w:val="00BC1478"/>
    <w:rsid w:val="00CE5049"/>
    <w:rsid w:val="00D77CC9"/>
    <w:rsid w:val="00E01D8A"/>
    <w:rsid w:val="00E50852"/>
    <w:rsid w:val="00E51599"/>
  </w:rsids>
  <m:mathPr>
    <m:mathFont m:val="Comic Sans MS"/>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748"/>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99"/>
    <w:qFormat/>
    <w:rsid w:val="0026563F"/>
    <w:pPr>
      <w:ind w:left="720"/>
      <w:contextualSpacing/>
    </w:pPr>
    <w:rPr>
      <w:rFonts w:ascii="Calibri" w:hAnsi="Calibri"/>
      <w:sz w:val="22"/>
      <w:szCs w:val="22"/>
    </w:rPr>
  </w:style>
  <w:style w:type="table" w:styleId="TableGrid">
    <w:name w:val="Table Grid"/>
    <w:basedOn w:val="TableNormal"/>
    <w:uiPriority w:val="99"/>
    <w:rsid w:val="00403C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40B7"/>
    <w:rPr>
      <w:rFonts w:ascii="Lucida Grande" w:hAnsi="Lucida Grande"/>
      <w:sz w:val="18"/>
      <w:szCs w:val="18"/>
    </w:rPr>
  </w:style>
  <w:style w:type="character" w:customStyle="1" w:styleId="BalloonTextChar">
    <w:name w:val="Balloon Text Char"/>
    <w:basedOn w:val="DefaultParagraphFont"/>
    <w:link w:val="BalloonText"/>
    <w:uiPriority w:val="99"/>
    <w:semiHidden/>
    <w:rsid w:val="008C40B7"/>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7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6563F"/>
    <w:pPr>
      <w:ind w:left="720"/>
      <w:contextualSpacing/>
    </w:pPr>
    <w:rPr>
      <w:rFonts w:ascii="Calibri" w:hAnsi="Calibri"/>
      <w:sz w:val="22"/>
      <w:szCs w:val="22"/>
    </w:rPr>
  </w:style>
  <w:style w:type="table" w:styleId="TableGrid">
    <w:name w:val="Table Grid"/>
    <w:basedOn w:val="TableNormal"/>
    <w:uiPriority w:val="99"/>
    <w:rsid w:val="00403C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40B7"/>
    <w:rPr>
      <w:rFonts w:ascii="Lucida Grande" w:hAnsi="Lucida Grande"/>
      <w:sz w:val="18"/>
      <w:szCs w:val="18"/>
    </w:rPr>
  </w:style>
  <w:style w:type="character" w:customStyle="1" w:styleId="BalloonTextChar">
    <w:name w:val="Balloon Text Char"/>
    <w:basedOn w:val="DefaultParagraphFont"/>
    <w:link w:val="BalloonText"/>
    <w:uiPriority w:val="99"/>
    <w:semiHidden/>
    <w:rsid w:val="008C40B7"/>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hart" Target="charts/chart1.xm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oleObject" Target="KINGSTON:house%20finance%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style val="18"/>
  <c:clrMapOvr bg1="lt1" tx1="dk1" bg2="lt2" tx2="dk2" accent1="accent1" accent2="accent2" accent3="accent3" accent4="accent4" accent5="accent5" accent6="accent6" hlink="hlink" folHlink="folHlink"/>
  <c:chart>
    <c:title>
      <c:tx>
        <c:rich>
          <a:bodyPr/>
          <a:lstStyle/>
          <a:p>
            <a:pPr>
              <a:defRPr/>
            </a:pPr>
            <a:r>
              <a:rPr lang="en-US"/>
              <a:t>Bristol Bay Revenue Sources</a:t>
            </a:r>
          </a:p>
        </c:rich>
      </c:tx>
      <c:layout/>
    </c:title>
    <c:plotArea>
      <c:layout/>
      <c:barChart>
        <c:barDir val="col"/>
        <c:grouping val="percentStacked"/>
        <c:ser>
          <c:idx val="0"/>
          <c:order val="0"/>
          <c:tx>
            <c:strRef>
              <c:f>Sheet1!$A$2</c:f>
              <c:strCache>
                <c:ptCount val="1"/>
                <c:pt idx="0">
                  <c:v>Borough Appropriation</c:v>
                </c:pt>
              </c:strCache>
            </c:strRef>
          </c:tx>
          <c:dLbls>
            <c:showVal val="1"/>
          </c:dLbls>
          <c:cat>
            <c:numRef>
              <c:f>Sheet1!$B$1:$F$1</c:f>
              <c:numCache>
                <c:formatCode>General</c:formatCode>
                <c:ptCount val="5"/>
                <c:pt idx="0">
                  <c:v>2009.0</c:v>
                </c:pt>
                <c:pt idx="1">
                  <c:v>2010.0</c:v>
                </c:pt>
                <c:pt idx="2">
                  <c:v>2011.0</c:v>
                </c:pt>
                <c:pt idx="3">
                  <c:v>2012.0</c:v>
                </c:pt>
                <c:pt idx="4">
                  <c:v>2013.0</c:v>
                </c:pt>
              </c:numCache>
            </c:numRef>
          </c:cat>
          <c:val>
            <c:numRef>
              <c:f>Sheet1!$B$2:$F$2</c:f>
              <c:numCache>
                <c:formatCode>General</c:formatCode>
                <c:ptCount val="5"/>
                <c:pt idx="0">
                  <c:v>1.132855E6</c:v>
                </c:pt>
                <c:pt idx="1">
                  <c:v>1.316566E6</c:v>
                </c:pt>
                <c:pt idx="2">
                  <c:v>1.412815E6</c:v>
                </c:pt>
                <c:pt idx="3">
                  <c:v>1.524778E6</c:v>
                </c:pt>
                <c:pt idx="4">
                  <c:v>1.515274E6</c:v>
                </c:pt>
              </c:numCache>
            </c:numRef>
          </c:val>
        </c:ser>
        <c:ser>
          <c:idx val="1"/>
          <c:order val="1"/>
          <c:tx>
            <c:strRef>
              <c:f>Sheet1!$A$3</c:f>
              <c:strCache>
                <c:ptCount val="1"/>
                <c:pt idx="0">
                  <c:v>State of Alaska</c:v>
                </c:pt>
              </c:strCache>
            </c:strRef>
          </c:tx>
          <c:dLbls>
            <c:showVal val="1"/>
          </c:dLbls>
          <c:cat>
            <c:numRef>
              <c:f>Sheet1!$B$1:$F$1</c:f>
              <c:numCache>
                <c:formatCode>General</c:formatCode>
                <c:ptCount val="5"/>
                <c:pt idx="0">
                  <c:v>2009.0</c:v>
                </c:pt>
                <c:pt idx="1">
                  <c:v>2010.0</c:v>
                </c:pt>
                <c:pt idx="2">
                  <c:v>2011.0</c:v>
                </c:pt>
                <c:pt idx="3">
                  <c:v>2012.0</c:v>
                </c:pt>
                <c:pt idx="4">
                  <c:v>2013.0</c:v>
                </c:pt>
              </c:numCache>
            </c:numRef>
          </c:cat>
          <c:val>
            <c:numRef>
              <c:f>Sheet1!$B$3:$F$3</c:f>
              <c:numCache>
                <c:formatCode>General</c:formatCode>
                <c:ptCount val="5"/>
                <c:pt idx="0">
                  <c:v>1.918434E6</c:v>
                </c:pt>
                <c:pt idx="1">
                  <c:v>1.965286E6</c:v>
                </c:pt>
                <c:pt idx="2">
                  <c:v>2.05303E6</c:v>
                </c:pt>
                <c:pt idx="3">
                  <c:v>2.124263E6</c:v>
                </c:pt>
                <c:pt idx="4">
                  <c:v>2.124263E6</c:v>
                </c:pt>
              </c:numCache>
            </c:numRef>
          </c:val>
        </c:ser>
        <c:ser>
          <c:idx val="2"/>
          <c:order val="2"/>
          <c:tx>
            <c:strRef>
              <c:f>Sheet1!$A$4</c:f>
              <c:strCache>
                <c:ptCount val="1"/>
                <c:pt idx="0">
                  <c:v>Federal Sources</c:v>
                </c:pt>
              </c:strCache>
            </c:strRef>
          </c:tx>
          <c:dLbls>
            <c:showVal val="1"/>
          </c:dLbls>
          <c:cat>
            <c:numRef>
              <c:f>Sheet1!$B$1:$F$1</c:f>
              <c:numCache>
                <c:formatCode>General</c:formatCode>
                <c:ptCount val="5"/>
                <c:pt idx="0">
                  <c:v>2009.0</c:v>
                </c:pt>
                <c:pt idx="1">
                  <c:v>2010.0</c:v>
                </c:pt>
                <c:pt idx="2">
                  <c:v>2011.0</c:v>
                </c:pt>
                <c:pt idx="3">
                  <c:v>2012.0</c:v>
                </c:pt>
                <c:pt idx="4">
                  <c:v>2013.0</c:v>
                </c:pt>
              </c:numCache>
            </c:numRef>
          </c:cat>
          <c:val>
            <c:numRef>
              <c:f>Sheet1!$B$4:$F$4</c:f>
              <c:numCache>
                <c:formatCode>General</c:formatCode>
                <c:ptCount val="5"/>
                <c:pt idx="0">
                  <c:v>405492.0</c:v>
                </c:pt>
                <c:pt idx="1">
                  <c:v>235501.0</c:v>
                </c:pt>
                <c:pt idx="2">
                  <c:v>295203.0</c:v>
                </c:pt>
                <c:pt idx="3">
                  <c:v>208269.0</c:v>
                </c:pt>
                <c:pt idx="4" formatCode="#,##0">
                  <c:v>158933.0</c:v>
                </c:pt>
              </c:numCache>
            </c:numRef>
          </c:val>
        </c:ser>
        <c:dLbls>
          <c:showVal val="1"/>
        </c:dLbls>
        <c:gapWidth val="95"/>
        <c:overlap val="100"/>
        <c:axId val="579614072"/>
        <c:axId val="613827160"/>
      </c:barChart>
      <c:catAx>
        <c:axId val="579614072"/>
        <c:scaling>
          <c:orientation val="minMax"/>
        </c:scaling>
        <c:axPos val="b"/>
        <c:numFmt formatCode="General" sourceLinked="1"/>
        <c:majorTickMark val="none"/>
        <c:tickLblPos val="nextTo"/>
        <c:crossAx val="613827160"/>
        <c:crosses val="autoZero"/>
        <c:auto val="1"/>
        <c:lblAlgn val="ctr"/>
        <c:lblOffset val="100"/>
      </c:catAx>
      <c:valAx>
        <c:axId val="613827160"/>
        <c:scaling>
          <c:orientation val="minMax"/>
        </c:scaling>
        <c:delete val="1"/>
        <c:axPos val="l"/>
        <c:numFmt formatCode="0%" sourceLinked="1"/>
        <c:majorTickMark val="none"/>
        <c:tickLblPos val="nextTo"/>
        <c:crossAx val="579614072"/>
        <c:crosses val="autoZero"/>
        <c:crossBetween val="between"/>
      </c:valAx>
    </c:plotArea>
    <c:legend>
      <c:legendPos val="t"/>
      <c:layout/>
    </c:legend>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6</Pages>
  <Words>1884</Words>
  <Characters>10743</Characters>
  <Application>Microsoft Macintosh Word</Application>
  <DocSecurity>0</DocSecurity>
  <Lines>89</Lines>
  <Paragraphs>21</Paragraphs>
  <ScaleCrop>false</ScaleCrop>
  <Company/>
  <LinksUpToDate>false</LinksUpToDate>
  <CharactersWithSpaces>13193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John Greely</cp:lastModifiedBy>
  <cp:revision>2</cp:revision>
  <dcterms:created xsi:type="dcterms:W3CDTF">2012-03-26T21:21:00Z</dcterms:created>
  <dcterms:modified xsi:type="dcterms:W3CDTF">2012-03-26T21:21:00Z</dcterms:modified>
</cp:coreProperties>
</file>