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D2" w:rsidRPr="00616CD2" w:rsidRDefault="00616CD2" w:rsidP="00616CD2">
      <w:pPr>
        <w:shd w:val="clear" w:color="auto" w:fill="FFFFFF"/>
        <w:spacing w:after="0" w:line="270" w:lineRule="atLeast"/>
        <w:jc w:val="center"/>
        <w:rPr>
          <w:rFonts w:ascii="Verdana" w:eastAsia="Times New Roman" w:hAnsi="Verdana" w:cs="Times New Roman"/>
          <w:b/>
          <w:bCs/>
          <w:color w:val="333333"/>
          <w:sz w:val="28"/>
          <w:szCs w:val="28"/>
        </w:rPr>
      </w:pPr>
      <w:bookmarkStart w:id="0" w:name="44.19.641"/>
      <w:bookmarkStart w:id="1" w:name="_GoBack"/>
      <w:bookmarkEnd w:id="0"/>
      <w:bookmarkEnd w:id="1"/>
      <w:r w:rsidRPr="00616CD2">
        <w:rPr>
          <w:rFonts w:ascii="Verdana" w:eastAsia="Times New Roman" w:hAnsi="Verdana" w:cs="Times New Roman"/>
          <w:b/>
          <w:bCs/>
          <w:color w:val="333333"/>
          <w:sz w:val="28"/>
          <w:szCs w:val="28"/>
        </w:rPr>
        <w:t>Statutes Concerning the Alaska Criminal Justice Commission</w:t>
      </w:r>
    </w:p>
    <w:p w:rsidR="00616CD2" w:rsidRPr="00616CD2" w:rsidRDefault="00616CD2" w:rsidP="00616CD2">
      <w:pPr>
        <w:shd w:val="clear" w:color="auto" w:fill="FFFFFF"/>
        <w:spacing w:after="0" w:line="270" w:lineRule="atLeast"/>
        <w:jc w:val="center"/>
        <w:rPr>
          <w:rFonts w:ascii="Verdana" w:eastAsia="Times New Roman" w:hAnsi="Verdana" w:cs="Times New Roman"/>
          <w:b/>
          <w:bCs/>
          <w:color w:val="333333"/>
          <w:sz w:val="24"/>
          <w:szCs w:val="24"/>
        </w:rPr>
      </w:pPr>
    </w:p>
    <w:p w:rsidR="00EE588C" w:rsidRDefault="00EE588C" w:rsidP="00EE588C">
      <w:pPr>
        <w:jc w:val="both"/>
        <w:rPr>
          <w:rFonts w:ascii="Verdana" w:eastAsia="Times New Roman" w:hAnsi="Verdana" w:cs="Times New Roman"/>
          <w:color w:val="333333"/>
          <w:sz w:val="24"/>
          <w:szCs w:val="24"/>
        </w:rPr>
      </w:pPr>
      <w:r w:rsidRPr="004A1E50">
        <w:rPr>
          <w:rFonts w:ascii="Verdana" w:eastAsia="Times New Roman" w:hAnsi="Verdana" w:cs="Times New Roman"/>
          <w:b/>
          <w:bCs/>
          <w:color w:val="333333"/>
          <w:sz w:val="24"/>
          <w:szCs w:val="24"/>
        </w:rPr>
        <w:t xml:space="preserve">Sec. 22.20.210. Alaska Criminal Justice Commission. </w:t>
      </w:r>
      <w:r>
        <w:rPr>
          <w:rFonts w:ascii="Verdana" w:eastAsia="Times New Roman" w:hAnsi="Verdana" w:cs="Times New Roman"/>
          <w:color w:val="333333"/>
          <w:sz w:val="24"/>
          <w:szCs w:val="24"/>
        </w:rPr>
        <w:t xml:space="preserve">The judicial council </w:t>
      </w:r>
      <w:r w:rsidRPr="004A1E50">
        <w:rPr>
          <w:rFonts w:ascii="Verdana" w:eastAsia="Times New Roman" w:hAnsi="Verdana" w:cs="Times New Roman"/>
          <w:color w:val="333333"/>
          <w:sz w:val="24"/>
          <w:szCs w:val="24"/>
        </w:rPr>
        <w:t>shall provide staff and administrative support t</w:t>
      </w:r>
      <w:r>
        <w:rPr>
          <w:rFonts w:ascii="Verdana" w:eastAsia="Times New Roman" w:hAnsi="Verdana" w:cs="Times New Roman"/>
          <w:color w:val="333333"/>
          <w:sz w:val="24"/>
          <w:szCs w:val="24"/>
        </w:rPr>
        <w:t xml:space="preserve">o the Alaska Criminal Justice </w:t>
      </w:r>
      <w:r w:rsidRPr="004A1E50">
        <w:rPr>
          <w:rFonts w:ascii="Verdana" w:eastAsia="Times New Roman" w:hAnsi="Verdana" w:cs="Times New Roman"/>
          <w:color w:val="333333"/>
          <w:sz w:val="24"/>
          <w:szCs w:val="24"/>
        </w:rPr>
        <w:t>Commission established in AS 44.19.641.</w:t>
      </w: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b/>
          <w:bCs/>
          <w:color w:val="333333"/>
          <w:sz w:val="24"/>
          <w:szCs w:val="24"/>
        </w:rPr>
        <w:t xml:space="preserve">Sec. 44.19.641. Creation of commission. </w:t>
      </w:r>
      <w:r w:rsidRPr="00616CD2">
        <w:rPr>
          <w:rFonts w:ascii="Verdana" w:eastAsia="Times New Roman" w:hAnsi="Verdana" w:cs="Times New Roman"/>
          <w:color w:val="333333"/>
          <w:sz w:val="24"/>
          <w:szCs w:val="24"/>
        </w:rPr>
        <w:t>The Alaska Criminal Justice Commission is established in the Office of the Governor.</w:t>
      </w:r>
    </w:p>
    <w:p w:rsidR="00616CD2" w:rsidRPr="00616CD2" w:rsidRDefault="00616CD2" w:rsidP="00616CD2">
      <w:pPr>
        <w:shd w:val="clear" w:color="auto" w:fill="FFFFFF"/>
        <w:spacing w:after="0" w:line="270" w:lineRule="atLeast"/>
        <w:rPr>
          <w:rFonts w:ascii="Verdana" w:eastAsia="Times New Roman" w:hAnsi="Verdana" w:cs="Times New Roman"/>
          <w:color w:val="333333"/>
          <w:sz w:val="24"/>
          <w:szCs w:val="24"/>
        </w:rPr>
      </w:pP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bookmarkStart w:id="2" w:name="44.19.642"/>
      <w:bookmarkEnd w:id="2"/>
      <w:r w:rsidRPr="00616CD2">
        <w:rPr>
          <w:rFonts w:ascii="Verdana" w:eastAsia="Times New Roman" w:hAnsi="Verdana" w:cs="Times New Roman"/>
          <w:b/>
          <w:bCs/>
          <w:color w:val="333333"/>
          <w:sz w:val="24"/>
          <w:szCs w:val="24"/>
        </w:rPr>
        <w:t xml:space="preserve">Sec. 44.19.642. Membership; staff. </w:t>
      </w:r>
      <w:r w:rsidRPr="00616CD2">
        <w:rPr>
          <w:rFonts w:ascii="Verdana" w:eastAsia="Times New Roman" w:hAnsi="Verdana" w:cs="Times New Roman"/>
          <w:color w:val="333333"/>
          <w:sz w:val="24"/>
          <w:szCs w:val="24"/>
        </w:rPr>
        <w:t>   (a) The commission consists of 13 members as follows:</w:t>
      </w:r>
      <w:r w:rsidRPr="00616CD2">
        <w:rPr>
          <w:rFonts w:ascii="Verdana" w:eastAsia="Times New Roman" w:hAnsi="Verdana" w:cs="Times New Roman"/>
          <w:color w:val="333333"/>
          <w:sz w:val="24"/>
          <w:szCs w:val="24"/>
        </w:rPr>
        <w:br/>
        <w:t>        (1) the chief justice of the Alaska Supreme Court or another active or retired justice of the supreme court or an active or retired judge of the court of appeals designated by the chief justice;</w:t>
      </w:r>
      <w:r w:rsidRPr="00616CD2">
        <w:rPr>
          <w:rFonts w:ascii="Verdana" w:eastAsia="Times New Roman" w:hAnsi="Verdana" w:cs="Times New Roman"/>
          <w:color w:val="333333"/>
          <w:sz w:val="24"/>
          <w:szCs w:val="24"/>
        </w:rPr>
        <w:br/>
        <w:t>        (2) an active or retired superior court judge designated by the chief justice for a three-year term;</w:t>
      </w:r>
      <w:r w:rsidRPr="00616CD2">
        <w:rPr>
          <w:rFonts w:ascii="Verdana" w:eastAsia="Times New Roman" w:hAnsi="Verdana" w:cs="Times New Roman"/>
          <w:color w:val="333333"/>
          <w:sz w:val="24"/>
          <w:szCs w:val="24"/>
        </w:rPr>
        <w:br/>
        <w:t>        (3) an active or retired district court judge designated by the chief justice for a three-year term;</w:t>
      </w:r>
      <w:r w:rsidRPr="00616CD2">
        <w:rPr>
          <w:rFonts w:ascii="Verdana" w:eastAsia="Times New Roman" w:hAnsi="Verdana" w:cs="Times New Roman"/>
          <w:color w:val="333333"/>
          <w:sz w:val="24"/>
          <w:szCs w:val="24"/>
        </w:rPr>
        <w:br/>
        <w:t>        (4) a member of the Alaska Native community designated by the Alaska Native Justice Center for a three-year term;</w:t>
      </w:r>
      <w:r w:rsidRPr="00616CD2">
        <w:rPr>
          <w:rFonts w:ascii="Verdana" w:eastAsia="Times New Roman" w:hAnsi="Verdana" w:cs="Times New Roman"/>
          <w:color w:val="333333"/>
          <w:sz w:val="24"/>
          <w:szCs w:val="24"/>
        </w:rPr>
        <w:br/>
        <w:t>        (5) the attorney general or a designee of the attorney general;</w:t>
      </w:r>
      <w:r w:rsidRPr="00616CD2">
        <w:rPr>
          <w:rFonts w:ascii="Verdana" w:eastAsia="Times New Roman" w:hAnsi="Verdana" w:cs="Times New Roman"/>
          <w:color w:val="333333"/>
          <w:sz w:val="24"/>
          <w:szCs w:val="24"/>
        </w:rPr>
        <w:br/>
        <w:t>        (6) the public defender or a designee of the public defender;</w:t>
      </w:r>
      <w:r w:rsidRPr="00616CD2">
        <w:rPr>
          <w:rFonts w:ascii="Verdana" w:eastAsia="Times New Roman" w:hAnsi="Verdana" w:cs="Times New Roman"/>
          <w:color w:val="333333"/>
          <w:sz w:val="24"/>
          <w:szCs w:val="24"/>
        </w:rPr>
        <w:br/>
        <w:t>        (7) the commissioner of corrections or the commissioner's designee;</w:t>
      </w:r>
      <w:r w:rsidRPr="00616CD2">
        <w:rPr>
          <w:rFonts w:ascii="Verdana" w:eastAsia="Times New Roman" w:hAnsi="Verdana" w:cs="Times New Roman"/>
          <w:color w:val="333333"/>
          <w:sz w:val="24"/>
          <w:szCs w:val="24"/>
        </w:rPr>
        <w:br/>
        <w:t>        (8) the commissioner of public safety or the commissioner's designee;</w:t>
      </w:r>
      <w:r w:rsidRPr="00616CD2">
        <w:rPr>
          <w:rFonts w:ascii="Verdana" w:eastAsia="Times New Roman" w:hAnsi="Verdana" w:cs="Times New Roman"/>
          <w:color w:val="333333"/>
          <w:sz w:val="24"/>
          <w:szCs w:val="24"/>
        </w:rPr>
        <w:br/>
        <w:t>        (9) the chief executive officer of the Alaska Mental Health Trust Authority or the chief executive officer's designee for a three-year term;</w:t>
      </w:r>
      <w:r w:rsidRPr="00616CD2">
        <w:rPr>
          <w:rFonts w:ascii="Verdana" w:eastAsia="Times New Roman" w:hAnsi="Verdana" w:cs="Times New Roman"/>
          <w:color w:val="333333"/>
          <w:sz w:val="24"/>
          <w:szCs w:val="24"/>
        </w:rPr>
        <w:br/>
        <w:t>        (10) an active duty member of a municipal law enforcement agency appointed by the governor for a three-year term;</w:t>
      </w:r>
      <w:r w:rsidRPr="00616CD2">
        <w:rPr>
          <w:rFonts w:ascii="Verdana" w:eastAsia="Times New Roman" w:hAnsi="Verdana" w:cs="Times New Roman"/>
          <w:color w:val="333333"/>
          <w:sz w:val="24"/>
          <w:szCs w:val="24"/>
        </w:rPr>
        <w:br/>
        <w:t>        (11) one victims' rights advocate appointed by the governor for a three-year term;</w:t>
      </w:r>
      <w:r w:rsidRPr="00616CD2">
        <w:rPr>
          <w:rFonts w:ascii="Verdana" w:eastAsia="Times New Roman" w:hAnsi="Verdana" w:cs="Times New Roman"/>
          <w:color w:val="333333"/>
          <w:sz w:val="24"/>
          <w:szCs w:val="24"/>
        </w:rPr>
        <w:br/>
        <w:t>        (12) one nonvoting member, serving ex officio, who is a member of the senate appointed by the president of the senate; and</w:t>
      </w:r>
      <w:r w:rsidRPr="00616CD2">
        <w:rPr>
          <w:rFonts w:ascii="Verdana" w:eastAsia="Times New Roman" w:hAnsi="Verdana" w:cs="Times New Roman"/>
          <w:color w:val="333333"/>
          <w:sz w:val="24"/>
          <w:szCs w:val="24"/>
        </w:rPr>
        <w:br/>
        <w:t>        (13) one nonvoting member, serving ex officio, who is a member of the house of representatives appointed by the speaker of the house of representatives.</w:t>
      </w:r>
      <w:r w:rsidRPr="00616CD2">
        <w:rPr>
          <w:rFonts w:ascii="Verdana" w:eastAsia="Times New Roman" w:hAnsi="Verdana" w:cs="Times New Roman"/>
          <w:color w:val="333333"/>
          <w:sz w:val="24"/>
          <w:szCs w:val="24"/>
        </w:rPr>
        <w:br/>
        <w:t>   (b) A member appointed under (a</w:t>
      </w:r>
      <w:proofErr w:type="gramStart"/>
      <w:r w:rsidRPr="00616CD2">
        <w:rPr>
          <w:rFonts w:ascii="Verdana" w:eastAsia="Times New Roman" w:hAnsi="Verdana" w:cs="Times New Roman"/>
          <w:color w:val="333333"/>
          <w:sz w:val="24"/>
          <w:szCs w:val="24"/>
        </w:rPr>
        <w:t>)(</w:t>
      </w:r>
      <w:proofErr w:type="gramEnd"/>
      <w:r w:rsidRPr="00616CD2">
        <w:rPr>
          <w:rFonts w:ascii="Verdana" w:eastAsia="Times New Roman" w:hAnsi="Verdana" w:cs="Times New Roman"/>
          <w:color w:val="333333"/>
          <w:sz w:val="24"/>
          <w:szCs w:val="24"/>
        </w:rPr>
        <w:t>10) or (11) of this section serves at the pleasure of the governor and may be reappointed.</w:t>
      </w:r>
      <w:r w:rsidRPr="00616CD2">
        <w:rPr>
          <w:rFonts w:ascii="Verdana" w:eastAsia="Times New Roman" w:hAnsi="Verdana" w:cs="Times New Roman"/>
          <w:color w:val="333333"/>
          <w:sz w:val="24"/>
          <w:szCs w:val="24"/>
        </w:rPr>
        <w:br/>
        <w:t>   (c) The commission shall, by majority vote of the membership, elect a chair and other officers it considers necessary from among its membership to serve on a yearly basis.</w:t>
      </w:r>
      <w:r w:rsidRPr="00616CD2">
        <w:rPr>
          <w:rFonts w:ascii="Verdana" w:eastAsia="Times New Roman" w:hAnsi="Verdana" w:cs="Times New Roman"/>
          <w:color w:val="333333"/>
          <w:sz w:val="24"/>
          <w:szCs w:val="24"/>
        </w:rPr>
        <w:br/>
        <w:t>   (d) The Alaska Judicial Council shall provide staff and administrative support to the commission.</w:t>
      </w:r>
    </w:p>
    <w:p w:rsidR="00616CD2" w:rsidRPr="00616CD2" w:rsidRDefault="00616CD2" w:rsidP="00616CD2">
      <w:pPr>
        <w:shd w:val="clear" w:color="auto" w:fill="FFFFFF"/>
        <w:spacing w:after="0" w:line="270" w:lineRule="atLeast"/>
        <w:rPr>
          <w:rFonts w:ascii="Verdana" w:eastAsia="Times New Roman" w:hAnsi="Verdana" w:cs="Times New Roman"/>
          <w:color w:val="333333"/>
          <w:sz w:val="24"/>
          <w:szCs w:val="24"/>
        </w:rPr>
      </w:pP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bookmarkStart w:id="3" w:name="44.19.643"/>
      <w:bookmarkEnd w:id="3"/>
      <w:r w:rsidRPr="00616CD2">
        <w:rPr>
          <w:rFonts w:ascii="Verdana" w:eastAsia="Times New Roman" w:hAnsi="Verdana" w:cs="Times New Roman"/>
          <w:b/>
          <w:bCs/>
          <w:color w:val="333333"/>
          <w:sz w:val="24"/>
          <w:szCs w:val="24"/>
        </w:rPr>
        <w:lastRenderedPageBreak/>
        <w:t xml:space="preserve">Sec. 44.19.643. Compensation. </w:t>
      </w:r>
      <w:r w:rsidRPr="00616CD2">
        <w:rPr>
          <w:rFonts w:ascii="Verdana" w:eastAsia="Times New Roman" w:hAnsi="Verdana" w:cs="Times New Roman"/>
          <w:color w:val="333333"/>
          <w:sz w:val="24"/>
          <w:szCs w:val="24"/>
        </w:rPr>
        <w:t xml:space="preserve">Members of the commission serve without compensation but are entitled to per diem and travel expenses authorized for boards and commissions under </w:t>
      </w:r>
      <w:hyperlink r:id="rId4" w:anchor="39.20.180" w:history="1">
        <w:r w:rsidRPr="00616CD2">
          <w:rPr>
            <w:rFonts w:ascii="Verdana" w:eastAsia="Times New Roman" w:hAnsi="Verdana" w:cs="Times New Roman"/>
            <w:color w:val="631E25"/>
            <w:sz w:val="24"/>
            <w:szCs w:val="24"/>
            <w:u w:val="single"/>
          </w:rPr>
          <w:t>AS 39.20.180</w:t>
        </w:r>
      </w:hyperlink>
      <w:r w:rsidRPr="00616CD2">
        <w:rPr>
          <w:rFonts w:ascii="Verdana" w:eastAsia="Times New Roman" w:hAnsi="Verdana" w:cs="Times New Roman"/>
          <w:color w:val="333333"/>
          <w:sz w:val="24"/>
          <w:szCs w:val="24"/>
        </w:rPr>
        <w:t>.</w:t>
      </w:r>
    </w:p>
    <w:p w:rsidR="00616CD2" w:rsidRPr="00616CD2" w:rsidRDefault="00616CD2" w:rsidP="00616CD2">
      <w:pPr>
        <w:shd w:val="clear" w:color="auto" w:fill="FFFFFF"/>
        <w:spacing w:after="0" w:line="270" w:lineRule="atLeast"/>
        <w:rPr>
          <w:rFonts w:ascii="Verdana" w:eastAsia="Times New Roman" w:hAnsi="Verdana" w:cs="Times New Roman"/>
          <w:color w:val="333333"/>
          <w:sz w:val="24"/>
          <w:szCs w:val="24"/>
        </w:rPr>
      </w:pP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bookmarkStart w:id="4" w:name="44.19.644"/>
      <w:bookmarkEnd w:id="4"/>
      <w:r w:rsidRPr="00616CD2">
        <w:rPr>
          <w:rFonts w:ascii="Verdana" w:eastAsia="Times New Roman" w:hAnsi="Verdana" w:cs="Times New Roman"/>
          <w:b/>
          <w:bCs/>
          <w:color w:val="333333"/>
          <w:sz w:val="24"/>
          <w:szCs w:val="24"/>
        </w:rPr>
        <w:t xml:space="preserve">Sec. 44.19.644. Meetings. </w:t>
      </w:r>
      <w:r w:rsidRPr="00616CD2">
        <w:rPr>
          <w:rFonts w:ascii="Verdana" w:eastAsia="Times New Roman" w:hAnsi="Verdana" w:cs="Times New Roman"/>
          <w:color w:val="333333"/>
          <w:sz w:val="24"/>
          <w:szCs w:val="24"/>
        </w:rPr>
        <w:t>A majority of the members constitutes a quorum for conducting business and exercising the powers of the commission. The commission shall meet at least quarterly, at the call of the chair, at the request of the majority of the members, or at a regularly scheduled time as determined by a majority of the members. The commission shall keep a record of its proceedings and make these records available for public inspection.</w:t>
      </w:r>
    </w:p>
    <w:p w:rsidR="00616CD2" w:rsidRPr="00616CD2" w:rsidRDefault="00616CD2" w:rsidP="00616CD2">
      <w:pPr>
        <w:shd w:val="clear" w:color="auto" w:fill="FFFFFF"/>
        <w:spacing w:after="0" w:line="270" w:lineRule="atLeast"/>
        <w:rPr>
          <w:rFonts w:ascii="Verdana" w:eastAsia="Times New Roman" w:hAnsi="Verdana" w:cs="Times New Roman"/>
          <w:color w:val="333333"/>
          <w:sz w:val="24"/>
          <w:szCs w:val="24"/>
        </w:rPr>
      </w:pP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bookmarkStart w:id="5" w:name="44.19.645"/>
      <w:bookmarkEnd w:id="5"/>
      <w:r w:rsidRPr="00616CD2">
        <w:rPr>
          <w:rFonts w:ascii="Verdana" w:eastAsia="Times New Roman" w:hAnsi="Verdana" w:cs="Times New Roman"/>
          <w:b/>
          <w:bCs/>
          <w:color w:val="333333"/>
          <w:sz w:val="24"/>
          <w:szCs w:val="24"/>
        </w:rPr>
        <w:t xml:space="preserve">Sec. 44.19.645. Powers and duties of the commission. </w:t>
      </w:r>
      <w:r w:rsidRPr="00616CD2">
        <w:rPr>
          <w:rFonts w:ascii="Verdana" w:eastAsia="Times New Roman" w:hAnsi="Verdana" w:cs="Times New Roman"/>
          <w:color w:val="333333"/>
          <w:sz w:val="24"/>
          <w:szCs w:val="24"/>
        </w:rPr>
        <w:t>   (a) The commission shall evaluate the effect of sentencing laws and criminal justice practices on the criminal justice system to evaluate whether those sentencing laws and criminal justice practices provide for protection of the public, community condemnation of the offender, the rights of victims of crimes, the rights of the accused and the person convicted, restitution from the offender, and the principle of reformation. The commission shall make recommendations for improving criminal sentencing practices and criminal justice practices, including rehabilitation and restitution. In formulating its recommendations, the commission shall consider</w:t>
      </w: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br/>
        <w:t xml:space="preserve">        (1) </w:t>
      </w:r>
      <w:proofErr w:type="gramStart"/>
      <w:r w:rsidRPr="00616CD2">
        <w:rPr>
          <w:rFonts w:ascii="Verdana" w:eastAsia="Times New Roman" w:hAnsi="Verdana" w:cs="Times New Roman"/>
          <w:color w:val="333333"/>
          <w:sz w:val="24"/>
          <w:szCs w:val="24"/>
        </w:rPr>
        <w:t>statutes</w:t>
      </w:r>
      <w:proofErr w:type="gramEnd"/>
      <w:r w:rsidRPr="00616CD2">
        <w:rPr>
          <w:rFonts w:ascii="Verdana" w:eastAsia="Times New Roman" w:hAnsi="Verdana" w:cs="Times New Roman"/>
          <w:color w:val="333333"/>
          <w:sz w:val="24"/>
          <w:szCs w:val="24"/>
        </w:rPr>
        <w:t>, court rules, and court decisions relevant to sentencing of criminal defendants in misdemeanor and felony cases;</w:t>
      </w: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br/>
        <w:t xml:space="preserve">        (2) </w:t>
      </w:r>
      <w:proofErr w:type="gramStart"/>
      <w:r w:rsidRPr="00616CD2">
        <w:rPr>
          <w:rFonts w:ascii="Verdana" w:eastAsia="Times New Roman" w:hAnsi="Verdana" w:cs="Times New Roman"/>
          <w:color w:val="333333"/>
          <w:sz w:val="24"/>
          <w:szCs w:val="24"/>
        </w:rPr>
        <w:t>sentencing</w:t>
      </w:r>
      <w:proofErr w:type="gramEnd"/>
      <w:r w:rsidRPr="00616CD2">
        <w:rPr>
          <w:rFonts w:ascii="Verdana" w:eastAsia="Times New Roman" w:hAnsi="Verdana" w:cs="Times New Roman"/>
          <w:color w:val="333333"/>
          <w:sz w:val="24"/>
          <w:szCs w:val="24"/>
        </w:rPr>
        <w:t xml:space="preserve"> practices of the judiciary, including use of presumptive sentences;</w:t>
      </w: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br/>
        <w:t xml:space="preserve">        (3) </w:t>
      </w:r>
      <w:proofErr w:type="gramStart"/>
      <w:r w:rsidRPr="00616CD2">
        <w:rPr>
          <w:rFonts w:ascii="Verdana" w:eastAsia="Times New Roman" w:hAnsi="Verdana" w:cs="Times New Roman"/>
          <w:color w:val="333333"/>
          <w:sz w:val="24"/>
          <w:szCs w:val="24"/>
        </w:rPr>
        <w:t>means</w:t>
      </w:r>
      <w:proofErr w:type="gramEnd"/>
      <w:r w:rsidRPr="00616CD2">
        <w:rPr>
          <w:rFonts w:ascii="Verdana" w:eastAsia="Times New Roman" w:hAnsi="Verdana" w:cs="Times New Roman"/>
          <w:color w:val="333333"/>
          <w:sz w:val="24"/>
          <w:szCs w:val="24"/>
        </w:rPr>
        <w:t xml:space="preserve"> of promoting uniformity, proportionality, and accountability in sentencing;</w:t>
      </w: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br/>
        <w:t xml:space="preserve">        (4) </w:t>
      </w:r>
      <w:proofErr w:type="gramStart"/>
      <w:r w:rsidRPr="00616CD2">
        <w:rPr>
          <w:rFonts w:ascii="Verdana" w:eastAsia="Times New Roman" w:hAnsi="Verdana" w:cs="Times New Roman"/>
          <w:color w:val="333333"/>
          <w:sz w:val="24"/>
          <w:szCs w:val="24"/>
        </w:rPr>
        <w:t>alternatives</w:t>
      </w:r>
      <w:proofErr w:type="gramEnd"/>
      <w:r w:rsidRPr="00616CD2">
        <w:rPr>
          <w:rFonts w:ascii="Verdana" w:eastAsia="Times New Roman" w:hAnsi="Verdana" w:cs="Times New Roman"/>
          <w:color w:val="333333"/>
          <w:sz w:val="24"/>
          <w:szCs w:val="24"/>
        </w:rPr>
        <w:t xml:space="preserve"> to traditional forms of incarceration;</w:t>
      </w: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br/>
        <w:t xml:space="preserve">        (5) </w:t>
      </w:r>
      <w:proofErr w:type="gramStart"/>
      <w:r w:rsidRPr="00616CD2">
        <w:rPr>
          <w:rFonts w:ascii="Verdana" w:eastAsia="Times New Roman" w:hAnsi="Verdana" w:cs="Times New Roman"/>
          <w:color w:val="333333"/>
          <w:sz w:val="24"/>
          <w:szCs w:val="24"/>
        </w:rPr>
        <w:t>the</w:t>
      </w:r>
      <w:proofErr w:type="gramEnd"/>
      <w:r w:rsidRPr="00616CD2">
        <w:rPr>
          <w:rFonts w:ascii="Verdana" w:eastAsia="Times New Roman" w:hAnsi="Verdana" w:cs="Times New Roman"/>
          <w:color w:val="333333"/>
          <w:sz w:val="24"/>
          <w:szCs w:val="24"/>
        </w:rPr>
        <w:t xml:space="preserve"> efficacy of parole and probation in ensuring public safety, achieving rehabilitation, and reducing recidivism;</w:t>
      </w: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br/>
        <w:t xml:space="preserve">        (6) </w:t>
      </w:r>
      <w:proofErr w:type="gramStart"/>
      <w:r w:rsidRPr="00616CD2">
        <w:rPr>
          <w:rFonts w:ascii="Verdana" w:eastAsia="Times New Roman" w:hAnsi="Verdana" w:cs="Times New Roman"/>
          <w:color w:val="333333"/>
          <w:sz w:val="24"/>
          <w:szCs w:val="24"/>
        </w:rPr>
        <w:t>the</w:t>
      </w:r>
      <w:proofErr w:type="gramEnd"/>
      <w:r w:rsidRPr="00616CD2">
        <w:rPr>
          <w:rFonts w:ascii="Verdana" w:eastAsia="Times New Roman" w:hAnsi="Verdana" w:cs="Times New Roman"/>
          <w:color w:val="333333"/>
          <w:sz w:val="24"/>
          <w:szCs w:val="24"/>
        </w:rPr>
        <w:t xml:space="preserve"> adequacy, availability, and effectiveness of treatment and rehabilitation programs;</w:t>
      </w: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br/>
        <w:t>        (7) crime and incarceration rates, including the rate of violent crime and the abuse of controlled substances, in this state compared to other states, and best practices adopted by other states that have proven to be successful in reducing recidivism;</w:t>
      </w: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lastRenderedPageBreak/>
        <w:br/>
        <w:t xml:space="preserve">        (8) </w:t>
      </w:r>
      <w:proofErr w:type="gramStart"/>
      <w:r w:rsidRPr="00616CD2">
        <w:rPr>
          <w:rFonts w:ascii="Verdana" w:eastAsia="Times New Roman" w:hAnsi="Verdana" w:cs="Times New Roman"/>
          <w:color w:val="333333"/>
          <w:sz w:val="24"/>
          <w:szCs w:val="24"/>
        </w:rPr>
        <w:t>the</w:t>
      </w:r>
      <w:proofErr w:type="gramEnd"/>
      <w:r w:rsidRPr="00616CD2">
        <w:rPr>
          <w:rFonts w:ascii="Verdana" w:eastAsia="Times New Roman" w:hAnsi="Verdana" w:cs="Times New Roman"/>
          <w:color w:val="333333"/>
          <w:sz w:val="24"/>
          <w:szCs w:val="24"/>
        </w:rPr>
        <w:t xml:space="preserve"> relationship between sentencing priorities and correctional resources;</w:t>
      </w: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br/>
        <w:t xml:space="preserve">        (9) </w:t>
      </w:r>
      <w:proofErr w:type="gramStart"/>
      <w:r w:rsidRPr="00616CD2">
        <w:rPr>
          <w:rFonts w:ascii="Verdana" w:eastAsia="Times New Roman" w:hAnsi="Verdana" w:cs="Times New Roman"/>
          <w:color w:val="333333"/>
          <w:sz w:val="24"/>
          <w:szCs w:val="24"/>
        </w:rPr>
        <w:t>the</w:t>
      </w:r>
      <w:proofErr w:type="gramEnd"/>
      <w:r w:rsidRPr="00616CD2">
        <w:rPr>
          <w:rFonts w:ascii="Verdana" w:eastAsia="Times New Roman" w:hAnsi="Verdana" w:cs="Times New Roman"/>
          <w:color w:val="333333"/>
          <w:sz w:val="24"/>
          <w:szCs w:val="24"/>
        </w:rPr>
        <w:t xml:space="preserve"> effectiveness of the state's current methodologies for the collection and dissemination of criminal justice data; and</w:t>
      </w: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br/>
        <w:t xml:space="preserve">        (10) </w:t>
      </w:r>
      <w:proofErr w:type="gramStart"/>
      <w:r w:rsidRPr="00616CD2">
        <w:rPr>
          <w:rFonts w:ascii="Verdana" w:eastAsia="Times New Roman" w:hAnsi="Verdana" w:cs="Times New Roman"/>
          <w:color w:val="333333"/>
          <w:sz w:val="24"/>
          <w:szCs w:val="24"/>
        </w:rPr>
        <w:t>whether</w:t>
      </w:r>
      <w:proofErr w:type="gramEnd"/>
      <w:r w:rsidRPr="00616CD2">
        <w:rPr>
          <w:rFonts w:ascii="Verdana" w:eastAsia="Times New Roman" w:hAnsi="Verdana" w:cs="Times New Roman"/>
          <w:color w:val="333333"/>
          <w:sz w:val="24"/>
          <w:szCs w:val="24"/>
        </w:rPr>
        <w:t xml:space="preserve"> the schedules for controlled substances in </w:t>
      </w:r>
      <w:hyperlink r:id="rId5" w:anchor="11.71.140" w:history="1">
        <w:r w:rsidRPr="00616CD2">
          <w:rPr>
            <w:rFonts w:ascii="Verdana" w:eastAsia="Times New Roman" w:hAnsi="Verdana" w:cs="Times New Roman"/>
            <w:color w:val="631E25"/>
            <w:sz w:val="24"/>
            <w:szCs w:val="24"/>
            <w:u w:val="single"/>
          </w:rPr>
          <w:t>AS 11.71.140</w:t>
        </w:r>
      </w:hyperlink>
      <w:r w:rsidRPr="00616CD2">
        <w:rPr>
          <w:rFonts w:ascii="Verdana" w:eastAsia="Times New Roman" w:hAnsi="Verdana" w:cs="Times New Roman"/>
          <w:color w:val="333333"/>
          <w:sz w:val="24"/>
          <w:szCs w:val="24"/>
        </w:rPr>
        <w:t xml:space="preserve"> - 11.71.190 are reasonable and appropriate, considering the criteria established in </w:t>
      </w:r>
      <w:hyperlink r:id="rId6" w:anchor="11.71.120" w:history="1">
        <w:r w:rsidRPr="00616CD2">
          <w:rPr>
            <w:rFonts w:ascii="Verdana" w:eastAsia="Times New Roman" w:hAnsi="Verdana" w:cs="Times New Roman"/>
            <w:color w:val="631E25"/>
            <w:sz w:val="24"/>
            <w:szCs w:val="24"/>
            <w:u w:val="single"/>
          </w:rPr>
          <w:t>AS 11.71.120</w:t>
        </w:r>
      </w:hyperlink>
      <w:r w:rsidRPr="00616CD2">
        <w:rPr>
          <w:rFonts w:ascii="Verdana" w:eastAsia="Times New Roman" w:hAnsi="Verdana" w:cs="Times New Roman"/>
          <w:color w:val="333333"/>
          <w:sz w:val="24"/>
          <w:szCs w:val="24"/>
        </w:rPr>
        <w:t>(c).</w:t>
      </w: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br/>
        <w:t>   (b) The commission may</w:t>
      </w:r>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br/>
        <w:t xml:space="preserve">        (1) </w:t>
      </w:r>
      <w:proofErr w:type="gramStart"/>
      <w:r w:rsidRPr="00616CD2">
        <w:rPr>
          <w:rFonts w:ascii="Verdana" w:eastAsia="Times New Roman" w:hAnsi="Verdana" w:cs="Times New Roman"/>
          <w:color w:val="333333"/>
          <w:sz w:val="24"/>
          <w:szCs w:val="24"/>
        </w:rPr>
        <w:t>recommend</w:t>
      </w:r>
      <w:proofErr w:type="gramEnd"/>
      <w:r w:rsidRPr="00616CD2">
        <w:rPr>
          <w:rFonts w:ascii="Verdana" w:eastAsia="Times New Roman" w:hAnsi="Verdana" w:cs="Times New Roman"/>
          <w:color w:val="333333"/>
          <w:sz w:val="24"/>
          <w:szCs w:val="24"/>
        </w:rPr>
        <w:t xml:space="preserve"> legislative and administrative action on criminal justice practices; and</w:t>
      </w:r>
    </w:p>
    <w:p w:rsidR="00616CD2" w:rsidRP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br/>
        <w:t xml:space="preserve">        (2) </w:t>
      </w:r>
      <w:proofErr w:type="gramStart"/>
      <w:r w:rsidRPr="00616CD2">
        <w:rPr>
          <w:rFonts w:ascii="Verdana" w:eastAsia="Times New Roman" w:hAnsi="Verdana" w:cs="Times New Roman"/>
          <w:color w:val="333333"/>
          <w:sz w:val="24"/>
          <w:szCs w:val="24"/>
        </w:rPr>
        <w:t>select</w:t>
      </w:r>
      <w:proofErr w:type="gramEnd"/>
      <w:r w:rsidRPr="00616CD2">
        <w:rPr>
          <w:rFonts w:ascii="Verdana" w:eastAsia="Times New Roman" w:hAnsi="Verdana" w:cs="Times New Roman"/>
          <w:color w:val="333333"/>
          <w:sz w:val="24"/>
          <w:szCs w:val="24"/>
        </w:rPr>
        <w:t xml:space="preserve"> and retain the services of consultants as necessary.</w:t>
      </w:r>
    </w:p>
    <w:p w:rsidR="00616CD2" w:rsidRDefault="00616CD2" w:rsidP="00616CD2">
      <w:pPr>
        <w:shd w:val="clear" w:color="auto" w:fill="FFFFFF"/>
        <w:spacing w:after="0" w:line="270" w:lineRule="atLeast"/>
        <w:rPr>
          <w:rFonts w:ascii="Verdana" w:eastAsia="Times New Roman" w:hAnsi="Verdana" w:cs="Times New Roman"/>
          <w:b/>
          <w:bCs/>
          <w:color w:val="333333"/>
          <w:sz w:val="24"/>
          <w:szCs w:val="24"/>
        </w:rPr>
      </w:pPr>
      <w:bookmarkStart w:id="6" w:name="44.19.646"/>
      <w:bookmarkEnd w:id="6"/>
    </w:p>
    <w:p w:rsid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b/>
          <w:bCs/>
          <w:color w:val="333333"/>
          <w:sz w:val="24"/>
          <w:szCs w:val="24"/>
        </w:rPr>
        <w:t xml:space="preserve">Sec. 44.19.646. Methodology. </w:t>
      </w:r>
      <w:r w:rsidRPr="00616CD2">
        <w:rPr>
          <w:rFonts w:ascii="Verdana" w:eastAsia="Times New Roman" w:hAnsi="Verdana" w:cs="Times New Roman"/>
          <w:color w:val="333333"/>
          <w:sz w:val="24"/>
          <w:szCs w:val="24"/>
        </w:rPr>
        <w:t>In making recommendations, the commission shall</w:t>
      </w:r>
    </w:p>
    <w:p w:rsidR="00616CD2" w:rsidRPr="00616CD2" w:rsidRDefault="00616CD2" w:rsidP="00616CD2">
      <w:pPr>
        <w:shd w:val="clear" w:color="auto" w:fill="FFFFFF"/>
        <w:spacing w:after="0" w:line="270" w:lineRule="atLeast"/>
        <w:rPr>
          <w:rFonts w:ascii="Verdana" w:eastAsia="Times New Roman" w:hAnsi="Verdana" w:cs="Times New Roman"/>
          <w:color w:val="333333"/>
          <w:sz w:val="24"/>
          <w:szCs w:val="24"/>
        </w:rPr>
      </w:pPr>
      <w:r w:rsidRPr="00616CD2">
        <w:rPr>
          <w:rFonts w:ascii="Verdana" w:eastAsia="Times New Roman" w:hAnsi="Verdana" w:cs="Times New Roman"/>
          <w:color w:val="333333"/>
          <w:sz w:val="24"/>
          <w:szCs w:val="24"/>
        </w:rPr>
        <w:br/>
        <w:t xml:space="preserve">        (1) solicit and consider information and views from a variety of constituencies to represent the broad spectrum of views that exist with respect to possible approaches to sentencing and administration of </w:t>
      </w:r>
      <w:r>
        <w:rPr>
          <w:rFonts w:ascii="Verdana" w:eastAsia="Times New Roman" w:hAnsi="Verdana" w:cs="Times New Roman"/>
          <w:color w:val="333333"/>
          <w:sz w:val="24"/>
          <w:szCs w:val="24"/>
        </w:rPr>
        <w:t>justice in the state; and</w:t>
      </w:r>
      <w:r>
        <w:rPr>
          <w:rFonts w:ascii="Verdana" w:eastAsia="Times New Roman" w:hAnsi="Verdana" w:cs="Times New Roman"/>
          <w:color w:val="333333"/>
          <w:sz w:val="24"/>
          <w:szCs w:val="24"/>
        </w:rPr>
        <w:br/>
        <w:t xml:space="preserve">   </w:t>
      </w:r>
      <w:r>
        <w:rPr>
          <w:rFonts w:ascii="Verdana" w:eastAsia="Times New Roman" w:hAnsi="Verdana" w:cs="Times New Roman"/>
          <w:color w:val="333333"/>
          <w:sz w:val="24"/>
          <w:szCs w:val="24"/>
        </w:rPr>
        <w:tab/>
      </w:r>
      <w:r w:rsidRPr="00616CD2">
        <w:rPr>
          <w:rFonts w:ascii="Verdana" w:eastAsia="Times New Roman" w:hAnsi="Verdana" w:cs="Times New Roman"/>
          <w:color w:val="333333"/>
          <w:sz w:val="24"/>
          <w:szCs w:val="24"/>
        </w:rPr>
        <w:t>(2) base recommendations on the following factors:</w:t>
      </w:r>
      <w:r w:rsidRPr="00616CD2">
        <w:rPr>
          <w:rFonts w:ascii="Verdana" w:eastAsia="Times New Roman" w:hAnsi="Verdana" w:cs="Times New Roman"/>
          <w:color w:val="333333"/>
          <w:sz w:val="24"/>
          <w:szCs w:val="24"/>
        </w:rPr>
        <w:br/>
        <w:t>             (A) the seriousness of each offense in relation to other offenses;</w:t>
      </w:r>
      <w:r w:rsidRPr="00616CD2">
        <w:rPr>
          <w:rFonts w:ascii="Verdana" w:eastAsia="Times New Roman" w:hAnsi="Verdana" w:cs="Times New Roman"/>
          <w:color w:val="333333"/>
          <w:sz w:val="24"/>
          <w:szCs w:val="24"/>
        </w:rPr>
        <w:br/>
        <w:t>             (B) the effect of an offender's prior criminal history on sentencing;</w:t>
      </w:r>
      <w:r w:rsidRPr="00616CD2">
        <w:rPr>
          <w:rFonts w:ascii="Verdana" w:eastAsia="Times New Roman" w:hAnsi="Verdana" w:cs="Times New Roman"/>
          <w:color w:val="333333"/>
          <w:sz w:val="24"/>
          <w:szCs w:val="24"/>
        </w:rPr>
        <w:br/>
        <w:t>             (C) the need to rehabilitate criminal offenders;</w:t>
      </w:r>
      <w:r w:rsidRPr="00616CD2">
        <w:rPr>
          <w:rFonts w:ascii="Verdana" w:eastAsia="Times New Roman" w:hAnsi="Verdana" w:cs="Times New Roman"/>
          <w:color w:val="333333"/>
          <w:sz w:val="24"/>
          <w:szCs w:val="24"/>
        </w:rPr>
        <w:br/>
        <w:t>             (D) the need to confine offenders to prevent harm to the public;</w:t>
      </w:r>
      <w:r w:rsidRPr="00616CD2">
        <w:rPr>
          <w:rFonts w:ascii="Verdana" w:eastAsia="Times New Roman" w:hAnsi="Verdana" w:cs="Times New Roman"/>
          <w:color w:val="333333"/>
          <w:sz w:val="24"/>
          <w:szCs w:val="24"/>
        </w:rPr>
        <w:br/>
        <w:t>             (E) the extent to which criminal offenses harm victims and endanger the public safety and order;</w:t>
      </w:r>
      <w:r w:rsidRPr="00616CD2">
        <w:rPr>
          <w:rFonts w:ascii="Verdana" w:eastAsia="Times New Roman" w:hAnsi="Verdana" w:cs="Times New Roman"/>
          <w:color w:val="333333"/>
          <w:sz w:val="24"/>
          <w:szCs w:val="24"/>
        </w:rPr>
        <w:br/>
        <w:t>             (F) the effect of sentencing in deterring an offender or other members of society from future criminal conduct;</w:t>
      </w:r>
      <w:r w:rsidRPr="00616CD2">
        <w:rPr>
          <w:rFonts w:ascii="Verdana" w:eastAsia="Times New Roman" w:hAnsi="Verdana" w:cs="Times New Roman"/>
          <w:color w:val="333333"/>
          <w:sz w:val="24"/>
          <w:szCs w:val="24"/>
        </w:rPr>
        <w:br/>
        <w:t>             (G) the effect of sentencing as a community condemnation of criminal acts and as a reaffirmation of societal norms;</w:t>
      </w:r>
      <w:r w:rsidRPr="00616CD2">
        <w:rPr>
          <w:rFonts w:ascii="Verdana" w:eastAsia="Times New Roman" w:hAnsi="Verdana" w:cs="Times New Roman"/>
          <w:color w:val="333333"/>
          <w:sz w:val="24"/>
          <w:szCs w:val="24"/>
        </w:rPr>
        <w:br/>
        <w:t>             (H) the elimination of unjustified disparity in sentences;</w:t>
      </w:r>
      <w:r w:rsidRPr="00616CD2">
        <w:rPr>
          <w:rFonts w:ascii="Verdana" w:eastAsia="Times New Roman" w:hAnsi="Verdana" w:cs="Times New Roman"/>
          <w:color w:val="333333"/>
          <w:sz w:val="24"/>
          <w:szCs w:val="24"/>
        </w:rPr>
        <w:br/>
        <w:t>             (I) the sufficiency of state agency resources to administer the criminal justice system of the state;</w:t>
      </w:r>
      <w:r w:rsidRPr="00616CD2">
        <w:rPr>
          <w:rFonts w:ascii="Verdana" w:eastAsia="Times New Roman" w:hAnsi="Verdana" w:cs="Times New Roman"/>
          <w:color w:val="333333"/>
          <w:sz w:val="24"/>
          <w:szCs w:val="24"/>
        </w:rPr>
        <w:br/>
        <w:t>             (J) the effect of criminal justice laws and practices on reducing the rate of recidivism in the state;</w:t>
      </w:r>
      <w:r w:rsidRPr="00616CD2">
        <w:rPr>
          <w:rFonts w:ascii="Verdana" w:eastAsia="Times New Roman" w:hAnsi="Verdana" w:cs="Times New Roman"/>
          <w:color w:val="333333"/>
          <w:sz w:val="24"/>
          <w:szCs w:val="24"/>
        </w:rPr>
        <w:br/>
        <w:t>             (K) peer reviewed and data-driven research; and</w:t>
      </w:r>
      <w:r w:rsidRPr="00616CD2">
        <w:rPr>
          <w:rFonts w:ascii="Verdana" w:eastAsia="Times New Roman" w:hAnsi="Verdana" w:cs="Times New Roman"/>
          <w:color w:val="333333"/>
          <w:sz w:val="24"/>
          <w:szCs w:val="24"/>
        </w:rPr>
        <w:br/>
        <w:t xml:space="preserve">             (L) the efficacy of evidence-based restorative justice initiatives on </w:t>
      </w:r>
      <w:r w:rsidRPr="00616CD2">
        <w:rPr>
          <w:rFonts w:ascii="Verdana" w:eastAsia="Times New Roman" w:hAnsi="Verdana" w:cs="Times New Roman"/>
          <w:color w:val="333333"/>
          <w:sz w:val="24"/>
          <w:szCs w:val="24"/>
        </w:rPr>
        <w:lastRenderedPageBreak/>
        <w:t>persons convicted of criminal violations and offenses, the victim, and the community.</w:t>
      </w:r>
    </w:p>
    <w:p w:rsidR="00616CD2" w:rsidRDefault="00616CD2" w:rsidP="00616CD2">
      <w:pPr>
        <w:shd w:val="clear" w:color="auto" w:fill="FFFFFF"/>
        <w:spacing w:after="0" w:line="270" w:lineRule="atLeast"/>
        <w:rPr>
          <w:rFonts w:ascii="Verdana" w:eastAsia="Times New Roman" w:hAnsi="Verdana" w:cs="Times New Roman"/>
          <w:b/>
          <w:bCs/>
          <w:color w:val="333333"/>
          <w:sz w:val="24"/>
          <w:szCs w:val="24"/>
        </w:rPr>
      </w:pPr>
      <w:bookmarkStart w:id="7" w:name="44.19.647"/>
      <w:bookmarkEnd w:id="7"/>
    </w:p>
    <w:p w:rsidR="00616CD2" w:rsidRDefault="00616CD2" w:rsidP="00EE588C">
      <w:pPr>
        <w:shd w:val="clear" w:color="auto" w:fill="FFFFFF"/>
        <w:spacing w:after="0" w:line="270" w:lineRule="atLeast"/>
        <w:jc w:val="both"/>
        <w:rPr>
          <w:rFonts w:ascii="Verdana" w:eastAsia="Times New Roman" w:hAnsi="Verdana" w:cs="Times New Roman"/>
          <w:color w:val="333333"/>
          <w:sz w:val="24"/>
          <w:szCs w:val="24"/>
        </w:rPr>
      </w:pPr>
      <w:r w:rsidRPr="00616CD2">
        <w:rPr>
          <w:rFonts w:ascii="Verdana" w:eastAsia="Times New Roman" w:hAnsi="Verdana" w:cs="Times New Roman"/>
          <w:b/>
          <w:bCs/>
          <w:color w:val="333333"/>
          <w:sz w:val="24"/>
          <w:szCs w:val="24"/>
        </w:rPr>
        <w:t xml:space="preserve">Sec. 44.19.647. Annual report and recommendations. </w:t>
      </w:r>
      <w:r w:rsidRPr="00616CD2">
        <w:rPr>
          <w:rFonts w:ascii="Verdana" w:eastAsia="Times New Roman" w:hAnsi="Verdana" w:cs="Times New Roman"/>
          <w:color w:val="333333"/>
          <w:sz w:val="24"/>
          <w:szCs w:val="24"/>
        </w:rPr>
        <w:t>The commission shall submit to the governor and the legislature an annual report of its proceedings for the previous calendar year and may submit recommendations for legislative and administrative action. Reports and recommendations provided under this section shall be submitted not later than February 1 of each year.</w:t>
      </w:r>
    </w:p>
    <w:p w:rsidR="00616CD2" w:rsidRPr="00616CD2" w:rsidRDefault="00616CD2" w:rsidP="00616CD2">
      <w:pPr>
        <w:shd w:val="clear" w:color="auto" w:fill="FFFFFF"/>
        <w:spacing w:after="0" w:line="270" w:lineRule="atLeast"/>
        <w:rPr>
          <w:rFonts w:ascii="Verdana" w:eastAsia="Times New Roman" w:hAnsi="Verdana" w:cs="Times New Roman"/>
          <w:color w:val="333333"/>
          <w:sz w:val="24"/>
          <w:szCs w:val="24"/>
        </w:rPr>
      </w:pPr>
    </w:p>
    <w:p w:rsidR="00DA76AE" w:rsidRDefault="00616CD2" w:rsidP="0004090B">
      <w:pPr>
        <w:jc w:val="both"/>
        <w:rPr>
          <w:rFonts w:ascii="Verdana" w:eastAsia="Times New Roman" w:hAnsi="Verdana" w:cs="Times New Roman"/>
          <w:color w:val="333333"/>
          <w:sz w:val="24"/>
          <w:szCs w:val="24"/>
        </w:rPr>
      </w:pPr>
      <w:bookmarkStart w:id="8" w:name="44.19.649"/>
      <w:bookmarkEnd w:id="8"/>
      <w:r w:rsidRPr="00616CD2">
        <w:rPr>
          <w:rFonts w:ascii="Verdana" w:eastAsia="Times New Roman" w:hAnsi="Verdana" w:cs="Times New Roman"/>
          <w:b/>
          <w:bCs/>
          <w:color w:val="333333"/>
          <w:sz w:val="24"/>
          <w:szCs w:val="24"/>
        </w:rPr>
        <w:t xml:space="preserve">Sec. 44.19.649. Definition. </w:t>
      </w:r>
      <w:r w:rsidRPr="00616CD2">
        <w:rPr>
          <w:rFonts w:ascii="Verdana" w:eastAsia="Times New Roman" w:hAnsi="Verdana" w:cs="Times New Roman"/>
          <w:color w:val="333333"/>
          <w:sz w:val="24"/>
          <w:szCs w:val="24"/>
        </w:rPr>
        <w:t xml:space="preserve">In </w:t>
      </w:r>
      <w:hyperlink r:id="rId7" w:anchor="44.19.641" w:history="1">
        <w:r w:rsidRPr="00616CD2">
          <w:rPr>
            <w:rFonts w:ascii="Verdana" w:eastAsia="Times New Roman" w:hAnsi="Verdana" w:cs="Times New Roman"/>
            <w:color w:val="631E25"/>
            <w:sz w:val="24"/>
            <w:szCs w:val="24"/>
            <w:u w:val="single"/>
          </w:rPr>
          <w:t>AS 44.19.641</w:t>
        </w:r>
      </w:hyperlink>
      <w:r w:rsidRPr="00616CD2">
        <w:rPr>
          <w:rFonts w:ascii="Verdana" w:eastAsia="Times New Roman" w:hAnsi="Verdana" w:cs="Times New Roman"/>
          <w:color w:val="333333"/>
          <w:sz w:val="24"/>
          <w:szCs w:val="24"/>
        </w:rPr>
        <w:t xml:space="preserve"> - 44.19.649, "commission" means the Alaska Criminal Justice Commission.</w:t>
      </w:r>
    </w:p>
    <w:p w:rsidR="002C35D1" w:rsidRPr="002C35D1" w:rsidRDefault="002C35D1" w:rsidP="0004090B">
      <w:pPr>
        <w:jc w:val="both"/>
        <w:rPr>
          <w:rFonts w:ascii="Verdana" w:eastAsia="Times New Roman" w:hAnsi="Verdana" w:cs="Times New Roman"/>
          <w:b/>
          <w:color w:val="333333"/>
          <w:sz w:val="24"/>
          <w:szCs w:val="24"/>
        </w:rPr>
      </w:pPr>
      <w:r w:rsidRPr="002C35D1">
        <w:rPr>
          <w:rFonts w:ascii="Verdana" w:eastAsia="Times New Roman" w:hAnsi="Verdana" w:cs="Times New Roman"/>
          <w:b/>
          <w:color w:val="333333"/>
          <w:sz w:val="24"/>
          <w:szCs w:val="24"/>
        </w:rPr>
        <w:t>Uncodified Laws</w:t>
      </w:r>
    </w:p>
    <w:p w:rsidR="00CA0ED0" w:rsidRDefault="00CA0ED0" w:rsidP="004A1E50">
      <w:pPr>
        <w:spacing w:after="0"/>
        <w:jc w:val="both"/>
        <w:rPr>
          <w:rFonts w:ascii="Verdana" w:hAnsi="Verdana"/>
          <w:sz w:val="24"/>
          <w:szCs w:val="24"/>
        </w:rPr>
      </w:pPr>
      <w:r w:rsidRPr="004A1E50">
        <w:rPr>
          <w:rFonts w:ascii="Verdana" w:hAnsi="Verdana"/>
          <w:b/>
          <w:sz w:val="24"/>
          <w:szCs w:val="24"/>
        </w:rPr>
        <w:t>TRANSITIONAL PROVISIONS</w:t>
      </w:r>
      <w:r w:rsidRPr="00CA0ED0">
        <w:rPr>
          <w:rFonts w:ascii="Verdana" w:hAnsi="Verdana"/>
          <w:sz w:val="24"/>
          <w:szCs w:val="24"/>
        </w:rPr>
        <w:t>. The initial designa</w:t>
      </w:r>
      <w:r>
        <w:rPr>
          <w:rFonts w:ascii="Verdana" w:hAnsi="Verdana"/>
          <w:sz w:val="24"/>
          <w:szCs w:val="24"/>
        </w:rPr>
        <w:t xml:space="preserve">tions and appointments to the </w:t>
      </w:r>
      <w:r w:rsidRPr="00CA0ED0">
        <w:rPr>
          <w:rFonts w:ascii="Verdana" w:hAnsi="Verdana"/>
          <w:sz w:val="24"/>
          <w:szCs w:val="24"/>
        </w:rPr>
        <w:t>Alaska Criminal Justice Commission under AS 44.19.642, added by sec. 32 of this Act, shall be made not later than June 30, 2014. Notwithstanding AS 44.19.647, added by sec. 32</w:t>
      </w:r>
      <w:r>
        <w:rPr>
          <w:rFonts w:ascii="Verdana" w:hAnsi="Verdana"/>
          <w:sz w:val="24"/>
          <w:szCs w:val="24"/>
        </w:rPr>
        <w:t xml:space="preserve"> of this A</w:t>
      </w:r>
      <w:r w:rsidRPr="00CA0ED0">
        <w:rPr>
          <w:rFonts w:ascii="Verdana" w:hAnsi="Verdana"/>
          <w:sz w:val="24"/>
          <w:szCs w:val="24"/>
        </w:rPr>
        <w:t xml:space="preserve">ct, the commission shall submit its first report to the governor </w:t>
      </w:r>
      <w:r>
        <w:rPr>
          <w:rFonts w:ascii="Verdana" w:hAnsi="Verdana"/>
          <w:sz w:val="24"/>
          <w:szCs w:val="24"/>
        </w:rPr>
        <w:t xml:space="preserve">and the legislature not later </w:t>
      </w:r>
      <w:r w:rsidRPr="00CA0ED0">
        <w:rPr>
          <w:rFonts w:ascii="Verdana" w:hAnsi="Verdana"/>
          <w:sz w:val="24"/>
          <w:szCs w:val="24"/>
        </w:rPr>
        <w:t>than February 1, 2016.</w:t>
      </w:r>
    </w:p>
    <w:p w:rsidR="002C35D1" w:rsidRDefault="002C35D1" w:rsidP="004A1E50">
      <w:pPr>
        <w:spacing w:after="0"/>
        <w:jc w:val="both"/>
        <w:rPr>
          <w:rFonts w:ascii="Verdana" w:hAnsi="Verdana"/>
          <w:sz w:val="24"/>
          <w:szCs w:val="24"/>
        </w:rPr>
      </w:pPr>
    </w:p>
    <w:p w:rsidR="002C35D1" w:rsidRPr="002C35D1" w:rsidRDefault="002C35D1" w:rsidP="002C35D1">
      <w:pPr>
        <w:autoSpaceDE w:val="0"/>
        <w:autoSpaceDN w:val="0"/>
        <w:adjustRightInd w:val="0"/>
        <w:spacing w:after="0" w:line="240" w:lineRule="auto"/>
        <w:jc w:val="both"/>
        <w:rPr>
          <w:rFonts w:ascii="Verdana" w:hAnsi="Verdana" w:cs="Times New Roman"/>
          <w:sz w:val="24"/>
          <w:szCs w:val="24"/>
        </w:rPr>
      </w:pPr>
      <w:r w:rsidRPr="002C35D1">
        <w:rPr>
          <w:rFonts w:ascii="Verdana" w:hAnsi="Verdana" w:cs="Times New Roman"/>
          <w:b/>
          <w:color w:val="000000"/>
          <w:sz w:val="24"/>
          <w:szCs w:val="24"/>
        </w:rPr>
        <w:t>SPECIAL REPORT OF ALASKA CRIMINAL JUSTICE COMMISSION.</w:t>
      </w:r>
      <w:r>
        <w:rPr>
          <w:rFonts w:ascii="Verdana" w:hAnsi="Verdana" w:cs="Times New Roman"/>
          <w:color w:val="000000"/>
          <w:sz w:val="24"/>
          <w:szCs w:val="24"/>
        </w:rPr>
        <w:t xml:space="preserve"> The </w:t>
      </w:r>
      <w:r w:rsidRPr="002C35D1">
        <w:rPr>
          <w:rFonts w:ascii="Verdana" w:hAnsi="Verdana" w:cs="Times New Roman"/>
          <w:color w:val="000000"/>
          <w:sz w:val="24"/>
          <w:szCs w:val="24"/>
        </w:rPr>
        <w:t>Alaska Criminal Justice Commission shall submit to the governor</w:t>
      </w:r>
      <w:r>
        <w:rPr>
          <w:rFonts w:ascii="Verdana" w:hAnsi="Verdana" w:cs="Times New Roman"/>
          <w:color w:val="000000"/>
          <w:sz w:val="24"/>
          <w:szCs w:val="24"/>
        </w:rPr>
        <w:t xml:space="preserve"> and the legislature a special </w:t>
      </w:r>
      <w:r w:rsidRPr="002C35D1">
        <w:rPr>
          <w:rFonts w:ascii="Verdana" w:hAnsi="Verdana" w:cs="Times New Roman"/>
          <w:color w:val="000000"/>
          <w:sz w:val="24"/>
          <w:szCs w:val="24"/>
        </w:rPr>
        <w:t>report, not later than July 1, 2017, regarding alcohol-related o</w:t>
      </w:r>
      <w:r>
        <w:rPr>
          <w:rFonts w:ascii="Verdana" w:hAnsi="Verdana" w:cs="Times New Roman"/>
          <w:color w:val="000000"/>
          <w:sz w:val="24"/>
          <w:szCs w:val="24"/>
        </w:rPr>
        <w:t xml:space="preserve">ffenses in AS 28. The report </w:t>
      </w:r>
      <w:r w:rsidRPr="002C35D1">
        <w:rPr>
          <w:rFonts w:ascii="Verdana" w:hAnsi="Verdana" w:cs="Times New Roman"/>
          <w:color w:val="000000"/>
          <w:sz w:val="24"/>
          <w:szCs w:val="24"/>
        </w:rPr>
        <w:t>mus</w:t>
      </w:r>
      <w:r>
        <w:rPr>
          <w:rFonts w:ascii="Verdana" w:hAnsi="Verdana" w:cs="Times New Roman"/>
          <w:color w:val="000000"/>
          <w:sz w:val="24"/>
          <w:szCs w:val="24"/>
        </w:rPr>
        <w:t xml:space="preserve">t include recommendations on </w:t>
      </w:r>
      <w:r w:rsidRPr="002C35D1">
        <w:rPr>
          <w:rFonts w:ascii="Verdana" w:hAnsi="Verdana" w:cs="Times New Roman"/>
          <w:color w:val="000000"/>
          <w:sz w:val="24"/>
          <w:szCs w:val="24"/>
        </w:rPr>
        <w:t>(1)  whether a revision of the alcohol-related of</w:t>
      </w:r>
      <w:r>
        <w:rPr>
          <w:rFonts w:ascii="Verdana" w:hAnsi="Verdana" w:cs="Times New Roman"/>
          <w:color w:val="000000"/>
          <w:sz w:val="24"/>
          <w:szCs w:val="24"/>
        </w:rPr>
        <w:t xml:space="preserve">fenses in AS 28 is necessary; </w:t>
      </w:r>
      <w:r w:rsidRPr="002C35D1">
        <w:rPr>
          <w:rFonts w:ascii="Verdana" w:hAnsi="Verdana" w:cs="Times New Roman"/>
          <w:color w:val="000000"/>
          <w:sz w:val="24"/>
          <w:szCs w:val="24"/>
        </w:rPr>
        <w:t>(2)  maintaining both the administrative and court l</w:t>
      </w:r>
      <w:r>
        <w:rPr>
          <w:rFonts w:ascii="Verdana" w:hAnsi="Verdana" w:cs="Times New Roman"/>
          <w:color w:val="000000"/>
          <w:sz w:val="24"/>
          <w:szCs w:val="24"/>
        </w:rPr>
        <w:t xml:space="preserve">icense revocation processes; </w:t>
      </w:r>
      <w:r w:rsidRPr="002C35D1">
        <w:rPr>
          <w:rFonts w:ascii="Verdana" w:hAnsi="Verdana" w:cs="Times New Roman"/>
          <w:color w:val="000000"/>
          <w:sz w:val="24"/>
          <w:szCs w:val="24"/>
        </w:rPr>
        <w:t>(3)  the effectiveness of ignition interlock device</w:t>
      </w:r>
      <w:r>
        <w:rPr>
          <w:rFonts w:ascii="Verdana" w:hAnsi="Verdana" w:cs="Times New Roman"/>
          <w:color w:val="000000"/>
          <w:sz w:val="24"/>
          <w:szCs w:val="24"/>
        </w:rPr>
        <w:t xml:space="preserve">s in reducing the offenses of </w:t>
      </w:r>
      <w:r w:rsidRPr="002C35D1">
        <w:rPr>
          <w:rFonts w:ascii="Verdana" w:hAnsi="Verdana" w:cs="Times New Roman"/>
          <w:color w:val="000000"/>
          <w:sz w:val="24"/>
          <w:szCs w:val="24"/>
        </w:rPr>
        <w:t>driving while under the influence of an alcoholic beverage, inhal</w:t>
      </w:r>
      <w:r>
        <w:rPr>
          <w:rFonts w:ascii="Verdana" w:hAnsi="Verdana" w:cs="Times New Roman"/>
          <w:color w:val="000000"/>
          <w:sz w:val="24"/>
          <w:szCs w:val="24"/>
        </w:rPr>
        <w:t xml:space="preserve">ant, or controlled substance </w:t>
      </w:r>
      <w:r w:rsidRPr="002C35D1">
        <w:rPr>
          <w:rFonts w:ascii="Verdana" w:hAnsi="Verdana" w:cs="Times New Roman"/>
          <w:color w:val="000000"/>
          <w:sz w:val="24"/>
          <w:szCs w:val="24"/>
        </w:rPr>
        <w:t>and refusal to submit to a chemical t</w:t>
      </w:r>
      <w:r>
        <w:rPr>
          <w:rFonts w:ascii="Verdana" w:hAnsi="Verdana" w:cs="Times New Roman"/>
          <w:color w:val="000000"/>
          <w:sz w:val="24"/>
          <w:szCs w:val="24"/>
        </w:rPr>
        <w:t xml:space="preserve">est, and reducing recidivism; </w:t>
      </w:r>
      <w:r w:rsidRPr="002C35D1">
        <w:rPr>
          <w:rFonts w:ascii="Verdana" w:hAnsi="Verdana" w:cs="Times New Roman"/>
          <w:color w:val="000000"/>
          <w:sz w:val="24"/>
          <w:szCs w:val="24"/>
        </w:rPr>
        <w:t>(4)  whether the punishment, fines, and associated</w:t>
      </w:r>
      <w:r>
        <w:rPr>
          <w:rFonts w:ascii="Verdana" w:hAnsi="Verdana" w:cs="Times New Roman"/>
          <w:color w:val="000000"/>
          <w:sz w:val="24"/>
          <w:szCs w:val="24"/>
        </w:rPr>
        <w:t xml:space="preserve"> driver's license revocation </w:t>
      </w:r>
      <w:r w:rsidRPr="002C35D1">
        <w:rPr>
          <w:rFonts w:ascii="Verdana" w:hAnsi="Verdana" w:cs="Times New Roman"/>
          <w:color w:val="000000"/>
          <w:sz w:val="24"/>
          <w:szCs w:val="24"/>
        </w:rPr>
        <w:t>periods for the offenses of driving while under the influe</w:t>
      </w:r>
      <w:r>
        <w:rPr>
          <w:rFonts w:ascii="Verdana" w:hAnsi="Verdana" w:cs="Times New Roman"/>
          <w:color w:val="000000"/>
          <w:sz w:val="24"/>
          <w:szCs w:val="24"/>
        </w:rPr>
        <w:t xml:space="preserve">nce of an alcoholic beverage, </w:t>
      </w:r>
      <w:r w:rsidRPr="002C35D1">
        <w:rPr>
          <w:rFonts w:ascii="Verdana" w:hAnsi="Verdana" w:cs="Times New Roman"/>
          <w:color w:val="000000"/>
          <w:sz w:val="24"/>
          <w:szCs w:val="24"/>
        </w:rPr>
        <w:t>inhalant, or controlled substance and refusal to submit to a chemi</w:t>
      </w:r>
      <w:r>
        <w:rPr>
          <w:rFonts w:ascii="Verdana" w:hAnsi="Verdana" w:cs="Times New Roman"/>
          <w:color w:val="000000"/>
          <w:sz w:val="24"/>
          <w:szCs w:val="24"/>
        </w:rPr>
        <w:t xml:space="preserve">cal test should be decreased or increased; </w:t>
      </w:r>
      <w:r w:rsidRPr="002C35D1">
        <w:rPr>
          <w:rFonts w:ascii="Verdana" w:hAnsi="Verdana" w:cs="Times New Roman"/>
          <w:color w:val="000000"/>
          <w:sz w:val="24"/>
          <w:szCs w:val="24"/>
        </w:rPr>
        <w:t>(5)  the effectiveness of programs that promote offender ac</w:t>
      </w:r>
      <w:r>
        <w:rPr>
          <w:rFonts w:ascii="Verdana" w:hAnsi="Verdana" w:cs="Times New Roman"/>
          <w:color w:val="000000"/>
          <w:sz w:val="24"/>
          <w:szCs w:val="24"/>
        </w:rPr>
        <w:t xml:space="preserve">countability, </w:t>
      </w:r>
      <w:r w:rsidRPr="002C35D1">
        <w:rPr>
          <w:rFonts w:ascii="Verdana" w:hAnsi="Verdana" w:cs="Times New Roman"/>
          <w:color w:val="000000"/>
          <w:sz w:val="24"/>
          <w:szCs w:val="24"/>
        </w:rPr>
        <w:t>emphasize swift and certain, yet measured, punishment, reduce</w:t>
      </w:r>
      <w:r>
        <w:rPr>
          <w:rFonts w:ascii="Verdana" w:hAnsi="Verdana" w:cs="Times New Roman"/>
          <w:color w:val="000000"/>
          <w:sz w:val="24"/>
          <w:szCs w:val="24"/>
        </w:rPr>
        <w:t xml:space="preserve"> recidivism, and maximize the </w:t>
      </w:r>
      <w:r w:rsidRPr="002C35D1">
        <w:rPr>
          <w:rFonts w:ascii="Verdana" w:hAnsi="Verdana" w:cs="Times New Roman"/>
          <w:color w:val="000000"/>
          <w:sz w:val="24"/>
          <w:szCs w:val="24"/>
        </w:rPr>
        <w:t>offender's ability to r</w:t>
      </w:r>
      <w:r>
        <w:rPr>
          <w:rFonts w:ascii="Verdana" w:hAnsi="Verdana" w:cs="Times New Roman"/>
          <w:color w:val="000000"/>
          <w:sz w:val="24"/>
          <w:szCs w:val="24"/>
        </w:rPr>
        <w:t xml:space="preserve">emain productive in society; </w:t>
      </w:r>
      <w:r w:rsidRPr="002C35D1">
        <w:rPr>
          <w:rFonts w:ascii="Verdana" w:hAnsi="Verdana" w:cs="Times New Roman"/>
          <w:color w:val="000000"/>
          <w:sz w:val="24"/>
          <w:szCs w:val="24"/>
        </w:rPr>
        <w:t>(6)  whether limited licenses should be availabl</w:t>
      </w:r>
      <w:r>
        <w:rPr>
          <w:rFonts w:ascii="Verdana" w:hAnsi="Verdana" w:cs="Times New Roman"/>
          <w:color w:val="000000"/>
          <w:sz w:val="24"/>
          <w:szCs w:val="24"/>
        </w:rPr>
        <w:t xml:space="preserve">e for persons charged with or </w:t>
      </w:r>
      <w:r w:rsidRPr="002C35D1">
        <w:rPr>
          <w:rFonts w:ascii="Verdana" w:hAnsi="Verdana" w:cs="Times New Roman"/>
          <w:color w:val="000000"/>
          <w:sz w:val="24"/>
          <w:szCs w:val="24"/>
        </w:rPr>
        <w:t>convicted of the offenses of driving while under the influen</w:t>
      </w:r>
      <w:r>
        <w:rPr>
          <w:rFonts w:ascii="Verdana" w:hAnsi="Verdana" w:cs="Times New Roman"/>
          <w:color w:val="000000"/>
          <w:sz w:val="24"/>
          <w:szCs w:val="24"/>
        </w:rPr>
        <w:t xml:space="preserve">ce of an alcoholic beverage, </w:t>
      </w:r>
      <w:r w:rsidRPr="002C35D1">
        <w:rPr>
          <w:rFonts w:ascii="Verdana" w:hAnsi="Verdana" w:cs="Times New Roman"/>
          <w:color w:val="000000"/>
          <w:sz w:val="24"/>
          <w:szCs w:val="24"/>
        </w:rPr>
        <w:t>inhalant, or controlled substance or refusal to submit to a chemi</w:t>
      </w:r>
      <w:r>
        <w:rPr>
          <w:rFonts w:ascii="Verdana" w:hAnsi="Verdana" w:cs="Times New Roman"/>
          <w:color w:val="000000"/>
          <w:sz w:val="24"/>
          <w:szCs w:val="24"/>
        </w:rPr>
        <w:t xml:space="preserve">cal test, while providing for </w:t>
      </w:r>
      <w:r w:rsidRPr="002C35D1">
        <w:rPr>
          <w:rFonts w:ascii="Verdana" w:hAnsi="Verdana" w:cs="Times New Roman"/>
          <w:color w:val="000000"/>
          <w:sz w:val="24"/>
          <w:szCs w:val="24"/>
        </w:rPr>
        <w:t>public safety.</w:t>
      </w:r>
    </w:p>
    <w:sectPr w:rsidR="002C35D1" w:rsidRPr="002C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D2"/>
    <w:rsid w:val="00033CAE"/>
    <w:rsid w:val="0004090B"/>
    <w:rsid w:val="000B4CBC"/>
    <w:rsid w:val="002C35D1"/>
    <w:rsid w:val="004A1E50"/>
    <w:rsid w:val="00616CD2"/>
    <w:rsid w:val="007E4397"/>
    <w:rsid w:val="00911AB6"/>
    <w:rsid w:val="00CA0ED0"/>
    <w:rsid w:val="00EE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C7ECE-7C2A-4D0B-AA11-D665BB52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6CD2"/>
    <w:rPr>
      <w:b w:val="0"/>
      <w:bCs w:val="0"/>
      <w:color w:val="631E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190335">
      <w:bodyDiv w:val="1"/>
      <w:marLeft w:val="0"/>
      <w:marRight w:val="0"/>
      <w:marTop w:val="0"/>
      <w:marBottom w:val="0"/>
      <w:divBdr>
        <w:top w:val="none" w:sz="0" w:space="0" w:color="auto"/>
        <w:left w:val="none" w:sz="0" w:space="0" w:color="auto"/>
        <w:bottom w:val="none" w:sz="0" w:space="0" w:color="auto"/>
        <w:right w:val="none" w:sz="0" w:space="0" w:color="auto"/>
      </w:divBdr>
      <w:divsChild>
        <w:div w:id="323124859">
          <w:marLeft w:val="0"/>
          <w:marRight w:val="0"/>
          <w:marTop w:val="0"/>
          <w:marBottom w:val="0"/>
          <w:divBdr>
            <w:top w:val="none" w:sz="0" w:space="0" w:color="auto"/>
            <w:left w:val="none" w:sz="0" w:space="0" w:color="auto"/>
            <w:bottom w:val="none" w:sz="0" w:space="0" w:color="auto"/>
            <w:right w:val="none" w:sz="0" w:space="0" w:color="auto"/>
          </w:divBdr>
          <w:divsChild>
            <w:div w:id="1827359316">
              <w:marLeft w:val="0"/>
              <w:marRight w:val="0"/>
              <w:marTop w:val="0"/>
              <w:marBottom w:val="0"/>
              <w:divBdr>
                <w:top w:val="none" w:sz="0" w:space="0" w:color="auto"/>
                <w:left w:val="none" w:sz="0" w:space="0" w:color="auto"/>
                <w:bottom w:val="none" w:sz="0" w:space="0" w:color="auto"/>
                <w:right w:val="none" w:sz="0" w:space="0" w:color="auto"/>
              </w:divBdr>
              <w:divsChild>
                <w:div w:id="1095251598">
                  <w:marLeft w:val="0"/>
                  <w:marRight w:val="0"/>
                  <w:marTop w:val="0"/>
                  <w:marBottom w:val="0"/>
                  <w:divBdr>
                    <w:top w:val="none" w:sz="0" w:space="0" w:color="auto"/>
                    <w:left w:val="none" w:sz="0" w:space="0" w:color="auto"/>
                    <w:bottom w:val="none" w:sz="0" w:space="0" w:color="auto"/>
                    <w:right w:val="none" w:sz="0" w:space="0" w:color="auto"/>
                  </w:divBdr>
                  <w:divsChild>
                    <w:div w:id="17796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is.state.ak.us/basis/statute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state.ak.us/basis/statutes.asp" TargetMode="External"/><Relationship Id="rId5" Type="http://schemas.openxmlformats.org/officeDocument/2006/relationships/hyperlink" Target="http://www.legis.state.ak.us/basis/statutes.asp" TargetMode="External"/><Relationship Id="rId4" Type="http://schemas.openxmlformats.org/officeDocument/2006/relationships/hyperlink" Target="http://www.legis.state.ak.us/basis/statutes.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DiPietro</dc:creator>
  <cp:keywords/>
  <dc:description/>
  <cp:lastModifiedBy>Amy Saltzman</cp:lastModifiedBy>
  <cp:revision>2</cp:revision>
  <dcterms:created xsi:type="dcterms:W3CDTF">2015-02-02T17:08:00Z</dcterms:created>
  <dcterms:modified xsi:type="dcterms:W3CDTF">2015-02-02T17:08:00Z</dcterms:modified>
</cp:coreProperties>
</file>