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57" w:rsidRPr="00131C94" w:rsidRDefault="00747557" w:rsidP="00747557">
      <w:pPr>
        <w:rPr>
          <w:b/>
          <w:i/>
          <w:color w:val="1F497D" w:themeColor="text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42499F" wp14:editId="3D0F3573">
            <wp:simplePos x="0" y="0"/>
            <wp:positionH relativeFrom="column">
              <wp:posOffset>-133350</wp:posOffset>
            </wp:positionH>
            <wp:positionV relativeFrom="paragraph">
              <wp:posOffset>-162560</wp:posOffset>
            </wp:positionV>
            <wp:extent cx="702310" cy="739775"/>
            <wp:effectExtent l="0" t="0" r="2540" b="3175"/>
            <wp:wrapSquare wrapText="bothSides"/>
            <wp:docPr id="3" name="Picture 3" descr="C:\Users\lhscrex\AppData\Local\Microsoft\Windows\Temporary Internet Files\Content.Outlook\5EQMBT5H\gold st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hscrex\AppData\Local\Microsoft\Windows\Temporary Internet Files\Content.Outlook\5EQMBT5H\gold stat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557">
        <w:rPr>
          <w:b/>
          <w:i/>
          <w:color w:val="1F497D" w:themeColor="text2"/>
          <w:sz w:val="24"/>
          <w:szCs w:val="24"/>
        </w:rPr>
        <w:t>Representative Mark Neuman</w:t>
      </w:r>
      <w:r w:rsidR="00131C94">
        <w:rPr>
          <w:b/>
          <w:i/>
          <w:color w:val="1F497D" w:themeColor="text2"/>
          <w:sz w:val="24"/>
          <w:szCs w:val="24"/>
        </w:rPr>
        <w:tab/>
      </w:r>
      <w:r w:rsidR="00131C94">
        <w:rPr>
          <w:b/>
          <w:i/>
          <w:color w:val="1F497D" w:themeColor="text2"/>
          <w:sz w:val="24"/>
          <w:szCs w:val="24"/>
        </w:rPr>
        <w:tab/>
      </w:r>
      <w:r w:rsidR="00131C94">
        <w:rPr>
          <w:b/>
          <w:i/>
          <w:color w:val="1F497D" w:themeColor="text2"/>
          <w:sz w:val="24"/>
          <w:szCs w:val="24"/>
        </w:rPr>
        <w:tab/>
      </w:r>
      <w:r>
        <w:rPr>
          <w:b/>
          <w:i/>
          <w:color w:val="1F497D" w:themeColor="text2"/>
          <w:sz w:val="24"/>
          <w:szCs w:val="24"/>
        </w:rPr>
        <w:t xml:space="preserve">HB 150 </w:t>
      </w:r>
      <w:r w:rsidRPr="00131C94">
        <w:rPr>
          <w:b/>
          <w:i/>
          <w:color w:val="1F497D" w:themeColor="text2"/>
          <w:sz w:val="20"/>
          <w:szCs w:val="20"/>
        </w:rPr>
        <w:t>Technic</w:t>
      </w:r>
      <w:r w:rsidR="00131C94" w:rsidRPr="00131C94">
        <w:rPr>
          <w:b/>
          <w:i/>
          <w:color w:val="1F497D" w:themeColor="text2"/>
          <w:sz w:val="20"/>
          <w:szCs w:val="20"/>
        </w:rPr>
        <w:t xml:space="preserve">al and </w:t>
      </w:r>
    </w:p>
    <w:p w:rsidR="00747557" w:rsidRPr="00747557" w:rsidRDefault="00747557" w:rsidP="00747557">
      <w:pPr>
        <w:ind w:left="1080"/>
        <w:rPr>
          <w:b/>
          <w:i/>
          <w:color w:val="1F497D" w:themeColor="text2"/>
          <w:sz w:val="24"/>
          <w:szCs w:val="24"/>
        </w:rPr>
      </w:pPr>
      <w:r w:rsidRPr="00131C94">
        <w:rPr>
          <w:i/>
          <w:color w:val="1F497D" w:themeColor="text2"/>
          <w:sz w:val="20"/>
          <w:szCs w:val="20"/>
        </w:rPr>
        <w:t>Alaska State Capital, Rm. 513</w:t>
      </w:r>
      <w:r w:rsidR="00131C94" w:rsidRPr="00131C94">
        <w:rPr>
          <w:i/>
          <w:color w:val="1F497D" w:themeColor="text2"/>
          <w:sz w:val="20"/>
          <w:szCs w:val="20"/>
        </w:rPr>
        <w:tab/>
      </w:r>
      <w:r w:rsidR="00131C94" w:rsidRPr="00131C94">
        <w:rPr>
          <w:i/>
          <w:color w:val="1F497D" w:themeColor="text2"/>
          <w:sz w:val="20"/>
          <w:szCs w:val="20"/>
        </w:rPr>
        <w:tab/>
      </w:r>
      <w:r w:rsidR="00131C94" w:rsidRPr="00131C94">
        <w:rPr>
          <w:i/>
          <w:color w:val="1F497D" w:themeColor="text2"/>
          <w:sz w:val="20"/>
          <w:szCs w:val="20"/>
        </w:rPr>
        <w:tab/>
      </w:r>
      <w:r w:rsidR="00131C94">
        <w:rPr>
          <w:i/>
          <w:color w:val="1F497D" w:themeColor="text2"/>
          <w:sz w:val="20"/>
          <w:szCs w:val="20"/>
        </w:rPr>
        <w:tab/>
      </w:r>
      <w:r w:rsidR="00131C94" w:rsidRPr="00131C94">
        <w:rPr>
          <w:b/>
          <w:i/>
          <w:color w:val="1F497D" w:themeColor="text2"/>
          <w:sz w:val="20"/>
          <w:szCs w:val="20"/>
        </w:rPr>
        <w:t>Vocational Education Program</w:t>
      </w:r>
      <w:r w:rsidR="00131C94">
        <w:rPr>
          <w:i/>
          <w:color w:val="1F497D" w:themeColor="text2"/>
          <w:sz w:val="20"/>
          <w:szCs w:val="20"/>
        </w:rPr>
        <w:tab/>
      </w:r>
    </w:p>
    <w:p w:rsidR="00747557" w:rsidRPr="00747557" w:rsidRDefault="00747557" w:rsidP="00747557">
      <w:pPr>
        <w:ind w:left="1080"/>
        <w:rPr>
          <w:color w:val="1F497D" w:themeColor="text2"/>
          <w:sz w:val="20"/>
          <w:szCs w:val="20"/>
        </w:rPr>
      </w:pPr>
      <w:r w:rsidRPr="00747557">
        <w:rPr>
          <w:color w:val="1F497D" w:themeColor="text2"/>
          <w:sz w:val="20"/>
          <w:szCs w:val="20"/>
        </w:rPr>
        <w:t>Rep.Mark.Neuman@akleg.gov</w:t>
      </w:r>
    </w:p>
    <w:p w:rsidR="00801A29" w:rsidRPr="00747557" w:rsidRDefault="00801A29" w:rsidP="00747557">
      <w:pPr>
        <w:ind w:left="990"/>
      </w:pPr>
    </w:p>
    <w:p w:rsidR="00747557" w:rsidRPr="00747557" w:rsidRDefault="00747557" w:rsidP="00747557">
      <w:pPr>
        <w:rPr>
          <w:color w:val="1F497D" w:themeColor="text2"/>
          <w:sz w:val="20"/>
          <w:szCs w:val="20"/>
        </w:rPr>
      </w:pPr>
    </w:p>
    <w:p w:rsidR="0010215E" w:rsidRDefault="0010215E" w:rsidP="0010215E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:rsidR="000F2528" w:rsidRDefault="000F2528" w:rsidP="001021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215E">
        <w:rPr>
          <w:b/>
          <w:sz w:val="24"/>
          <w:szCs w:val="24"/>
          <w:u w:val="single"/>
        </w:rPr>
        <w:t>Technical and Vocational Education Program (TVEP)</w:t>
      </w:r>
      <w:r w:rsidRPr="0010215E">
        <w:rPr>
          <w:sz w:val="20"/>
          <w:szCs w:val="20"/>
        </w:rPr>
        <w:t>*</w:t>
      </w:r>
    </w:p>
    <w:p w:rsidR="0010215E" w:rsidRPr="0010215E" w:rsidRDefault="0010215E" w:rsidP="001021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215E" w:rsidRDefault="000F2528" w:rsidP="001021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E">
        <w:rPr>
          <w:sz w:val="24"/>
          <w:szCs w:val="24"/>
        </w:rPr>
        <w:t>The Technical and Vocational Education Program (TVEP) was established in 2000. The purpose of this</w:t>
      </w:r>
      <w:r w:rsidR="0010215E"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>program is to provide grants to technical and vocational education entities to provide industry specific training,</w:t>
      </w:r>
      <w:r w:rsidR="0010215E"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>on-the-job training and classroom job linked training. The authority for this program is Alaska Statute</w:t>
      </w:r>
      <w:r w:rsidR="0010215E"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>23.15.840, grants for technical and vocational education.</w:t>
      </w:r>
      <w:r w:rsidR="0010215E">
        <w:rPr>
          <w:sz w:val="24"/>
          <w:szCs w:val="24"/>
        </w:rPr>
        <w:t xml:space="preserve"> </w:t>
      </w:r>
    </w:p>
    <w:p w:rsidR="0010215E" w:rsidRDefault="0010215E" w:rsidP="001021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2528" w:rsidRDefault="000F2528" w:rsidP="001021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E">
        <w:rPr>
          <w:sz w:val="24"/>
          <w:szCs w:val="24"/>
        </w:rPr>
        <w:t>Funds for the program are appropriated from amounts the state collects in unemployment insurance</w:t>
      </w:r>
      <w:r w:rsidR="0010215E"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 xml:space="preserve">contributions, and are provided to the Alaska Workforce Investment Board. The board </w:t>
      </w:r>
      <w:r w:rsidR="0010215E">
        <w:rPr>
          <w:sz w:val="24"/>
          <w:szCs w:val="24"/>
        </w:rPr>
        <w:t>e</w:t>
      </w:r>
      <w:r w:rsidRPr="0010215E">
        <w:rPr>
          <w:sz w:val="24"/>
          <w:szCs w:val="24"/>
        </w:rPr>
        <w:t>stablishes a list of</w:t>
      </w:r>
      <w:r w:rsidR="0010215E"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 xml:space="preserve">priorities for training under this program. To the extent that funding is </w:t>
      </w:r>
      <w:r w:rsidR="0010215E">
        <w:rPr>
          <w:sz w:val="24"/>
          <w:szCs w:val="24"/>
        </w:rPr>
        <w:t>a</w:t>
      </w:r>
      <w:r w:rsidRPr="0010215E">
        <w:rPr>
          <w:sz w:val="24"/>
          <w:szCs w:val="24"/>
        </w:rPr>
        <w:t>vailable, grants are awarded to entities</w:t>
      </w:r>
      <w:r w:rsidR="0010215E"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>that apply for funding by the deadline established by the board. The board gives priority to applications from</w:t>
      </w:r>
      <w:r w:rsidR="0010215E"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>qualified entitles whose purpose is listed first on the list of priorities. If money remains after grants for the first</w:t>
      </w:r>
      <w:r w:rsidR="0010215E"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>priority have been awarded, the board may then make grants to those entities whose purpose is listed next on the</w:t>
      </w:r>
      <w:r w:rsidR="0010215E"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>priority list.</w:t>
      </w:r>
    </w:p>
    <w:p w:rsidR="0010215E" w:rsidRPr="0010215E" w:rsidRDefault="0010215E" w:rsidP="001021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2528" w:rsidRDefault="000F2528" w:rsidP="001021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E">
        <w:rPr>
          <w:sz w:val="24"/>
          <w:szCs w:val="24"/>
        </w:rPr>
        <w:t>Note: In recent years, the Alaska State Legislature has appropriated money from the program for specific grants</w:t>
      </w:r>
      <w:r w:rsidR="0010215E"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>to designated recipients for capital improvement projects. In appropriating the funds, the Legislature has not</w:t>
      </w:r>
      <w:r w:rsidR="0010215E"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>specified any additional requirements on the use of those funds.</w:t>
      </w:r>
    </w:p>
    <w:p w:rsidR="0010215E" w:rsidRPr="0010215E" w:rsidRDefault="0010215E" w:rsidP="001021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215E" w:rsidRDefault="000F2528" w:rsidP="001021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E">
        <w:rPr>
          <w:sz w:val="24"/>
          <w:szCs w:val="24"/>
        </w:rPr>
        <w:t>AS.23.15.835 (a) the department shall collect from each employee an amount equal to one-tenth of one percent</w:t>
      </w:r>
      <w:r w:rsidR="0010215E"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 xml:space="preserve">of the wages. </w:t>
      </w:r>
      <w:proofErr w:type="gramStart"/>
      <w:r w:rsidRPr="0010215E">
        <w:rPr>
          <w:sz w:val="24"/>
          <w:szCs w:val="24"/>
        </w:rPr>
        <w:t>as</w:t>
      </w:r>
      <w:proofErr w:type="gramEnd"/>
      <w:r w:rsidRPr="0010215E">
        <w:rPr>
          <w:sz w:val="24"/>
          <w:szCs w:val="24"/>
        </w:rPr>
        <w:t xml:space="preserve"> set out in AS.23.20.175. </w:t>
      </w:r>
      <w:proofErr w:type="gramStart"/>
      <w:r w:rsidRPr="0010215E">
        <w:rPr>
          <w:sz w:val="24"/>
          <w:szCs w:val="24"/>
        </w:rPr>
        <w:t>on</w:t>
      </w:r>
      <w:proofErr w:type="gramEnd"/>
      <w:r w:rsidRPr="0010215E">
        <w:rPr>
          <w:sz w:val="24"/>
          <w:szCs w:val="24"/>
        </w:rPr>
        <w:t xml:space="preserve"> which the employee is required to make contribution under</w:t>
      </w:r>
      <w:r w:rsidR="0010215E"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>AS.23.20.290 (d). The department shall remit to the Department of’ Revenue, in accordance with AS.37.l0.050,</w:t>
      </w:r>
      <w:r w:rsidR="0010215E"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>money collected under this subsection.</w:t>
      </w:r>
      <w:r w:rsidR="0010215E">
        <w:rPr>
          <w:sz w:val="24"/>
          <w:szCs w:val="24"/>
        </w:rPr>
        <w:t xml:space="preserve"> </w:t>
      </w:r>
    </w:p>
    <w:p w:rsidR="0010215E" w:rsidRDefault="0010215E" w:rsidP="001021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215E" w:rsidRDefault="000F2528" w:rsidP="001021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E">
        <w:rPr>
          <w:sz w:val="24"/>
          <w:szCs w:val="24"/>
        </w:rPr>
        <w:t>Note: A</w:t>
      </w:r>
      <w:r w:rsidR="00895FF9">
        <w:rPr>
          <w:sz w:val="24"/>
          <w:szCs w:val="24"/>
        </w:rPr>
        <w:t>ccording to House Bill No. 2 (H</w:t>
      </w:r>
      <w:r w:rsidRPr="0010215E">
        <w:rPr>
          <w:sz w:val="24"/>
          <w:szCs w:val="24"/>
        </w:rPr>
        <w:t>B 2) the amou</w:t>
      </w:r>
      <w:bookmarkStart w:id="0" w:name="_GoBack"/>
      <w:bookmarkEnd w:id="0"/>
      <w:r w:rsidRPr="0010215E">
        <w:rPr>
          <w:sz w:val="24"/>
          <w:szCs w:val="24"/>
        </w:rPr>
        <w:t>nt to he collected went from one tenth of one percent to</w:t>
      </w:r>
      <w:r w:rsidR="0010215E">
        <w:rPr>
          <w:sz w:val="24"/>
          <w:szCs w:val="24"/>
        </w:rPr>
        <w:t xml:space="preserve"> .</w:t>
      </w:r>
      <w:r w:rsidRPr="0010215E">
        <w:rPr>
          <w:sz w:val="24"/>
          <w:szCs w:val="24"/>
        </w:rPr>
        <w:t>15</w:t>
      </w:r>
      <w:r w:rsidR="0010215E"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>percent effective July 1, 2008.</w:t>
      </w:r>
      <w:r w:rsidR="0010215E">
        <w:rPr>
          <w:sz w:val="24"/>
          <w:szCs w:val="24"/>
        </w:rPr>
        <w:t xml:space="preserve"> </w:t>
      </w:r>
    </w:p>
    <w:p w:rsidR="0010215E" w:rsidRDefault="0010215E" w:rsidP="001021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215E" w:rsidRDefault="000F2528" w:rsidP="001021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E">
        <w:rPr>
          <w:b/>
          <w:sz w:val="24"/>
          <w:szCs w:val="24"/>
        </w:rPr>
        <w:t>Types of Services Allowed and Un-allowed</w:t>
      </w:r>
      <w:r w:rsidR="0010215E">
        <w:rPr>
          <w:sz w:val="24"/>
          <w:szCs w:val="24"/>
        </w:rPr>
        <w:t xml:space="preserve"> </w:t>
      </w:r>
    </w:p>
    <w:p w:rsidR="000F2528" w:rsidRPr="0010215E" w:rsidRDefault="000F2528" w:rsidP="0010215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0215E">
        <w:rPr>
          <w:sz w:val="24"/>
          <w:szCs w:val="24"/>
        </w:rPr>
        <w:t>Subject to the limits of its grant.</w:t>
      </w:r>
      <w:proofErr w:type="gramEnd"/>
      <w:r w:rsidRPr="0010215E">
        <w:rPr>
          <w:sz w:val="24"/>
          <w:szCs w:val="24"/>
        </w:rPr>
        <w:t xml:space="preserve"> </w:t>
      </w:r>
      <w:proofErr w:type="gramStart"/>
      <w:r w:rsidRPr="0010215E">
        <w:rPr>
          <w:sz w:val="24"/>
          <w:szCs w:val="24"/>
        </w:rPr>
        <w:t>an</w:t>
      </w:r>
      <w:proofErr w:type="gramEnd"/>
      <w:r w:rsidRPr="0010215E">
        <w:rPr>
          <w:sz w:val="24"/>
          <w:szCs w:val="24"/>
        </w:rPr>
        <w:t xml:space="preserve"> entity receiving a grant under this program shall provide one or more of the</w:t>
      </w:r>
      <w:r w:rsidR="0010215E"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>following program elements (AS 23.15.840 (c)):</w:t>
      </w:r>
    </w:p>
    <w:p w:rsidR="000F2528" w:rsidRPr="0010215E" w:rsidRDefault="000F2528" w:rsidP="0010215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E">
        <w:rPr>
          <w:sz w:val="24"/>
          <w:szCs w:val="24"/>
        </w:rPr>
        <w:t>• Industry specific training</w:t>
      </w:r>
    </w:p>
    <w:p w:rsidR="000F2528" w:rsidRPr="0010215E" w:rsidRDefault="000F2528" w:rsidP="0010215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E">
        <w:rPr>
          <w:sz w:val="24"/>
          <w:szCs w:val="24"/>
        </w:rPr>
        <w:t>• On-the-job training</w:t>
      </w:r>
    </w:p>
    <w:p w:rsidR="000F2528" w:rsidRPr="0010215E" w:rsidRDefault="000F2528" w:rsidP="0010215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E">
        <w:rPr>
          <w:sz w:val="24"/>
          <w:szCs w:val="24"/>
        </w:rPr>
        <w:t>• Institutional or classroom job-linked training</w:t>
      </w:r>
    </w:p>
    <w:p w:rsidR="0010215E" w:rsidRDefault="0010215E" w:rsidP="001021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2528" w:rsidRPr="0010215E" w:rsidRDefault="000F2528" w:rsidP="001021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E">
        <w:rPr>
          <w:sz w:val="24"/>
          <w:szCs w:val="24"/>
        </w:rPr>
        <w:t>The entity’s activities do not replace or complete in any way with a federally approved apprenticeship program</w:t>
      </w:r>
      <w:r w:rsidR="0010215E"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>or any other training programs (AS 23.1 5.840(a</w:t>
      </w:r>
      <w:proofErr w:type="gramStart"/>
      <w:r w:rsidRPr="0010215E">
        <w:rPr>
          <w:sz w:val="24"/>
          <w:szCs w:val="24"/>
        </w:rPr>
        <w:t>)(</w:t>
      </w:r>
      <w:proofErr w:type="gramEnd"/>
      <w:r w:rsidRPr="0010215E">
        <w:rPr>
          <w:sz w:val="24"/>
          <w:szCs w:val="24"/>
        </w:rPr>
        <w:t>2)). Grants may not be awarded it the grant would displace</w:t>
      </w:r>
      <w:r w:rsidR="0010215E"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>money available through existing private technical and vocational educational education programs (AS</w:t>
      </w:r>
      <w:r w:rsidR="0010215E"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>23.15.840 (h)).</w:t>
      </w:r>
    </w:p>
    <w:p w:rsidR="0010215E" w:rsidRDefault="0010215E" w:rsidP="001021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2528" w:rsidRPr="0010215E" w:rsidRDefault="000F2528" w:rsidP="0010215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215E">
        <w:rPr>
          <w:sz w:val="18"/>
          <w:szCs w:val="18"/>
        </w:rPr>
        <w:t>*The above information sheet obtained from the Department of Labor and Workforce Development Website</w:t>
      </w:r>
    </w:p>
    <w:sectPr w:rsidR="000F2528" w:rsidRPr="00102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57"/>
    <w:rsid w:val="000F2528"/>
    <w:rsid w:val="0010215E"/>
    <w:rsid w:val="00131C94"/>
    <w:rsid w:val="00747557"/>
    <w:rsid w:val="00801A29"/>
    <w:rsid w:val="0089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2014-02-05T06:15:00Z</cp:lastPrinted>
  <dcterms:created xsi:type="dcterms:W3CDTF">2014-02-05T06:21:00Z</dcterms:created>
  <dcterms:modified xsi:type="dcterms:W3CDTF">2014-02-05T06:22:00Z</dcterms:modified>
</cp:coreProperties>
</file>