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C2F" w:rsidRDefault="002A6C2F" w:rsidP="002A6C2F">
      <w:pPr>
        <w:spacing w:after="225" w:line="240" w:lineRule="auto"/>
        <w:outlineLvl w:val="0"/>
        <w:rPr>
          <w:rFonts w:ascii="Georgia" w:eastAsia="Times New Roman" w:hAnsi="Georgia" w:cs="Arial"/>
          <w:color w:val="880000"/>
          <w:kern w:val="36"/>
          <w:sz w:val="36"/>
          <w:szCs w:val="36"/>
          <w:u w:val="single"/>
        </w:rPr>
      </w:pPr>
    </w:p>
    <w:p w:rsidR="002A6C2F" w:rsidRDefault="002A6C2F" w:rsidP="002A6C2F">
      <w:pPr>
        <w:spacing w:after="225" w:line="240" w:lineRule="auto"/>
        <w:outlineLvl w:val="0"/>
        <w:rPr>
          <w:rFonts w:ascii="Georgia" w:eastAsia="Times New Roman" w:hAnsi="Georgia" w:cs="Arial"/>
          <w:color w:val="880000"/>
          <w:kern w:val="36"/>
          <w:sz w:val="36"/>
          <w:szCs w:val="36"/>
          <w:u w:val="single"/>
        </w:rPr>
      </w:pPr>
      <w:r>
        <w:rPr>
          <w:rFonts w:ascii="Georgia" w:eastAsia="Times New Roman" w:hAnsi="Georgia" w:cs="Arial"/>
          <w:color w:val="880000"/>
          <w:kern w:val="36"/>
          <w:sz w:val="36"/>
          <w:szCs w:val="36"/>
          <w:u w:val="single"/>
        </w:rPr>
        <w:t xml:space="preserve">White House </w:t>
      </w:r>
      <w:r w:rsidRPr="00B3628E">
        <w:rPr>
          <w:rFonts w:ascii="Georgia" w:eastAsia="Times New Roman" w:hAnsi="Georgia" w:cs="Arial"/>
          <w:color w:val="880000"/>
          <w:kern w:val="36"/>
          <w:sz w:val="36"/>
          <w:szCs w:val="36"/>
          <w:u w:val="single"/>
        </w:rPr>
        <w:t>Interagency Ocean Policy Task Force</w:t>
      </w:r>
    </w:p>
    <w:p w:rsidR="00014760" w:rsidRPr="00014760" w:rsidRDefault="00014760" w:rsidP="00014760">
      <w:pPr>
        <w:spacing w:after="300" w:line="240" w:lineRule="auto"/>
        <w:rPr>
          <w:rFonts w:ascii="Arial" w:eastAsia="Times New Roman" w:hAnsi="Arial" w:cs="Arial"/>
          <w:color w:val="333333"/>
        </w:rPr>
      </w:pPr>
      <w:r w:rsidRPr="00014760">
        <w:rPr>
          <w:rFonts w:ascii="Arial" w:eastAsia="Times New Roman" w:hAnsi="Arial" w:cs="Arial"/>
          <w:color w:val="333333"/>
        </w:rPr>
        <w:t xml:space="preserve">In 2009, the White House Council on Environmental Quality (CEQ), the Office of Science and Technology Policy (OSTP), and the National Oceanic and Atmospheric Administration (NOAA) initiated the Interagency Climate Change Adaptation Task Force, which includes representatives from more than 20 Federal Agencies.  When the President signed the </w:t>
      </w:r>
      <w:hyperlink r:id="rId7" w:history="1">
        <w:r w:rsidRPr="00014760">
          <w:rPr>
            <w:rFonts w:ascii="Arial" w:eastAsia="Times New Roman" w:hAnsi="Arial" w:cs="Arial"/>
            <w:color w:val="336699"/>
            <w:u w:val="single"/>
          </w:rPr>
          <w:t>Executive Order on Federal Leadership in Environmental, Energy, and Economic Performance</w:t>
        </w:r>
      </w:hyperlink>
      <w:r w:rsidRPr="00014760">
        <w:rPr>
          <w:rFonts w:ascii="Arial" w:eastAsia="Times New Roman" w:hAnsi="Arial" w:cs="Arial"/>
          <w:color w:val="333333"/>
        </w:rPr>
        <w:t>, on October 5, 2009, he called on the Task Force to develop, within one year, Federal recommendations for adapting to climate change impacts both domestically and internationally.</w:t>
      </w:r>
    </w:p>
    <w:p w:rsidR="00014760" w:rsidRPr="00014760" w:rsidRDefault="00014760" w:rsidP="00014760">
      <w:pPr>
        <w:spacing w:before="300" w:after="75" w:line="240" w:lineRule="auto"/>
        <w:outlineLvl w:val="1"/>
        <w:rPr>
          <w:rFonts w:ascii="Georgia" w:eastAsia="Times New Roman" w:hAnsi="Georgia" w:cs="Arial"/>
          <w:color w:val="000000"/>
          <w:spacing w:val="7"/>
        </w:rPr>
      </w:pPr>
      <w:r w:rsidRPr="00014760">
        <w:rPr>
          <w:rFonts w:ascii="Georgia" w:eastAsia="Times New Roman" w:hAnsi="Georgia" w:cs="Arial"/>
          <w:color w:val="000000"/>
          <w:spacing w:val="7"/>
        </w:rPr>
        <w:t>Interim Progress Report</w:t>
      </w:r>
    </w:p>
    <w:p w:rsidR="00014760" w:rsidRPr="00014760" w:rsidRDefault="00014760" w:rsidP="00014760">
      <w:pPr>
        <w:spacing w:after="300" w:line="240" w:lineRule="auto"/>
        <w:rPr>
          <w:rFonts w:ascii="Arial" w:eastAsia="Times New Roman" w:hAnsi="Arial" w:cs="Arial"/>
          <w:color w:val="333333"/>
        </w:rPr>
      </w:pPr>
      <w:r w:rsidRPr="00014760">
        <w:rPr>
          <w:rFonts w:ascii="Arial" w:eastAsia="Times New Roman" w:hAnsi="Arial" w:cs="Arial"/>
          <w:color w:val="333333"/>
        </w:rPr>
        <w:t xml:space="preserve">On March 16, 2010, the Task Force </w:t>
      </w:r>
      <w:hyperlink r:id="rId8" w:history="1">
        <w:r w:rsidRPr="00014760">
          <w:rPr>
            <w:rFonts w:ascii="Arial" w:eastAsia="Times New Roman" w:hAnsi="Arial" w:cs="Arial"/>
            <w:color w:val="336699"/>
            <w:u w:val="single"/>
          </w:rPr>
          <w:t>released an Interim Progress Report</w:t>
        </w:r>
      </w:hyperlink>
      <w:r w:rsidRPr="00014760">
        <w:rPr>
          <w:rFonts w:ascii="Arial" w:eastAsia="Times New Roman" w:hAnsi="Arial" w:cs="Arial"/>
          <w:color w:val="333333"/>
        </w:rPr>
        <w:t>  which outlines the Task Force’s progress to date and recommends key components to include in a national strategy on climate change adaptation.  These six components include:</w:t>
      </w:r>
    </w:p>
    <w:p w:rsidR="00014760" w:rsidRPr="00014760" w:rsidRDefault="00014760" w:rsidP="00014760">
      <w:pPr>
        <w:numPr>
          <w:ilvl w:val="0"/>
          <w:numId w:val="7"/>
        </w:numPr>
        <w:spacing w:after="0" w:line="240" w:lineRule="auto"/>
        <w:ind w:left="270"/>
        <w:rPr>
          <w:rFonts w:ascii="Arial" w:eastAsia="Times New Roman" w:hAnsi="Arial" w:cs="Arial"/>
          <w:color w:val="333333"/>
        </w:rPr>
      </w:pPr>
      <w:r w:rsidRPr="00014760">
        <w:rPr>
          <w:rFonts w:ascii="Arial" w:eastAsia="Times New Roman" w:hAnsi="Arial" w:cs="Arial"/>
          <w:color w:val="333333"/>
        </w:rPr>
        <w:t>Integration of Science into Adaptation Decisions and Policy </w:t>
      </w:r>
    </w:p>
    <w:p w:rsidR="00014760" w:rsidRPr="00014760" w:rsidRDefault="00014760" w:rsidP="00014760">
      <w:pPr>
        <w:numPr>
          <w:ilvl w:val="0"/>
          <w:numId w:val="7"/>
        </w:numPr>
        <w:spacing w:after="0" w:line="240" w:lineRule="auto"/>
        <w:ind w:left="270"/>
        <w:rPr>
          <w:rFonts w:ascii="Arial" w:eastAsia="Times New Roman" w:hAnsi="Arial" w:cs="Arial"/>
          <w:color w:val="333333"/>
        </w:rPr>
      </w:pPr>
      <w:r w:rsidRPr="00014760">
        <w:rPr>
          <w:rFonts w:ascii="Arial" w:eastAsia="Times New Roman" w:hAnsi="Arial" w:cs="Arial"/>
          <w:color w:val="333333"/>
        </w:rPr>
        <w:t>Communications and Capacity-building</w:t>
      </w:r>
    </w:p>
    <w:p w:rsidR="00014760" w:rsidRPr="00014760" w:rsidRDefault="00014760" w:rsidP="00014760">
      <w:pPr>
        <w:numPr>
          <w:ilvl w:val="0"/>
          <w:numId w:val="7"/>
        </w:numPr>
        <w:spacing w:after="0" w:line="240" w:lineRule="auto"/>
        <w:ind w:left="270"/>
        <w:rPr>
          <w:rFonts w:ascii="Arial" w:eastAsia="Times New Roman" w:hAnsi="Arial" w:cs="Arial"/>
          <w:color w:val="333333"/>
        </w:rPr>
      </w:pPr>
      <w:r w:rsidRPr="00014760">
        <w:rPr>
          <w:rFonts w:ascii="Arial" w:eastAsia="Times New Roman" w:hAnsi="Arial" w:cs="Arial"/>
          <w:color w:val="333333"/>
        </w:rPr>
        <w:t>Coordination and Collaboration</w:t>
      </w:r>
    </w:p>
    <w:p w:rsidR="00014760" w:rsidRPr="00014760" w:rsidRDefault="00014760" w:rsidP="00014760">
      <w:pPr>
        <w:numPr>
          <w:ilvl w:val="0"/>
          <w:numId w:val="7"/>
        </w:numPr>
        <w:spacing w:after="0" w:line="240" w:lineRule="auto"/>
        <w:ind w:left="270"/>
        <w:rPr>
          <w:rFonts w:ascii="Arial" w:eastAsia="Times New Roman" w:hAnsi="Arial" w:cs="Arial"/>
          <w:color w:val="333333"/>
        </w:rPr>
      </w:pPr>
      <w:r w:rsidRPr="00014760">
        <w:rPr>
          <w:rFonts w:ascii="Arial" w:eastAsia="Times New Roman" w:hAnsi="Arial" w:cs="Arial"/>
          <w:color w:val="333333"/>
        </w:rPr>
        <w:t>Prioritization</w:t>
      </w:r>
    </w:p>
    <w:p w:rsidR="00014760" w:rsidRPr="00014760" w:rsidRDefault="00014760" w:rsidP="00014760">
      <w:pPr>
        <w:numPr>
          <w:ilvl w:val="0"/>
          <w:numId w:val="7"/>
        </w:numPr>
        <w:spacing w:after="0" w:line="240" w:lineRule="auto"/>
        <w:ind w:left="270"/>
        <w:rPr>
          <w:rFonts w:ascii="Arial" w:eastAsia="Times New Roman" w:hAnsi="Arial" w:cs="Arial"/>
          <w:color w:val="333333"/>
        </w:rPr>
      </w:pPr>
      <w:r w:rsidRPr="00014760">
        <w:rPr>
          <w:rFonts w:ascii="Arial" w:eastAsia="Times New Roman" w:hAnsi="Arial" w:cs="Arial"/>
          <w:color w:val="333333"/>
        </w:rPr>
        <w:t>A Flexible Framework for Agencies</w:t>
      </w:r>
    </w:p>
    <w:p w:rsidR="00014760" w:rsidRPr="00014760" w:rsidRDefault="00014760" w:rsidP="00014760">
      <w:pPr>
        <w:numPr>
          <w:ilvl w:val="0"/>
          <w:numId w:val="7"/>
        </w:numPr>
        <w:spacing w:after="0" w:line="240" w:lineRule="auto"/>
        <w:ind w:left="270"/>
        <w:rPr>
          <w:rFonts w:ascii="Arial" w:eastAsia="Times New Roman" w:hAnsi="Arial" w:cs="Arial"/>
          <w:color w:val="333333"/>
        </w:rPr>
      </w:pPr>
      <w:r w:rsidRPr="00014760">
        <w:rPr>
          <w:rFonts w:ascii="Arial" w:eastAsia="Times New Roman" w:hAnsi="Arial" w:cs="Arial"/>
          <w:color w:val="333333"/>
        </w:rPr>
        <w:t>Evaluation</w:t>
      </w:r>
    </w:p>
    <w:p w:rsidR="00014760" w:rsidRPr="00014760" w:rsidRDefault="00014760" w:rsidP="00014760">
      <w:pPr>
        <w:spacing w:after="300" w:line="240" w:lineRule="auto"/>
        <w:rPr>
          <w:rFonts w:ascii="Arial" w:eastAsia="Times New Roman" w:hAnsi="Arial" w:cs="Arial"/>
          <w:color w:val="333333"/>
        </w:rPr>
      </w:pPr>
      <w:r w:rsidRPr="00014760">
        <w:rPr>
          <w:rFonts w:ascii="Arial" w:eastAsia="Times New Roman" w:hAnsi="Arial" w:cs="Arial"/>
          <w:color w:val="333333"/>
        </w:rPr>
        <w:t xml:space="preserve">The Interim Progress Report is available for 60 days of public comment.  </w:t>
      </w:r>
      <w:hyperlink r:id="rId9" w:history="1">
        <w:r w:rsidRPr="00014760">
          <w:rPr>
            <w:rFonts w:ascii="Arial" w:eastAsia="Times New Roman" w:hAnsi="Arial" w:cs="Arial"/>
            <w:color w:val="336699"/>
            <w:u w:val="single"/>
          </w:rPr>
          <w:t>Submit your comment here</w:t>
        </w:r>
      </w:hyperlink>
      <w:r w:rsidRPr="00014760">
        <w:rPr>
          <w:rFonts w:ascii="Arial" w:eastAsia="Times New Roman" w:hAnsi="Arial" w:cs="Arial"/>
          <w:color w:val="333333"/>
        </w:rPr>
        <w:t>.</w:t>
      </w:r>
    </w:p>
    <w:p w:rsidR="00014760" w:rsidRPr="00014760" w:rsidRDefault="00014760" w:rsidP="00014760">
      <w:pPr>
        <w:spacing w:before="300" w:after="75" w:line="240" w:lineRule="auto"/>
        <w:outlineLvl w:val="1"/>
        <w:rPr>
          <w:rFonts w:ascii="Georgia" w:eastAsia="Times New Roman" w:hAnsi="Georgia" w:cs="Arial"/>
          <w:color w:val="000000"/>
          <w:spacing w:val="7"/>
        </w:rPr>
      </w:pPr>
      <w:r w:rsidRPr="00014760">
        <w:rPr>
          <w:rFonts w:ascii="Georgia" w:eastAsia="Times New Roman" w:hAnsi="Georgia" w:cs="Arial"/>
          <w:color w:val="000000"/>
          <w:spacing w:val="7"/>
        </w:rPr>
        <w:t>Workgroups</w:t>
      </w:r>
    </w:p>
    <w:p w:rsidR="00014760" w:rsidRPr="00014760" w:rsidRDefault="00014760" w:rsidP="00014760">
      <w:pPr>
        <w:spacing w:after="300" w:line="240" w:lineRule="auto"/>
        <w:rPr>
          <w:rFonts w:ascii="Arial" w:eastAsia="Times New Roman" w:hAnsi="Arial" w:cs="Arial"/>
          <w:color w:val="333333"/>
        </w:rPr>
      </w:pPr>
      <w:r w:rsidRPr="00014760">
        <w:rPr>
          <w:rFonts w:ascii="Arial" w:eastAsia="Times New Roman" w:hAnsi="Arial" w:cs="Arial"/>
          <w:color w:val="333333"/>
        </w:rPr>
        <w:t>The Interagency Climate Change Adaptation Task Force formed workgroups to consider the capabilities of the Federal Government to respond to the impacts of climate change on various critical sectors, institutions, and agency mission responsibilities.  Five initial workgroups began by reviewing existing policies, operations, procedures, and other tools that affect the Federal Government’s response, and will suggest options for improving the government’s capacity for adaptation to climate change.  The five initial workgroups are focused on the following topics:</w:t>
      </w:r>
    </w:p>
    <w:p w:rsidR="00014760" w:rsidRPr="00014760" w:rsidRDefault="00014760" w:rsidP="00014760">
      <w:pPr>
        <w:numPr>
          <w:ilvl w:val="0"/>
          <w:numId w:val="8"/>
        </w:numPr>
        <w:spacing w:after="0" w:line="240" w:lineRule="auto"/>
        <w:ind w:left="0"/>
        <w:rPr>
          <w:rFonts w:ascii="Arial" w:eastAsia="Times New Roman" w:hAnsi="Arial" w:cs="Arial"/>
          <w:color w:val="333333"/>
        </w:rPr>
      </w:pPr>
      <w:r w:rsidRPr="00014760">
        <w:rPr>
          <w:rFonts w:ascii="Arial" w:eastAsia="Times New Roman" w:hAnsi="Arial" w:cs="Arial"/>
          <w:b/>
          <w:bCs/>
          <w:color w:val="333333"/>
        </w:rPr>
        <w:t>Agency Adaptation</w:t>
      </w:r>
      <w:r w:rsidRPr="00014760">
        <w:rPr>
          <w:rFonts w:ascii="Arial" w:eastAsia="Times New Roman" w:hAnsi="Arial" w:cs="Arial"/>
          <w:color w:val="333333"/>
        </w:rPr>
        <w:t>: Develop recommendations on how agencies should plan and implement adaptation</w:t>
      </w:r>
    </w:p>
    <w:p w:rsidR="00014760" w:rsidRPr="00014760" w:rsidRDefault="00014760" w:rsidP="00014760">
      <w:pPr>
        <w:numPr>
          <w:ilvl w:val="0"/>
          <w:numId w:val="8"/>
        </w:numPr>
        <w:spacing w:after="0" w:line="240" w:lineRule="auto"/>
        <w:ind w:left="0"/>
        <w:rPr>
          <w:rFonts w:ascii="Arial" w:eastAsia="Times New Roman" w:hAnsi="Arial" w:cs="Arial"/>
          <w:color w:val="333333"/>
        </w:rPr>
      </w:pPr>
      <w:r w:rsidRPr="00014760">
        <w:rPr>
          <w:rFonts w:ascii="Arial" w:eastAsia="Times New Roman" w:hAnsi="Arial" w:cs="Arial"/>
          <w:b/>
          <w:bCs/>
          <w:color w:val="333333"/>
        </w:rPr>
        <w:t>Science Inputs to Policy</w:t>
      </w:r>
      <w:r w:rsidRPr="00014760">
        <w:rPr>
          <w:rFonts w:ascii="Arial" w:eastAsia="Times New Roman" w:hAnsi="Arial" w:cs="Arial"/>
          <w:color w:val="333333"/>
        </w:rPr>
        <w:t>: Develop recommendations to couple the production of scientific and technical support to adaptation planning, prioritization, and resilience building within the USG, in the US, and internationally</w:t>
      </w:r>
    </w:p>
    <w:p w:rsidR="00014760" w:rsidRPr="00014760" w:rsidRDefault="00014760" w:rsidP="00014760">
      <w:pPr>
        <w:numPr>
          <w:ilvl w:val="0"/>
          <w:numId w:val="8"/>
        </w:numPr>
        <w:spacing w:after="0" w:line="240" w:lineRule="auto"/>
        <w:ind w:left="0"/>
        <w:rPr>
          <w:rFonts w:ascii="Arial" w:eastAsia="Times New Roman" w:hAnsi="Arial" w:cs="Arial"/>
          <w:color w:val="333333"/>
        </w:rPr>
      </w:pPr>
      <w:r w:rsidRPr="00014760">
        <w:rPr>
          <w:rFonts w:ascii="Arial" w:eastAsia="Times New Roman" w:hAnsi="Arial" w:cs="Arial"/>
          <w:b/>
          <w:bCs/>
          <w:color w:val="333333"/>
        </w:rPr>
        <w:t>Insurance</w:t>
      </w:r>
      <w:r w:rsidRPr="00014760">
        <w:rPr>
          <w:rFonts w:ascii="Arial" w:eastAsia="Times New Roman" w:hAnsi="Arial" w:cs="Arial"/>
          <w:color w:val="333333"/>
        </w:rPr>
        <w:t>: Develop recommendations on opportunities for the United States Government to support insurance and adaptation issues</w:t>
      </w:r>
    </w:p>
    <w:p w:rsidR="00014760" w:rsidRPr="00014760" w:rsidRDefault="00014760" w:rsidP="00014760">
      <w:pPr>
        <w:numPr>
          <w:ilvl w:val="0"/>
          <w:numId w:val="8"/>
        </w:numPr>
        <w:spacing w:after="0" w:line="240" w:lineRule="auto"/>
        <w:ind w:left="0"/>
        <w:rPr>
          <w:rFonts w:ascii="Arial" w:eastAsia="Times New Roman" w:hAnsi="Arial" w:cs="Arial"/>
          <w:color w:val="333333"/>
        </w:rPr>
      </w:pPr>
      <w:r w:rsidRPr="00014760">
        <w:rPr>
          <w:rFonts w:ascii="Arial" w:eastAsia="Times New Roman" w:hAnsi="Arial" w:cs="Arial"/>
          <w:b/>
          <w:bCs/>
          <w:color w:val="333333"/>
        </w:rPr>
        <w:t>Water Resources Adaptation</w:t>
      </w:r>
      <w:r w:rsidRPr="00014760">
        <w:rPr>
          <w:rFonts w:ascii="Arial" w:eastAsia="Times New Roman" w:hAnsi="Arial" w:cs="Arial"/>
          <w:color w:val="333333"/>
        </w:rPr>
        <w:t>: Develop recommendations on how Federal water management agencies should plan and implement adaptation actions related to climate impacts on water resources</w:t>
      </w:r>
    </w:p>
    <w:p w:rsidR="00014760" w:rsidRPr="00014760" w:rsidRDefault="00014760" w:rsidP="00014760">
      <w:pPr>
        <w:numPr>
          <w:ilvl w:val="0"/>
          <w:numId w:val="8"/>
        </w:numPr>
        <w:spacing w:after="0" w:line="240" w:lineRule="auto"/>
        <w:ind w:left="0"/>
        <w:rPr>
          <w:rFonts w:ascii="Arial" w:eastAsia="Times New Roman" w:hAnsi="Arial" w:cs="Arial"/>
          <w:color w:val="333333"/>
        </w:rPr>
      </w:pPr>
      <w:r w:rsidRPr="00014760">
        <w:rPr>
          <w:rFonts w:ascii="Arial" w:eastAsia="Times New Roman" w:hAnsi="Arial" w:cs="Arial"/>
          <w:b/>
          <w:bCs/>
          <w:color w:val="333333"/>
        </w:rPr>
        <w:t>International Resilience</w:t>
      </w:r>
      <w:r w:rsidRPr="00014760">
        <w:rPr>
          <w:rFonts w:ascii="Arial" w:eastAsia="Times New Roman" w:hAnsi="Arial" w:cs="Arial"/>
          <w:color w:val="333333"/>
        </w:rPr>
        <w:t>: Develop recommendations on opportunities for the United States Government to support and lead international adaptation efforts</w:t>
      </w:r>
    </w:p>
    <w:p w:rsidR="00014760" w:rsidRPr="00014760" w:rsidRDefault="00014760" w:rsidP="00014760">
      <w:pPr>
        <w:spacing w:after="300" w:line="240" w:lineRule="auto"/>
        <w:rPr>
          <w:rFonts w:ascii="Arial" w:eastAsia="Times New Roman" w:hAnsi="Arial" w:cs="Arial"/>
          <w:color w:val="333333"/>
        </w:rPr>
      </w:pPr>
      <w:r w:rsidRPr="00014760">
        <w:rPr>
          <w:rFonts w:ascii="Arial" w:eastAsia="Times New Roman" w:hAnsi="Arial" w:cs="Arial"/>
          <w:color w:val="333333"/>
        </w:rPr>
        <w:t>These workgroups have defined their scope and end products, and have begun initial analysis.  Most workgroups have used stakeholder listening sessions to solicit feedback from various government and regional actors on adaptation issues within their respective issue area.</w:t>
      </w:r>
    </w:p>
    <w:p w:rsidR="00014760" w:rsidRPr="00014760" w:rsidRDefault="00014760" w:rsidP="00014760">
      <w:pPr>
        <w:spacing w:before="300" w:after="75" w:line="240" w:lineRule="auto"/>
        <w:outlineLvl w:val="1"/>
        <w:rPr>
          <w:rFonts w:ascii="Georgia" w:eastAsia="Times New Roman" w:hAnsi="Georgia" w:cs="Arial"/>
          <w:color w:val="000000"/>
          <w:spacing w:val="7"/>
        </w:rPr>
      </w:pPr>
      <w:r w:rsidRPr="00014760">
        <w:rPr>
          <w:rFonts w:ascii="Georgia" w:eastAsia="Times New Roman" w:hAnsi="Georgia" w:cs="Arial"/>
          <w:color w:val="000000"/>
          <w:spacing w:val="7"/>
        </w:rPr>
        <w:t>Listening Sessions</w:t>
      </w:r>
    </w:p>
    <w:p w:rsidR="00014760" w:rsidRPr="00014760" w:rsidRDefault="00014760" w:rsidP="00014760">
      <w:pPr>
        <w:spacing w:after="300" w:line="240" w:lineRule="auto"/>
        <w:rPr>
          <w:rFonts w:ascii="Arial" w:eastAsia="Times New Roman" w:hAnsi="Arial" w:cs="Arial"/>
          <w:color w:val="333333"/>
        </w:rPr>
      </w:pPr>
      <w:r w:rsidRPr="00014760">
        <w:rPr>
          <w:rFonts w:ascii="Arial" w:eastAsia="Times New Roman" w:hAnsi="Arial" w:cs="Arial"/>
          <w:color w:val="333333"/>
        </w:rPr>
        <w:t>The five initial Interagency Climate Change Adaptation Task Force workgroups hosted twenty listening sessions with key stakeholders and experts.  The listening sessions were designed to engage the expertise and recommendations of external organizations into the workgroup deliberations early in this review process. </w:t>
      </w:r>
    </w:p>
    <w:p w:rsidR="00014760" w:rsidRPr="00014760" w:rsidRDefault="00014760" w:rsidP="00014760">
      <w:pPr>
        <w:spacing w:before="300" w:after="75" w:line="240" w:lineRule="auto"/>
        <w:outlineLvl w:val="1"/>
        <w:rPr>
          <w:rFonts w:ascii="Georgia" w:eastAsia="Times New Roman" w:hAnsi="Georgia" w:cs="Arial"/>
          <w:color w:val="000000"/>
          <w:spacing w:val="7"/>
        </w:rPr>
      </w:pPr>
      <w:r w:rsidRPr="00014760">
        <w:rPr>
          <w:rFonts w:ascii="Georgia" w:eastAsia="Times New Roman" w:hAnsi="Georgia" w:cs="Arial"/>
          <w:color w:val="000000"/>
          <w:spacing w:val="7"/>
        </w:rPr>
        <w:lastRenderedPageBreak/>
        <w:t>Final Product</w:t>
      </w:r>
    </w:p>
    <w:p w:rsidR="0091352C" w:rsidRPr="00014760" w:rsidRDefault="00014760" w:rsidP="00014760">
      <w:pPr>
        <w:spacing w:after="300" w:line="240" w:lineRule="auto"/>
        <w:rPr>
          <w:rFonts w:ascii="Arial" w:eastAsia="Times New Roman" w:hAnsi="Arial" w:cs="Arial"/>
          <w:color w:val="333333"/>
        </w:rPr>
      </w:pPr>
      <w:r w:rsidRPr="00014760">
        <w:rPr>
          <w:rFonts w:ascii="Arial" w:eastAsia="Times New Roman" w:hAnsi="Arial" w:cs="Arial"/>
          <w:color w:val="333333"/>
        </w:rPr>
        <w:t>In October 2010, the Task Force will report to the President on the development of domestic and international dimensions of a U.S. approach to climate change adaptation and what Federal Agencies are doing to support this effort. The Task Force also will recommend additional aspects to consider in the development of a comprehensive national strategy.</w:t>
      </w:r>
    </w:p>
    <w:sectPr w:rsidR="0091352C" w:rsidRPr="00014760" w:rsidSect="00014760">
      <w:footerReference w:type="default" r:id="rId10"/>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CC8" w:rsidRDefault="003A6CC8" w:rsidP="002A6C2F">
      <w:pPr>
        <w:spacing w:after="0" w:line="240" w:lineRule="auto"/>
      </w:pPr>
      <w:r>
        <w:separator/>
      </w:r>
    </w:p>
  </w:endnote>
  <w:endnote w:type="continuationSeparator" w:id="0">
    <w:p w:rsidR="003A6CC8" w:rsidRDefault="003A6CC8" w:rsidP="002A6C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C2F" w:rsidRDefault="002A6C2F">
    <w:pPr>
      <w:pStyle w:val="Footer"/>
      <w:pBdr>
        <w:top w:val="thinThickSmallGap" w:sz="24" w:space="1" w:color="622423" w:themeColor="accent2" w:themeShade="7F"/>
      </w:pBdr>
      <w:rPr>
        <w:rFonts w:asciiTheme="majorHAnsi" w:hAnsiTheme="majorHAnsi"/>
      </w:rPr>
    </w:pPr>
    <w:r>
      <w:rPr>
        <w:rFonts w:asciiTheme="majorHAnsi" w:hAnsiTheme="majorHAnsi"/>
      </w:rPr>
      <w:t>Distributed by Representative Joule, District 40</w:t>
    </w:r>
  </w:p>
  <w:p w:rsidR="002A6C2F" w:rsidRDefault="002A6C2F">
    <w:pPr>
      <w:pStyle w:val="Footer"/>
      <w:pBdr>
        <w:top w:val="thinThickSmallGap" w:sz="24" w:space="1" w:color="622423" w:themeColor="accent2" w:themeShade="7F"/>
      </w:pBdr>
      <w:rPr>
        <w:rFonts w:asciiTheme="majorHAnsi" w:hAnsiTheme="majorHAnsi"/>
      </w:rPr>
    </w:pPr>
    <w:r>
      <w:rPr>
        <w:rFonts w:asciiTheme="majorHAnsi" w:hAnsiTheme="majorHAnsi"/>
      </w:rPr>
      <w:t xml:space="preserve">Source: </w:t>
    </w:r>
    <w:hyperlink r:id="rId1" w:history="1">
      <w:r w:rsidRPr="00203F1E">
        <w:rPr>
          <w:rStyle w:val="Hyperlink"/>
          <w:rFonts w:asciiTheme="majorHAnsi" w:hAnsiTheme="majorHAnsi"/>
        </w:rPr>
        <w:t>http://www.whitehouse.gov/administration/eop/ceq/initiatives/adaptation</w:t>
      </w:r>
    </w:hyperlink>
    <w:r>
      <w:rPr>
        <w:rFonts w:asciiTheme="majorHAnsi" w:hAnsiTheme="majorHAnsi"/>
      </w:rPr>
      <w:t xml:space="preserve"> </w:t>
    </w:r>
    <w:r>
      <w:rPr>
        <w:rFonts w:asciiTheme="majorHAnsi" w:hAnsiTheme="majorHAnsi"/>
      </w:rPr>
      <w:ptab w:relativeTo="margin" w:alignment="right" w:leader="none"/>
    </w:r>
    <w:r>
      <w:rPr>
        <w:rFonts w:asciiTheme="majorHAnsi" w:hAnsiTheme="majorHAnsi"/>
      </w:rPr>
      <w:t xml:space="preserve">Page </w:t>
    </w:r>
    <w:fldSimple w:instr=" PAGE   \* MERGEFORMAT ">
      <w:r w:rsidRPr="002A6C2F">
        <w:rPr>
          <w:rFonts w:asciiTheme="majorHAnsi" w:hAnsiTheme="majorHAnsi"/>
          <w:noProof/>
        </w:rPr>
        <w:t>1</w:t>
      </w:r>
    </w:fldSimple>
    <w:r>
      <w:t>/2</w:t>
    </w:r>
  </w:p>
  <w:p w:rsidR="002A6C2F" w:rsidRDefault="002A6C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CC8" w:rsidRDefault="003A6CC8" w:rsidP="002A6C2F">
      <w:pPr>
        <w:spacing w:after="0" w:line="240" w:lineRule="auto"/>
      </w:pPr>
      <w:r>
        <w:separator/>
      </w:r>
    </w:p>
  </w:footnote>
  <w:footnote w:type="continuationSeparator" w:id="0">
    <w:p w:rsidR="003A6CC8" w:rsidRDefault="003A6CC8" w:rsidP="002A6C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A5097"/>
    <w:multiLevelType w:val="multilevel"/>
    <w:tmpl w:val="D4020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2927244"/>
    <w:multiLevelType w:val="multilevel"/>
    <w:tmpl w:val="CB3E8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7978BA"/>
    <w:multiLevelType w:val="multilevel"/>
    <w:tmpl w:val="89A85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B206FF9"/>
    <w:multiLevelType w:val="multilevel"/>
    <w:tmpl w:val="E3B41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EFA564B"/>
    <w:multiLevelType w:val="multilevel"/>
    <w:tmpl w:val="7954E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9495E26"/>
    <w:multiLevelType w:val="multilevel"/>
    <w:tmpl w:val="3E18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0ED726B"/>
    <w:multiLevelType w:val="multilevel"/>
    <w:tmpl w:val="4ADAF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81E6DD9"/>
    <w:multiLevelType w:val="multilevel"/>
    <w:tmpl w:val="D35AC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2"/>
  </w:num>
  <w:num w:numId="4">
    <w:abstractNumId w:val="0"/>
  </w:num>
  <w:num w:numId="5">
    <w:abstractNumId w:val="7"/>
  </w:num>
  <w:num w:numId="6">
    <w:abstractNumId w:val="5"/>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14760"/>
    <w:rsid w:val="00014760"/>
    <w:rsid w:val="002A6C2F"/>
    <w:rsid w:val="003A6CC8"/>
    <w:rsid w:val="006C2C6B"/>
    <w:rsid w:val="009135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52C"/>
  </w:style>
  <w:style w:type="paragraph" w:styleId="Heading1">
    <w:name w:val="heading 1"/>
    <w:basedOn w:val="Normal"/>
    <w:link w:val="Heading1Char"/>
    <w:uiPriority w:val="9"/>
    <w:qFormat/>
    <w:rsid w:val="00014760"/>
    <w:pPr>
      <w:spacing w:after="225" w:line="240" w:lineRule="auto"/>
      <w:outlineLvl w:val="0"/>
    </w:pPr>
    <w:rPr>
      <w:rFonts w:ascii="Georgia" w:eastAsia="Times New Roman" w:hAnsi="Georgia" w:cs="Times New Roman"/>
      <w:color w:val="880000"/>
      <w:kern w:val="36"/>
      <w:sz w:val="48"/>
      <w:szCs w:val="48"/>
    </w:rPr>
  </w:style>
  <w:style w:type="paragraph" w:styleId="Heading2">
    <w:name w:val="heading 2"/>
    <w:basedOn w:val="Normal"/>
    <w:link w:val="Heading2Char"/>
    <w:uiPriority w:val="9"/>
    <w:qFormat/>
    <w:rsid w:val="00014760"/>
    <w:pPr>
      <w:spacing w:before="300" w:after="75" w:line="240" w:lineRule="auto"/>
      <w:outlineLvl w:val="1"/>
    </w:pPr>
    <w:rPr>
      <w:rFonts w:ascii="Georgia" w:eastAsia="Times New Roman" w:hAnsi="Georgia" w:cs="Times New Roman"/>
      <w:color w:val="000000"/>
      <w:spacing w:val="7"/>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760"/>
    <w:rPr>
      <w:rFonts w:ascii="Georgia" w:eastAsia="Times New Roman" w:hAnsi="Georgia" w:cs="Times New Roman"/>
      <w:color w:val="880000"/>
      <w:kern w:val="36"/>
      <w:sz w:val="48"/>
      <w:szCs w:val="48"/>
    </w:rPr>
  </w:style>
  <w:style w:type="character" w:customStyle="1" w:styleId="Heading2Char">
    <w:name w:val="Heading 2 Char"/>
    <w:basedOn w:val="DefaultParagraphFont"/>
    <w:link w:val="Heading2"/>
    <w:uiPriority w:val="9"/>
    <w:rsid w:val="00014760"/>
    <w:rPr>
      <w:rFonts w:ascii="Georgia" w:eastAsia="Times New Roman" w:hAnsi="Georgia" w:cs="Times New Roman"/>
      <w:color w:val="000000"/>
      <w:spacing w:val="7"/>
      <w:sz w:val="32"/>
      <w:szCs w:val="32"/>
    </w:rPr>
  </w:style>
  <w:style w:type="character" w:styleId="Hyperlink">
    <w:name w:val="Hyperlink"/>
    <w:basedOn w:val="DefaultParagraphFont"/>
    <w:uiPriority w:val="99"/>
    <w:unhideWhenUsed/>
    <w:rsid w:val="00014760"/>
    <w:rPr>
      <w:strike w:val="0"/>
      <w:dstrike w:val="0"/>
      <w:color w:val="336699"/>
      <w:u w:val="none"/>
      <w:effect w:val="none"/>
    </w:rPr>
  </w:style>
  <w:style w:type="character" w:styleId="Strong">
    <w:name w:val="Strong"/>
    <w:basedOn w:val="DefaultParagraphFont"/>
    <w:uiPriority w:val="22"/>
    <w:qFormat/>
    <w:rsid w:val="00014760"/>
    <w:rPr>
      <w:b/>
      <w:bCs/>
    </w:rPr>
  </w:style>
  <w:style w:type="paragraph" w:styleId="NormalWeb">
    <w:name w:val="Normal (Web)"/>
    <w:basedOn w:val="Normal"/>
    <w:uiPriority w:val="99"/>
    <w:semiHidden/>
    <w:unhideWhenUsed/>
    <w:rsid w:val="00014760"/>
    <w:pPr>
      <w:spacing w:after="300"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01476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1476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1476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14760"/>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0147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760"/>
    <w:rPr>
      <w:rFonts w:ascii="Tahoma" w:hAnsi="Tahoma" w:cs="Tahoma"/>
      <w:sz w:val="16"/>
      <w:szCs w:val="16"/>
    </w:rPr>
  </w:style>
  <w:style w:type="paragraph" w:styleId="Header">
    <w:name w:val="header"/>
    <w:basedOn w:val="Normal"/>
    <w:link w:val="HeaderChar"/>
    <w:uiPriority w:val="99"/>
    <w:semiHidden/>
    <w:unhideWhenUsed/>
    <w:rsid w:val="002A6C2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6C2F"/>
  </w:style>
  <w:style w:type="paragraph" w:styleId="Footer">
    <w:name w:val="footer"/>
    <w:basedOn w:val="Normal"/>
    <w:link w:val="FooterChar"/>
    <w:uiPriority w:val="99"/>
    <w:unhideWhenUsed/>
    <w:rsid w:val="002A6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C2F"/>
  </w:style>
</w:styles>
</file>

<file path=word/webSettings.xml><?xml version="1.0" encoding="utf-8"?>
<w:webSettings xmlns:r="http://schemas.openxmlformats.org/officeDocument/2006/relationships" xmlns:w="http://schemas.openxmlformats.org/wordprocessingml/2006/main">
  <w:divs>
    <w:div w:id="838737272">
      <w:bodyDiv w:val="1"/>
      <w:marLeft w:val="0"/>
      <w:marRight w:val="0"/>
      <w:marTop w:val="0"/>
      <w:marBottom w:val="0"/>
      <w:divBdr>
        <w:top w:val="none" w:sz="0" w:space="0" w:color="auto"/>
        <w:left w:val="none" w:sz="0" w:space="0" w:color="auto"/>
        <w:bottom w:val="none" w:sz="0" w:space="0" w:color="auto"/>
        <w:right w:val="none" w:sz="0" w:space="0" w:color="auto"/>
      </w:divBdr>
      <w:divsChild>
        <w:div w:id="1609313885">
          <w:marLeft w:val="0"/>
          <w:marRight w:val="0"/>
          <w:marTop w:val="0"/>
          <w:marBottom w:val="0"/>
          <w:divBdr>
            <w:top w:val="none" w:sz="0" w:space="0" w:color="auto"/>
            <w:left w:val="none" w:sz="0" w:space="0" w:color="auto"/>
            <w:bottom w:val="none" w:sz="0" w:space="0" w:color="auto"/>
            <w:right w:val="none" w:sz="0" w:space="0" w:color="auto"/>
          </w:divBdr>
          <w:divsChild>
            <w:div w:id="2047560495">
              <w:marLeft w:val="0"/>
              <w:marRight w:val="0"/>
              <w:marTop w:val="0"/>
              <w:marBottom w:val="0"/>
              <w:divBdr>
                <w:top w:val="none" w:sz="0" w:space="0" w:color="auto"/>
                <w:left w:val="none" w:sz="0" w:space="0" w:color="auto"/>
                <w:bottom w:val="none" w:sz="0" w:space="0" w:color="auto"/>
                <w:right w:val="none" w:sz="0" w:space="0" w:color="auto"/>
              </w:divBdr>
              <w:divsChild>
                <w:div w:id="399988763">
                  <w:marLeft w:val="0"/>
                  <w:marRight w:val="0"/>
                  <w:marTop w:val="0"/>
                  <w:marBottom w:val="0"/>
                  <w:divBdr>
                    <w:top w:val="none" w:sz="0" w:space="0" w:color="auto"/>
                    <w:left w:val="none" w:sz="0" w:space="0" w:color="auto"/>
                    <w:bottom w:val="none" w:sz="0" w:space="0" w:color="auto"/>
                    <w:right w:val="none" w:sz="0" w:space="0" w:color="auto"/>
                  </w:divBdr>
                  <w:divsChild>
                    <w:div w:id="1936786233">
                      <w:marLeft w:val="0"/>
                      <w:marRight w:val="0"/>
                      <w:marTop w:val="0"/>
                      <w:marBottom w:val="0"/>
                      <w:divBdr>
                        <w:top w:val="none" w:sz="0" w:space="0" w:color="auto"/>
                        <w:left w:val="none" w:sz="0" w:space="0" w:color="auto"/>
                        <w:bottom w:val="none" w:sz="0" w:space="0" w:color="auto"/>
                        <w:right w:val="none" w:sz="0" w:space="0" w:color="auto"/>
                      </w:divBdr>
                    </w:div>
                    <w:div w:id="478034397">
                      <w:marLeft w:val="0"/>
                      <w:marRight w:val="0"/>
                      <w:marTop w:val="450"/>
                      <w:marBottom w:val="0"/>
                      <w:divBdr>
                        <w:top w:val="none" w:sz="0" w:space="0" w:color="auto"/>
                        <w:left w:val="none" w:sz="0" w:space="0" w:color="auto"/>
                        <w:bottom w:val="none" w:sz="0" w:space="0" w:color="auto"/>
                        <w:right w:val="none" w:sz="0" w:space="0" w:color="auto"/>
                      </w:divBdr>
                    </w:div>
                    <w:div w:id="61567276">
                      <w:marLeft w:val="0"/>
                      <w:marRight w:val="150"/>
                      <w:marTop w:val="450"/>
                      <w:marBottom w:val="0"/>
                      <w:divBdr>
                        <w:top w:val="none" w:sz="0" w:space="0" w:color="auto"/>
                        <w:left w:val="none" w:sz="0" w:space="0" w:color="auto"/>
                        <w:bottom w:val="none" w:sz="0" w:space="0" w:color="auto"/>
                        <w:right w:val="none" w:sz="0" w:space="0" w:color="auto"/>
                      </w:divBdr>
                    </w:div>
                    <w:div w:id="533883749">
                      <w:marLeft w:val="0"/>
                      <w:marRight w:val="0"/>
                      <w:marTop w:val="0"/>
                      <w:marBottom w:val="0"/>
                      <w:divBdr>
                        <w:top w:val="none" w:sz="0" w:space="0" w:color="auto"/>
                        <w:left w:val="none" w:sz="0" w:space="0" w:color="auto"/>
                        <w:bottom w:val="none" w:sz="0" w:space="0" w:color="auto"/>
                        <w:right w:val="none" w:sz="0" w:space="0" w:color="auto"/>
                      </w:divBdr>
                      <w:divsChild>
                        <w:div w:id="1076241463">
                          <w:marLeft w:val="0"/>
                          <w:marRight w:val="0"/>
                          <w:marTop w:val="0"/>
                          <w:marBottom w:val="0"/>
                          <w:divBdr>
                            <w:top w:val="none" w:sz="0" w:space="0" w:color="auto"/>
                            <w:left w:val="none" w:sz="0" w:space="0" w:color="auto"/>
                            <w:bottom w:val="none" w:sz="0" w:space="0" w:color="auto"/>
                            <w:right w:val="none" w:sz="0" w:space="0" w:color="auto"/>
                          </w:divBdr>
                        </w:div>
                        <w:div w:id="1288777761">
                          <w:marLeft w:val="0"/>
                          <w:marRight w:val="0"/>
                          <w:marTop w:val="0"/>
                          <w:marBottom w:val="0"/>
                          <w:divBdr>
                            <w:top w:val="none" w:sz="0" w:space="0" w:color="auto"/>
                            <w:left w:val="none" w:sz="0" w:space="0" w:color="auto"/>
                            <w:bottom w:val="none" w:sz="0" w:space="0" w:color="auto"/>
                            <w:right w:val="none" w:sz="0" w:space="0" w:color="auto"/>
                          </w:divBdr>
                          <w:divsChild>
                            <w:div w:id="492070170">
                              <w:marLeft w:val="0"/>
                              <w:marRight w:val="0"/>
                              <w:marTop w:val="0"/>
                              <w:marBottom w:val="0"/>
                              <w:divBdr>
                                <w:top w:val="none" w:sz="0" w:space="0" w:color="auto"/>
                                <w:left w:val="none" w:sz="0" w:space="0" w:color="auto"/>
                                <w:bottom w:val="none" w:sz="0" w:space="0" w:color="auto"/>
                                <w:right w:val="none" w:sz="0" w:space="0" w:color="auto"/>
                              </w:divBdr>
                            </w:div>
                          </w:divsChild>
                        </w:div>
                        <w:div w:id="1067847350">
                          <w:marLeft w:val="0"/>
                          <w:marRight w:val="0"/>
                          <w:marTop w:val="0"/>
                          <w:marBottom w:val="0"/>
                          <w:divBdr>
                            <w:top w:val="none" w:sz="0" w:space="0" w:color="auto"/>
                            <w:left w:val="none" w:sz="0" w:space="0" w:color="auto"/>
                            <w:bottom w:val="none" w:sz="0" w:space="0" w:color="auto"/>
                            <w:right w:val="none" w:sz="0" w:space="0" w:color="auto"/>
                          </w:divBdr>
                          <w:divsChild>
                            <w:div w:id="2010978451">
                              <w:marLeft w:val="0"/>
                              <w:marRight w:val="0"/>
                              <w:marTop w:val="0"/>
                              <w:marBottom w:val="0"/>
                              <w:divBdr>
                                <w:top w:val="none" w:sz="0" w:space="0" w:color="auto"/>
                                <w:left w:val="none" w:sz="0" w:space="0" w:color="auto"/>
                                <w:bottom w:val="none" w:sz="0" w:space="0" w:color="auto"/>
                                <w:right w:val="none" w:sz="0" w:space="0" w:color="auto"/>
                              </w:divBdr>
                            </w:div>
                          </w:divsChild>
                        </w:div>
                        <w:div w:id="521819675">
                          <w:marLeft w:val="0"/>
                          <w:marRight w:val="0"/>
                          <w:marTop w:val="0"/>
                          <w:marBottom w:val="0"/>
                          <w:divBdr>
                            <w:top w:val="none" w:sz="0" w:space="0" w:color="auto"/>
                            <w:left w:val="none" w:sz="0" w:space="0" w:color="auto"/>
                            <w:bottom w:val="none" w:sz="0" w:space="0" w:color="auto"/>
                            <w:right w:val="none" w:sz="0" w:space="0" w:color="auto"/>
                          </w:divBdr>
                          <w:divsChild>
                            <w:div w:id="1495492616">
                              <w:marLeft w:val="0"/>
                              <w:marRight w:val="0"/>
                              <w:marTop w:val="0"/>
                              <w:marBottom w:val="0"/>
                              <w:divBdr>
                                <w:top w:val="none" w:sz="0" w:space="0" w:color="auto"/>
                                <w:left w:val="none" w:sz="0" w:space="0" w:color="auto"/>
                                <w:bottom w:val="none" w:sz="0" w:space="0" w:color="auto"/>
                                <w:right w:val="none" w:sz="0" w:space="0" w:color="auto"/>
                              </w:divBdr>
                            </w:div>
                          </w:divsChild>
                        </w:div>
                        <w:div w:id="1716536936">
                          <w:marLeft w:val="0"/>
                          <w:marRight w:val="0"/>
                          <w:marTop w:val="0"/>
                          <w:marBottom w:val="0"/>
                          <w:divBdr>
                            <w:top w:val="none" w:sz="0" w:space="0" w:color="auto"/>
                            <w:left w:val="none" w:sz="0" w:space="0" w:color="auto"/>
                            <w:bottom w:val="none" w:sz="0" w:space="0" w:color="auto"/>
                            <w:right w:val="none" w:sz="0" w:space="0" w:color="auto"/>
                          </w:divBdr>
                          <w:divsChild>
                            <w:div w:id="1512261713">
                              <w:marLeft w:val="0"/>
                              <w:marRight w:val="0"/>
                              <w:marTop w:val="0"/>
                              <w:marBottom w:val="0"/>
                              <w:divBdr>
                                <w:top w:val="none" w:sz="0" w:space="0" w:color="auto"/>
                                <w:left w:val="none" w:sz="0" w:space="0" w:color="auto"/>
                                <w:bottom w:val="none" w:sz="0" w:space="0" w:color="auto"/>
                                <w:right w:val="none" w:sz="0" w:space="0" w:color="auto"/>
                              </w:divBdr>
                            </w:div>
                          </w:divsChild>
                        </w:div>
                        <w:div w:id="1616985692">
                          <w:marLeft w:val="0"/>
                          <w:marRight w:val="0"/>
                          <w:marTop w:val="0"/>
                          <w:marBottom w:val="0"/>
                          <w:divBdr>
                            <w:top w:val="none" w:sz="0" w:space="0" w:color="auto"/>
                            <w:left w:val="none" w:sz="0" w:space="0" w:color="auto"/>
                            <w:bottom w:val="none" w:sz="0" w:space="0" w:color="auto"/>
                            <w:right w:val="none" w:sz="0" w:space="0" w:color="auto"/>
                          </w:divBdr>
                          <w:divsChild>
                            <w:div w:id="293147068">
                              <w:marLeft w:val="0"/>
                              <w:marRight w:val="0"/>
                              <w:marTop w:val="0"/>
                              <w:marBottom w:val="0"/>
                              <w:divBdr>
                                <w:top w:val="none" w:sz="0" w:space="0" w:color="auto"/>
                                <w:left w:val="none" w:sz="0" w:space="0" w:color="auto"/>
                                <w:bottom w:val="none" w:sz="0" w:space="0" w:color="auto"/>
                                <w:right w:val="none" w:sz="0" w:space="0" w:color="auto"/>
                              </w:divBdr>
                            </w:div>
                          </w:divsChild>
                        </w:div>
                        <w:div w:id="1496142554">
                          <w:marLeft w:val="0"/>
                          <w:marRight w:val="0"/>
                          <w:marTop w:val="0"/>
                          <w:marBottom w:val="0"/>
                          <w:divBdr>
                            <w:top w:val="none" w:sz="0" w:space="0" w:color="auto"/>
                            <w:left w:val="none" w:sz="0" w:space="0" w:color="auto"/>
                            <w:bottom w:val="none" w:sz="0" w:space="0" w:color="auto"/>
                            <w:right w:val="none" w:sz="0" w:space="0" w:color="auto"/>
                          </w:divBdr>
                          <w:divsChild>
                            <w:div w:id="165001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7034">
                  <w:marLeft w:val="0"/>
                  <w:marRight w:val="0"/>
                  <w:marTop w:val="0"/>
                  <w:marBottom w:val="0"/>
                  <w:divBdr>
                    <w:top w:val="none" w:sz="0" w:space="0" w:color="auto"/>
                    <w:left w:val="none" w:sz="0" w:space="0" w:color="auto"/>
                    <w:bottom w:val="none" w:sz="0" w:space="0" w:color="auto"/>
                    <w:right w:val="none" w:sz="0" w:space="0" w:color="auto"/>
                  </w:divBdr>
                  <w:divsChild>
                    <w:div w:id="1709716601">
                      <w:marLeft w:val="0"/>
                      <w:marRight w:val="0"/>
                      <w:marTop w:val="0"/>
                      <w:marBottom w:val="0"/>
                      <w:divBdr>
                        <w:top w:val="none" w:sz="0" w:space="0" w:color="auto"/>
                        <w:left w:val="none" w:sz="0" w:space="0" w:color="auto"/>
                        <w:bottom w:val="none" w:sz="0" w:space="0" w:color="auto"/>
                        <w:right w:val="none" w:sz="0" w:space="0" w:color="auto"/>
                      </w:divBdr>
                      <w:divsChild>
                        <w:div w:id="1714231782">
                          <w:marLeft w:val="0"/>
                          <w:marRight w:val="0"/>
                          <w:marTop w:val="0"/>
                          <w:marBottom w:val="0"/>
                          <w:divBdr>
                            <w:top w:val="none" w:sz="0" w:space="0" w:color="auto"/>
                            <w:left w:val="none" w:sz="0" w:space="0" w:color="auto"/>
                            <w:bottom w:val="none" w:sz="0" w:space="0" w:color="auto"/>
                            <w:right w:val="none" w:sz="0" w:space="0" w:color="auto"/>
                          </w:divBdr>
                          <w:divsChild>
                            <w:div w:id="1565801165">
                              <w:marLeft w:val="0"/>
                              <w:marRight w:val="0"/>
                              <w:marTop w:val="0"/>
                              <w:marBottom w:val="0"/>
                              <w:divBdr>
                                <w:top w:val="none" w:sz="0" w:space="0" w:color="auto"/>
                                <w:left w:val="none" w:sz="0" w:space="0" w:color="auto"/>
                                <w:bottom w:val="none" w:sz="0" w:space="0" w:color="auto"/>
                                <w:right w:val="none" w:sz="0" w:space="0" w:color="auto"/>
                              </w:divBdr>
                              <w:divsChild>
                                <w:div w:id="998078128">
                                  <w:marLeft w:val="0"/>
                                  <w:marRight w:val="0"/>
                                  <w:marTop w:val="0"/>
                                  <w:marBottom w:val="0"/>
                                  <w:divBdr>
                                    <w:top w:val="none" w:sz="0" w:space="0" w:color="auto"/>
                                    <w:left w:val="none" w:sz="0" w:space="0" w:color="auto"/>
                                    <w:bottom w:val="none" w:sz="0" w:space="0" w:color="auto"/>
                                    <w:right w:val="none" w:sz="0" w:space="0" w:color="auto"/>
                                  </w:divBdr>
                                  <w:divsChild>
                                    <w:div w:id="2000768803">
                                      <w:marLeft w:val="0"/>
                                      <w:marRight w:val="0"/>
                                      <w:marTop w:val="0"/>
                                      <w:marBottom w:val="0"/>
                                      <w:divBdr>
                                        <w:top w:val="none" w:sz="0" w:space="0" w:color="auto"/>
                                        <w:left w:val="none" w:sz="0" w:space="0" w:color="auto"/>
                                        <w:bottom w:val="none" w:sz="0" w:space="0" w:color="auto"/>
                                        <w:right w:val="none" w:sz="0" w:space="0" w:color="auto"/>
                                      </w:divBdr>
                                      <w:divsChild>
                                        <w:div w:id="742946335">
                                          <w:marLeft w:val="0"/>
                                          <w:marRight w:val="0"/>
                                          <w:marTop w:val="0"/>
                                          <w:marBottom w:val="0"/>
                                          <w:divBdr>
                                            <w:top w:val="none" w:sz="0" w:space="0" w:color="auto"/>
                                            <w:left w:val="none" w:sz="0" w:space="0" w:color="auto"/>
                                            <w:bottom w:val="none" w:sz="0" w:space="0" w:color="auto"/>
                                            <w:right w:val="none" w:sz="0" w:space="0" w:color="auto"/>
                                          </w:divBdr>
                                        </w:div>
                                        <w:div w:id="33773434">
                                          <w:marLeft w:val="0"/>
                                          <w:marRight w:val="0"/>
                                          <w:marTop w:val="0"/>
                                          <w:marBottom w:val="0"/>
                                          <w:divBdr>
                                            <w:top w:val="none" w:sz="0" w:space="0" w:color="auto"/>
                                            <w:left w:val="none" w:sz="0" w:space="0" w:color="auto"/>
                                            <w:bottom w:val="none" w:sz="0" w:space="0" w:color="auto"/>
                                            <w:right w:val="none" w:sz="0" w:space="0" w:color="auto"/>
                                          </w:divBdr>
                                          <w:divsChild>
                                            <w:div w:id="2014841263">
                                              <w:marLeft w:val="0"/>
                                              <w:marRight w:val="0"/>
                                              <w:marTop w:val="0"/>
                                              <w:marBottom w:val="0"/>
                                              <w:divBdr>
                                                <w:top w:val="none" w:sz="0" w:space="0" w:color="auto"/>
                                                <w:left w:val="none" w:sz="0" w:space="0" w:color="auto"/>
                                                <w:bottom w:val="none" w:sz="0" w:space="0" w:color="auto"/>
                                                <w:right w:val="none" w:sz="0" w:space="0" w:color="auto"/>
                                              </w:divBdr>
                                              <w:divsChild>
                                                <w:div w:id="1585072216">
                                                  <w:marLeft w:val="0"/>
                                                  <w:marRight w:val="0"/>
                                                  <w:marTop w:val="0"/>
                                                  <w:marBottom w:val="0"/>
                                                  <w:divBdr>
                                                    <w:top w:val="none" w:sz="0" w:space="0" w:color="auto"/>
                                                    <w:left w:val="none" w:sz="0" w:space="0" w:color="auto"/>
                                                    <w:bottom w:val="none" w:sz="0" w:space="0" w:color="auto"/>
                                                    <w:right w:val="none" w:sz="0" w:space="0" w:color="auto"/>
                                                  </w:divBdr>
                                                  <w:divsChild>
                                                    <w:div w:id="1008560025">
                                                      <w:marLeft w:val="0"/>
                                                      <w:marRight w:val="0"/>
                                                      <w:marTop w:val="240"/>
                                                      <w:marBottom w:val="240"/>
                                                      <w:divBdr>
                                                        <w:top w:val="none" w:sz="0" w:space="0" w:color="auto"/>
                                                        <w:left w:val="none" w:sz="0" w:space="0" w:color="auto"/>
                                                        <w:bottom w:val="none" w:sz="0" w:space="0" w:color="auto"/>
                                                        <w:right w:val="none" w:sz="0" w:space="0" w:color="auto"/>
                                                      </w:divBdr>
                                                    </w:div>
                                                    <w:div w:id="15893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03402">
                                      <w:marLeft w:val="0"/>
                                      <w:marRight w:val="0"/>
                                      <w:marTop w:val="0"/>
                                      <w:marBottom w:val="0"/>
                                      <w:divBdr>
                                        <w:top w:val="none" w:sz="0" w:space="0" w:color="auto"/>
                                        <w:left w:val="none" w:sz="0" w:space="0" w:color="auto"/>
                                        <w:bottom w:val="none" w:sz="0" w:space="0" w:color="auto"/>
                                        <w:right w:val="none" w:sz="0" w:space="0" w:color="auto"/>
                                      </w:divBdr>
                                    </w:div>
                                    <w:div w:id="61040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224598">
                          <w:marLeft w:val="0"/>
                          <w:marRight w:val="0"/>
                          <w:marTop w:val="0"/>
                          <w:marBottom w:val="0"/>
                          <w:divBdr>
                            <w:top w:val="none" w:sz="0" w:space="0" w:color="auto"/>
                            <w:left w:val="none" w:sz="0" w:space="0" w:color="auto"/>
                            <w:bottom w:val="none" w:sz="0" w:space="0" w:color="auto"/>
                            <w:right w:val="none" w:sz="0" w:space="0" w:color="auto"/>
                          </w:divBdr>
                          <w:divsChild>
                            <w:div w:id="1808663987">
                              <w:marLeft w:val="0"/>
                              <w:marRight w:val="0"/>
                              <w:marTop w:val="0"/>
                              <w:marBottom w:val="0"/>
                              <w:divBdr>
                                <w:top w:val="none" w:sz="0" w:space="0" w:color="auto"/>
                                <w:left w:val="none" w:sz="0" w:space="0" w:color="auto"/>
                                <w:bottom w:val="none" w:sz="0" w:space="0" w:color="auto"/>
                                <w:right w:val="none" w:sz="0" w:space="0" w:color="auto"/>
                              </w:divBdr>
                              <w:divsChild>
                                <w:div w:id="1723019517">
                                  <w:marLeft w:val="0"/>
                                  <w:marRight w:val="0"/>
                                  <w:marTop w:val="0"/>
                                  <w:marBottom w:val="0"/>
                                  <w:divBdr>
                                    <w:top w:val="none" w:sz="0" w:space="0" w:color="auto"/>
                                    <w:left w:val="none" w:sz="0" w:space="0" w:color="auto"/>
                                    <w:bottom w:val="none" w:sz="0" w:space="0" w:color="auto"/>
                                    <w:right w:val="none" w:sz="0" w:space="0" w:color="auto"/>
                                  </w:divBdr>
                                  <w:divsChild>
                                    <w:div w:id="133071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30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962241">
      <w:bodyDiv w:val="1"/>
      <w:marLeft w:val="0"/>
      <w:marRight w:val="0"/>
      <w:marTop w:val="0"/>
      <w:marBottom w:val="0"/>
      <w:divBdr>
        <w:top w:val="none" w:sz="0" w:space="0" w:color="auto"/>
        <w:left w:val="none" w:sz="0" w:space="0" w:color="auto"/>
        <w:bottom w:val="none" w:sz="0" w:space="0" w:color="auto"/>
        <w:right w:val="none" w:sz="0" w:space="0" w:color="auto"/>
      </w:divBdr>
      <w:divsChild>
        <w:div w:id="251546041">
          <w:marLeft w:val="0"/>
          <w:marRight w:val="0"/>
          <w:marTop w:val="0"/>
          <w:marBottom w:val="0"/>
          <w:divBdr>
            <w:top w:val="none" w:sz="0" w:space="0" w:color="auto"/>
            <w:left w:val="none" w:sz="0" w:space="0" w:color="auto"/>
            <w:bottom w:val="none" w:sz="0" w:space="0" w:color="auto"/>
            <w:right w:val="none" w:sz="0" w:space="0" w:color="auto"/>
          </w:divBdr>
          <w:divsChild>
            <w:div w:id="1541824672">
              <w:marLeft w:val="0"/>
              <w:marRight w:val="0"/>
              <w:marTop w:val="0"/>
              <w:marBottom w:val="0"/>
              <w:divBdr>
                <w:top w:val="none" w:sz="0" w:space="0" w:color="auto"/>
                <w:left w:val="none" w:sz="0" w:space="0" w:color="auto"/>
                <w:bottom w:val="none" w:sz="0" w:space="0" w:color="auto"/>
                <w:right w:val="none" w:sz="0" w:space="0" w:color="auto"/>
              </w:divBdr>
              <w:divsChild>
                <w:div w:id="1197156634">
                  <w:marLeft w:val="0"/>
                  <w:marRight w:val="0"/>
                  <w:marTop w:val="0"/>
                  <w:marBottom w:val="0"/>
                  <w:divBdr>
                    <w:top w:val="none" w:sz="0" w:space="0" w:color="auto"/>
                    <w:left w:val="none" w:sz="0" w:space="0" w:color="auto"/>
                    <w:bottom w:val="none" w:sz="0" w:space="0" w:color="auto"/>
                    <w:right w:val="none" w:sz="0" w:space="0" w:color="auto"/>
                  </w:divBdr>
                  <w:divsChild>
                    <w:div w:id="2099935439">
                      <w:marLeft w:val="0"/>
                      <w:marRight w:val="0"/>
                      <w:marTop w:val="0"/>
                      <w:marBottom w:val="0"/>
                      <w:divBdr>
                        <w:top w:val="none" w:sz="0" w:space="0" w:color="auto"/>
                        <w:left w:val="none" w:sz="0" w:space="0" w:color="auto"/>
                        <w:bottom w:val="none" w:sz="0" w:space="0" w:color="auto"/>
                        <w:right w:val="none" w:sz="0" w:space="0" w:color="auto"/>
                      </w:divBdr>
                      <w:divsChild>
                        <w:div w:id="149961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hitehouse.gov/sites/default/files/microsites/ceq/20100315-interagency-adaptation-progress-report.pdf" TargetMode="External"/><Relationship Id="rId3" Type="http://schemas.openxmlformats.org/officeDocument/2006/relationships/settings" Target="settings.xml"/><Relationship Id="rId7" Type="http://schemas.openxmlformats.org/officeDocument/2006/relationships/hyperlink" Target="http://www.whitehouse.gov/the_press_office/President-Obama-signs-an-Executive-Order-Focused-on-Federal-Leadership-in-Environmental-Energy-and-Economic-Performan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whitehouse.gov/administration/eop/ceq/initiatives/adaptation/submi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whitehouse.gov/administration/eop/ceq/initiatives/adap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589</Words>
  <Characters>3358</Characters>
  <Application>Microsoft Office Word</Application>
  <DocSecurity>0</DocSecurity>
  <Lines>27</Lines>
  <Paragraphs>7</Paragraphs>
  <ScaleCrop>false</ScaleCrop>
  <Company/>
  <LinksUpToDate>false</LinksUpToDate>
  <CharactersWithSpaces>3940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ldpcfaw</dc:creator>
  <cp:keywords/>
  <dc:description/>
  <cp:lastModifiedBy>ldpcfaw</cp:lastModifiedBy>
  <cp:revision>2</cp:revision>
  <cp:lastPrinted>2010-03-26T17:40:00Z</cp:lastPrinted>
  <dcterms:created xsi:type="dcterms:W3CDTF">2010-03-26T17:35:00Z</dcterms:created>
  <dcterms:modified xsi:type="dcterms:W3CDTF">2010-04-02T19:48:00Z</dcterms:modified>
</cp:coreProperties>
</file>