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C5" w:rsidRDefault="00650CC5" w:rsidP="008B5891">
      <w:pPr>
        <w:jc w:val="center"/>
        <w:rPr>
          <w:rFonts w:ascii="Times New Roman" w:hAnsi="Times New Roman"/>
          <w:b/>
          <w:u w:val="single"/>
        </w:rPr>
      </w:pPr>
      <w:r>
        <w:rPr>
          <w:rFonts w:ascii="Times New Roman" w:hAnsi="Times New Roman"/>
          <w:b/>
          <w:u w:val="single"/>
        </w:rPr>
        <w:t>Understanding SESA’s Request to the Legislature</w:t>
      </w:r>
      <w:r w:rsidR="0060783A">
        <w:rPr>
          <w:rFonts w:ascii="Times New Roman" w:hAnsi="Times New Roman"/>
          <w:b/>
          <w:u w:val="single"/>
        </w:rPr>
        <w:t xml:space="preserve"> </w:t>
      </w:r>
    </w:p>
    <w:p w:rsidR="00650CC5" w:rsidRDefault="00107F48" w:rsidP="00650CC5">
      <w:pPr>
        <w:jc w:val="center"/>
        <w:rPr>
          <w:rFonts w:ascii="Times New Roman" w:hAnsi="Times New Roman"/>
          <w:b/>
          <w:u w:val="single"/>
        </w:rPr>
      </w:pPr>
      <w:r>
        <w:rPr>
          <w:rFonts w:ascii="Times New Roman" w:hAnsi="Times New Roman"/>
          <w:b/>
          <w:u w:val="single"/>
        </w:rPr>
        <w:t>For</w:t>
      </w:r>
      <w:r w:rsidR="0060783A">
        <w:rPr>
          <w:rFonts w:ascii="Times New Roman" w:hAnsi="Times New Roman"/>
          <w:b/>
          <w:u w:val="single"/>
        </w:rPr>
        <w:t xml:space="preserve"> </w:t>
      </w:r>
      <w:r w:rsidR="00650CC5">
        <w:rPr>
          <w:rFonts w:ascii="Times New Roman" w:hAnsi="Times New Roman"/>
          <w:b/>
          <w:u w:val="single"/>
        </w:rPr>
        <w:t xml:space="preserve">Increased Funding and </w:t>
      </w:r>
      <w:r w:rsidR="0060783A">
        <w:rPr>
          <w:rFonts w:ascii="Times New Roman" w:hAnsi="Times New Roman"/>
          <w:b/>
          <w:u w:val="single"/>
        </w:rPr>
        <w:t xml:space="preserve">Elimination of Sunset Clause </w:t>
      </w:r>
    </w:p>
    <w:p w:rsidR="008B5891" w:rsidRDefault="008B5891" w:rsidP="00650CC5">
      <w:pPr>
        <w:rPr>
          <w:rFonts w:ascii="Times New Roman" w:hAnsi="Times New Roman"/>
          <w:b/>
          <w:u w:val="single"/>
        </w:rPr>
      </w:pPr>
    </w:p>
    <w:p w:rsidR="008B5891" w:rsidRDefault="008B5891" w:rsidP="008B5891">
      <w:pPr>
        <w:rPr>
          <w:rFonts w:ascii="Times New Roman" w:hAnsi="Times New Roman"/>
        </w:rPr>
      </w:pPr>
      <w:r>
        <w:rPr>
          <w:rFonts w:ascii="Times New Roman" w:hAnsi="Times New Roman"/>
        </w:rPr>
        <w:tab/>
        <w:t xml:space="preserve">The Special Education Service Agency (SESA) was incorporated as </w:t>
      </w:r>
      <w:r w:rsidR="009D02BB">
        <w:rPr>
          <w:rFonts w:ascii="Times New Roman" w:hAnsi="Times New Roman"/>
        </w:rPr>
        <w:t xml:space="preserve">a </w:t>
      </w:r>
      <w:r>
        <w:rPr>
          <w:rFonts w:ascii="Times New Roman" w:hAnsi="Times New Roman"/>
        </w:rPr>
        <w:t xml:space="preserve">501c(3) non-profit agency in 1986. </w:t>
      </w:r>
      <w:r w:rsidR="00867670">
        <w:rPr>
          <w:rFonts w:ascii="Times New Roman" w:hAnsi="Times New Roman"/>
        </w:rPr>
        <w:t xml:space="preserve">Prior to 1986 the agency existed as ARMSI (Alaska Resources for the Moderately and Severely Impaired). </w:t>
      </w:r>
      <w:r w:rsidR="007E65BE">
        <w:rPr>
          <w:rFonts w:ascii="Times New Roman" w:hAnsi="Times New Roman"/>
        </w:rPr>
        <w:t>As an instrumentality of the S</w:t>
      </w:r>
      <w:r>
        <w:rPr>
          <w:rFonts w:ascii="Times New Roman" w:hAnsi="Times New Roman"/>
        </w:rPr>
        <w:t>tate of Alaska SESA operates under a sun</w:t>
      </w:r>
      <w:r w:rsidR="009D02BB">
        <w:rPr>
          <w:rFonts w:ascii="Times New Roman" w:hAnsi="Times New Roman"/>
        </w:rPr>
        <w:t>set clause set to expire June 30, 2013</w:t>
      </w:r>
      <w:r>
        <w:rPr>
          <w:rFonts w:ascii="Times New Roman" w:hAnsi="Times New Roman"/>
        </w:rPr>
        <w:t xml:space="preserve">. </w:t>
      </w:r>
    </w:p>
    <w:p w:rsidR="00867670" w:rsidRDefault="008B5891" w:rsidP="008B5891">
      <w:pPr>
        <w:rPr>
          <w:rFonts w:ascii="Times New Roman" w:hAnsi="Times New Roman"/>
        </w:rPr>
      </w:pPr>
      <w:r>
        <w:rPr>
          <w:rFonts w:ascii="Times New Roman" w:hAnsi="Times New Roman"/>
        </w:rPr>
        <w:tab/>
        <w:t>SESA’s mission is to provide consultation and training to support the unique educational needs of individuals and the Alaskan communities that serve them. We accomplish this by hiring highly trained education specialists</w:t>
      </w:r>
      <w:r w:rsidR="00867670">
        <w:rPr>
          <w:rFonts w:ascii="Times New Roman" w:hAnsi="Times New Roman"/>
        </w:rPr>
        <w:t>, with endorsements in specific areas of disability, to</w:t>
      </w:r>
      <w:r>
        <w:rPr>
          <w:rFonts w:ascii="Times New Roman" w:hAnsi="Times New Roman"/>
        </w:rPr>
        <w:t xml:space="preserve"> provide technical assistance to school staff via onsite visitation and distance delivery. Technical assistance includes, amongst others, in-service training, modeling of instructional strategies, curriculum adaptation and modification, assessments, provision of instructional courses (with and without university credit), paraprofessional training,</w:t>
      </w:r>
      <w:r w:rsidR="009D02BB">
        <w:rPr>
          <w:rFonts w:ascii="Times New Roman" w:hAnsi="Times New Roman"/>
        </w:rPr>
        <w:t xml:space="preserve"> and collaboration with the Department of Education and Early Development (DEED) and other agencies. Many of our specialists are also actively involved</w:t>
      </w:r>
      <w:r w:rsidR="009D02BB" w:rsidRPr="009D02BB">
        <w:rPr>
          <w:rFonts w:ascii="Times New Roman" w:hAnsi="Times New Roman"/>
        </w:rPr>
        <w:t xml:space="preserve"> </w:t>
      </w:r>
      <w:r w:rsidR="009D02BB">
        <w:rPr>
          <w:rFonts w:ascii="Times New Roman" w:hAnsi="Times New Roman"/>
        </w:rPr>
        <w:t xml:space="preserve">with the Alaska State Special Education Conference (ASSEC), as </w:t>
      </w:r>
      <w:r w:rsidR="009A6D18">
        <w:rPr>
          <w:rFonts w:ascii="Times New Roman" w:hAnsi="Times New Roman"/>
        </w:rPr>
        <w:t xml:space="preserve">conference </w:t>
      </w:r>
      <w:r w:rsidR="009D02BB">
        <w:rPr>
          <w:rFonts w:ascii="Times New Roman" w:hAnsi="Times New Roman"/>
        </w:rPr>
        <w:t>presenters</w:t>
      </w:r>
      <w:r>
        <w:rPr>
          <w:rFonts w:ascii="Times New Roman" w:hAnsi="Times New Roman"/>
        </w:rPr>
        <w:t>.</w:t>
      </w:r>
      <w:r w:rsidR="00867670">
        <w:rPr>
          <w:rFonts w:ascii="Times New Roman" w:hAnsi="Times New Roman"/>
        </w:rPr>
        <w:t xml:space="preserve"> </w:t>
      </w:r>
    </w:p>
    <w:p w:rsidR="008B5891" w:rsidRDefault="008B5891" w:rsidP="008B5891">
      <w:pPr>
        <w:rPr>
          <w:rFonts w:ascii="Times New Roman" w:hAnsi="Times New Roman"/>
        </w:rPr>
      </w:pPr>
      <w:r>
        <w:rPr>
          <w:rFonts w:ascii="Times New Roman" w:hAnsi="Times New Roman"/>
        </w:rPr>
        <w:tab/>
      </w:r>
      <w:r w:rsidR="00D06ABE">
        <w:rPr>
          <w:rFonts w:ascii="Times New Roman" w:hAnsi="Times New Roman"/>
        </w:rPr>
        <w:t>SESA’s statutory funding</w:t>
      </w:r>
      <w:r w:rsidR="00867670">
        <w:rPr>
          <w:rFonts w:ascii="Times New Roman" w:hAnsi="Times New Roman"/>
        </w:rPr>
        <w:t>,</w:t>
      </w:r>
      <w:r w:rsidR="00D06ABE">
        <w:rPr>
          <w:rFonts w:ascii="Times New Roman" w:hAnsi="Times New Roman"/>
        </w:rPr>
        <w:t xml:space="preserve"> for its low incidence disability educational support programs</w:t>
      </w:r>
      <w:r w:rsidR="00867670">
        <w:rPr>
          <w:rFonts w:ascii="Times New Roman" w:hAnsi="Times New Roman"/>
        </w:rPr>
        <w:t>,</w:t>
      </w:r>
      <w:r w:rsidR="00D06ABE">
        <w:rPr>
          <w:rFonts w:ascii="Times New Roman" w:hAnsi="Times New Roman"/>
        </w:rPr>
        <w:t xml:space="preserve"> is appropriated </w:t>
      </w:r>
      <w:r w:rsidR="00F32897">
        <w:rPr>
          <w:rFonts w:ascii="Times New Roman" w:hAnsi="Times New Roman"/>
        </w:rPr>
        <w:t>by the legislature, and routed</w:t>
      </w:r>
      <w:r w:rsidR="00D06ABE">
        <w:rPr>
          <w:rFonts w:ascii="Times New Roman" w:hAnsi="Times New Roman"/>
        </w:rPr>
        <w:t xml:space="preserve"> and monitored through DEED. </w:t>
      </w:r>
      <w:r>
        <w:rPr>
          <w:rFonts w:ascii="Times New Roman" w:hAnsi="Times New Roman"/>
        </w:rPr>
        <w:t>Ou</w:t>
      </w:r>
      <w:r w:rsidR="009A6D18">
        <w:rPr>
          <w:rFonts w:ascii="Times New Roman" w:hAnsi="Times New Roman"/>
        </w:rPr>
        <w:t>r core revenue stream is</w:t>
      </w:r>
      <w:r>
        <w:rPr>
          <w:rFonts w:ascii="Times New Roman" w:hAnsi="Times New Roman"/>
        </w:rPr>
        <w:t xml:space="preserve"> the low incidence disabilities </w:t>
      </w:r>
      <w:r w:rsidR="009A6D18">
        <w:rPr>
          <w:rFonts w:ascii="Times New Roman" w:hAnsi="Times New Roman"/>
        </w:rPr>
        <w:t>funding. The program provides</w:t>
      </w:r>
      <w:r>
        <w:rPr>
          <w:rFonts w:ascii="Times New Roman" w:hAnsi="Times New Roman"/>
        </w:rPr>
        <w:t xml:space="preserve"> ou</w:t>
      </w:r>
      <w:r w:rsidR="00D06ABE">
        <w:rPr>
          <w:rFonts w:ascii="Times New Roman" w:hAnsi="Times New Roman"/>
        </w:rPr>
        <w:t>treach services in the areas of</w:t>
      </w:r>
      <w:r>
        <w:rPr>
          <w:rFonts w:ascii="Times New Roman" w:hAnsi="Times New Roman"/>
        </w:rPr>
        <w:t xml:space="preserve"> hearing impairment, vision impairment, autism, multiple disabilities, and emotional disabilities. We have 10 specialists in this program and caseloads can be as high as 40 students per specialist. In addition, we hold state and federal grants that allow us to house and operate the Alaska Autism Resource Center, Positive Behavioral Intervention Supports</w:t>
      </w:r>
      <w:r w:rsidR="00867670">
        <w:rPr>
          <w:rFonts w:ascii="Times New Roman" w:hAnsi="Times New Roman"/>
        </w:rPr>
        <w:t xml:space="preserve"> Center</w:t>
      </w:r>
      <w:r w:rsidR="00F32897">
        <w:rPr>
          <w:rFonts w:ascii="Times New Roman" w:hAnsi="Times New Roman"/>
        </w:rPr>
        <w:t>, t</w:t>
      </w:r>
      <w:r>
        <w:rPr>
          <w:rFonts w:ascii="Times New Roman" w:hAnsi="Times New Roman"/>
        </w:rPr>
        <w:t xml:space="preserve">he Alaska Deafblind Project, and the Bring the Kids Home Project </w:t>
      </w:r>
      <w:r w:rsidR="00F32897">
        <w:rPr>
          <w:rFonts w:ascii="Times New Roman" w:hAnsi="Times New Roman"/>
        </w:rPr>
        <w:t>that</w:t>
      </w:r>
      <w:r>
        <w:rPr>
          <w:rFonts w:ascii="Times New Roman" w:hAnsi="Times New Roman"/>
        </w:rPr>
        <w:t xml:space="preserve"> provides supports to families and school districts of students returning from out of state psychiatric placements.</w:t>
      </w:r>
      <w:r w:rsidR="00867670">
        <w:rPr>
          <w:rFonts w:ascii="Times New Roman" w:hAnsi="Times New Roman"/>
        </w:rPr>
        <w:t xml:space="preserve"> We also coordinate, through a contract wit</w:t>
      </w:r>
      <w:r w:rsidR="00E16FCA">
        <w:rPr>
          <w:rFonts w:ascii="Times New Roman" w:hAnsi="Times New Roman"/>
        </w:rPr>
        <w:t xml:space="preserve">h the state, the hire of a contractor who collects data for specific </w:t>
      </w:r>
      <w:r w:rsidR="00F32897">
        <w:rPr>
          <w:rFonts w:ascii="Times New Roman" w:hAnsi="Times New Roman"/>
        </w:rPr>
        <w:t xml:space="preserve">DEED </w:t>
      </w:r>
      <w:r w:rsidR="00E16FCA">
        <w:rPr>
          <w:rFonts w:ascii="Times New Roman" w:hAnsi="Times New Roman"/>
        </w:rPr>
        <w:t xml:space="preserve">indicators and develops education modules for the infant learning program (department of health and human services). </w:t>
      </w:r>
    </w:p>
    <w:p w:rsidR="008B5891" w:rsidRDefault="008B5891" w:rsidP="008B5891">
      <w:pPr>
        <w:rPr>
          <w:rFonts w:ascii="Times New Roman" w:hAnsi="Times New Roman"/>
        </w:rPr>
      </w:pPr>
      <w:r>
        <w:rPr>
          <w:rFonts w:ascii="Times New Roman" w:hAnsi="Times New Roman"/>
        </w:rPr>
        <w:tab/>
        <w:t>Our low incidence program and grants involve us with many aspects of K-12 education</w:t>
      </w:r>
      <w:r w:rsidR="00F32897">
        <w:rPr>
          <w:rFonts w:ascii="Times New Roman" w:hAnsi="Times New Roman"/>
        </w:rPr>
        <w:t xml:space="preserve"> and professional development of teachers</w:t>
      </w:r>
      <w:r>
        <w:rPr>
          <w:rFonts w:ascii="Times New Roman" w:hAnsi="Times New Roman"/>
        </w:rPr>
        <w:t>. Technical assistance</w:t>
      </w:r>
      <w:r w:rsidR="00F32897">
        <w:rPr>
          <w:rFonts w:ascii="Times New Roman" w:hAnsi="Times New Roman"/>
        </w:rPr>
        <w:t xml:space="preserve"> and outreach services</w:t>
      </w:r>
      <w:r>
        <w:rPr>
          <w:rFonts w:ascii="Times New Roman" w:hAnsi="Times New Roman"/>
        </w:rPr>
        <w:t xml:space="preserve"> helps improve outcomes for students with disabilities, provides staff with </w:t>
      </w:r>
      <w:r w:rsidR="00F32897">
        <w:rPr>
          <w:rFonts w:ascii="Times New Roman" w:hAnsi="Times New Roman"/>
        </w:rPr>
        <w:t xml:space="preserve">customized </w:t>
      </w:r>
      <w:r>
        <w:rPr>
          <w:rFonts w:ascii="Times New Roman" w:hAnsi="Times New Roman"/>
        </w:rPr>
        <w:t>professional development, promotes retention of teacher</w:t>
      </w:r>
      <w:r w:rsidR="00D06ABE">
        <w:rPr>
          <w:rFonts w:ascii="Times New Roman" w:hAnsi="Times New Roman"/>
        </w:rPr>
        <w:t>s</w:t>
      </w:r>
      <w:r>
        <w:rPr>
          <w:rFonts w:ascii="Times New Roman" w:hAnsi="Times New Roman"/>
        </w:rPr>
        <w:t xml:space="preserve"> through provision of </w:t>
      </w:r>
      <w:r w:rsidR="00D06ABE">
        <w:rPr>
          <w:rFonts w:ascii="Times New Roman" w:hAnsi="Times New Roman"/>
        </w:rPr>
        <w:t xml:space="preserve">much </w:t>
      </w:r>
      <w:r>
        <w:rPr>
          <w:rFonts w:ascii="Times New Roman" w:hAnsi="Times New Roman"/>
        </w:rPr>
        <w:t>needed trainings, creates networks and communities for teachers in rural environments, and assists districts to stay in compliance and build local c</w:t>
      </w:r>
      <w:r w:rsidR="00E16FCA">
        <w:rPr>
          <w:rFonts w:ascii="Times New Roman" w:hAnsi="Times New Roman"/>
        </w:rPr>
        <w:t>apacity in areas of need. In 2010</w:t>
      </w:r>
      <w:r w:rsidR="00F32897">
        <w:rPr>
          <w:rFonts w:ascii="Times New Roman" w:hAnsi="Times New Roman"/>
        </w:rPr>
        <w:t>/11</w:t>
      </w:r>
      <w:r w:rsidR="00E16FCA">
        <w:rPr>
          <w:rFonts w:ascii="Times New Roman" w:hAnsi="Times New Roman"/>
        </w:rPr>
        <w:t xml:space="preserve"> we collaborated</w:t>
      </w:r>
      <w:r>
        <w:rPr>
          <w:rFonts w:ascii="Times New Roman" w:hAnsi="Times New Roman"/>
        </w:rPr>
        <w:t xml:space="preserve"> with a </w:t>
      </w:r>
      <w:r w:rsidR="00E16FCA">
        <w:rPr>
          <w:rFonts w:ascii="Times New Roman" w:hAnsi="Times New Roman"/>
        </w:rPr>
        <w:t xml:space="preserve">rural </w:t>
      </w:r>
      <w:r>
        <w:rPr>
          <w:rFonts w:ascii="Times New Roman" w:hAnsi="Times New Roman"/>
        </w:rPr>
        <w:t>district to write a federal grant that brought teachers and paraprofessionals</w:t>
      </w:r>
      <w:r w:rsidR="00E16FCA">
        <w:rPr>
          <w:rFonts w:ascii="Times New Roman" w:hAnsi="Times New Roman"/>
        </w:rPr>
        <w:t>,</w:t>
      </w:r>
      <w:r>
        <w:rPr>
          <w:rFonts w:ascii="Times New Roman" w:hAnsi="Times New Roman"/>
        </w:rPr>
        <w:t xml:space="preserve"> from several villages to a single rural site</w:t>
      </w:r>
      <w:r w:rsidR="00E16FCA">
        <w:rPr>
          <w:rFonts w:ascii="Times New Roman" w:hAnsi="Times New Roman"/>
        </w:rPr>
        <w:t>,</w:t>
      </w:r>
      <w:r>
        <w:rPr>
          <w:rFonts w:ascii="Times New Roman" w:hAnsi="Times New Roman"/>
        </w:rPr>
        <w:t xml:space="preserve"> for paid professional development</w:t>
      </w:r>
      <w:r w:rsidR="00E16FCA">
        <w:rPr>
          <w:rFonts w:ascii="Times New Roman" w:hAnsi="Times New Roman"/>
        </w:rPr>
        <w:t xml:space="preserve"> provided by SESA and a national expert in positive behavioral supports</w:t>
      </w:r>
      <w:r>
        <w:rPr>
          <w:rFonts w:ascii="Times New Roman" w:hAnsi="Times New Roman"/>
        </w:rPr>
        <w:t>.</w:t>
      </w:r>
    </w:p>
    <w:p w:rsidR="0035028E" w:rsidRDefault="008B5891" w:rsidP="008B5891">
      <w:pPr>
        <w:rPr>
          <w:rFonts w:ascii="Times New Roman" w:hAnsi="Times New Roman"/>
        </w:rPr>
      </w:pPr>
      <w:r>
        <w:rPr>
          <w:rFonts w:ascii="Times New Roman" w:hAnsi="Times New Roman"/>
        </w:rPr>
        <w:lastRenderedPageBreak/>
        <w:tab/>
        <w:t>Our current core funding</w:t>
      </w:r>
      <w:r w:rsidR="00E16FCA">
        <w:rPr>
          <w:rFonts w:ascii="Times New Roman" w:hAnsi="Times New Roman"/>
        </w:rPr>
        <w:t>, for our low incidence program,</w:t>
      </w:r>
      <w:r w:rsidR="007E65BE">
        <w:rPr>
          <w:rFonts w:ascii="Times New Roman" w:hAnsi="Times New Roman"/>
        </w:rPr>
        <w:t xml:space="preserve"> is $2.32 million. If </w:t>
      </w:r>
      <w:r>
        <w:rPr>
          <w:rFonts w:ascii="Times New Roman" w:hAnsi="Times New Roman"/>
        </w:rPr>
        <w:t xml:space="preserve"> divide</w:t>
      </w:r>
      <w:r w:rsidR="007E65BE">
        <w:rPr>
          <w:rFonts w:ascii="Times New Roman" w:hAnsi="Times New Roman"/>
        </w:rPr>
        <w:t>d by</w:t>
      </w:r>
      <w:r>
        <w:rPr>
          <w:rFonts w:ascii="Times New Roman" w:hAnsi="Times New Roman"/>
        </w:rPr>
        <w:t xml:space="preserve"> 54 sc</w:t>
      </w:r>
      <w:r w:rsidR="007E65BE">
        <w:rPr>
          <w:rFonts w:ascii="Times New Roman" w:hAnsi="Times New Roman"/>
        </w:rPr>
        <w:t>hool districts that leaves</w:t>
      </w:r>
      <w:r w:rsidR="00C97613">
        <w:rPr>
          <w:rFonts w:ascii="Times New Roman" w:hAnsi="Times New Roman"/>
        </w:rPr>
        <w:t xml:space="preserve"> $42,963</w:t>
      </w:r>
      <w:r>
        <w:rPr>
          <w:rFonts w:ascii="Times New Roman" w:hAnsi="Times New Roman"/>
        </w:rPr>
        <w:t xml:space="preserve"> per district. </w:t>
      </w:r>
      <w:r w:rsidR="0035028E">
        <w:rPr>
          <w:rFonts w:ascii="Times New Roman" w:hAnsi="Times New Roman"/>
        </w:rPr>
        <w:t>For a district wi</w:t>
      </w:r>
      <w:r w:rsidR="00E16FCA">
        <w:rPr>
          <w:rFonts w:ascii="Times New Roman" w:hAnsi="Times New Roman"/>
        </w:rPr>
        <w:t xml:space="preserve">th 12 schools that </w:t>
      </w:r>
      <w:r w:rsidR="000C79E2">
        <w:rPr>
          <w:rFonts w:ascii="Times New Roman" w:hAnsi="Times New Roman"/>
        </w:rPr>
        <w:t xml:space="preserve">potentially </w:t>
      </w:r>
      <w:r w:rsidR="00E16FCA">
        <w:rPr>
          <w:rFonts w:ascii="Times New Roman" w:hAnsi="Times New Roman"/>
        </w:rPr>
        <w:t>allocates</w:t>
      </w:r>
      <w:r w:rsidR="00C97613">
        <w:rPr>
          <w:rFonts w:ascii="Times New Roman" w:hAnsi="Times New Roman"/>
        </w:rPr>
        <w:t xml:space="preserve"> $3,580</w:t>
      </w:r>
      <w:r w:rsidR="0035028E">
        <w:rPr>
          <w:rFonts w:ascii="Times New Roman" w:hAnsi="Times New Roman"/>
        </w:rPr>
        <w:t xml:space="preserve"> per school. Jus</w:t>
      </w:r>
      <w:r w:rsidR="00D06ABE">
        <w:rPr>
          <w:rFonts w:ascii="Times New Roman" w:hAnsi="Times New Roman"/>
        </w:rPr>
        <w:t xml:space="preserve">t one FTE </w:t>
      </w:r>
      <w:r w:rsidR="00E16FCA">
        <w:rPr>
          <w:rFonts w:ascii="Times New Roman" w:hAnsi="Times New Roman"/>
        </w:rPr>
        <w:t xml:space="preserve">teaching </w:t>
      </w:r>
      <w:r w:rsidR="00D06ABE">
        <w:rPr>
          <w:rFonts w:ascii="Times New Roman" w:hAnsi="Times New Roman"/>
        </w:rPr>
        <w:t>position will cost a district</w:t>
      </w:r>
      <w:r w:rsidR="0035028E">
        <w:rPr>
          <w:rFonts w:ascii="Times New Roman" w:hAnsi="Times New Roman"/>
        </w:rPr>
        <w:t xml:space="preserve"> at least $65,</w:t>
      </w:r>
      <w:r w:rsidR="00D06ABE">
        <w:rPr>
          <w:rFonts w:ascii="Times New Roman" w:hAnsi="Times New Roman"/>
        </w:rPr>
        <w:t>000</w:t>
      </w:r>
      <w:r w:rsidR="00C97613">
        <w:rPr>
          <w:rFonts w:ascii="Times New Roman" w:hAnsi="Times New Roman"/>
        </w:rPr>
        <w:t xml:space="preserve"> and most often brings in </w:t>
      </w:r>
      <w:r w:rsidR="000C79E2">
        <w:rPr>
          <w:rFonts w:ascii="Times New Roman" w:hAnsi="Times New Roman"/>
        </w:rPr>
        <w:t>expertise via</w:t>
      </w:r>
      <w:r w:rsidR="00C97613">
        <w:rPr>
          <w:rFonts w:ascii="Times New Roman" w:hAnsi="Times New Roman"/>
        </w:rPr>
        <w:t xml:space="preserve"> </w:t>
      </w:r>
      <w:r w:rsidR="00C97613" w:rsidRPr="000C79E2">
        <w:rPr>
          <w:rFonts w:ascii="Times New Roman" w:hAnsi="Times New Roman"/>
          <w:b/>
        </w:rPr>
        <w:t>one</w:t>
      </w:r>
      <w:r w:rsidR="00C97613">
        <w:rPr>
          <w:rFonts w:ascii="Times New Roman" w:hAnsi="Times New Roman"/>
        </w:rPr>
        <w:t xml:space="preserve"> area of endorsement in special education or a generic special education degree</w:t>
      </w:r>
      <w:r w:rsidR="00D06ABE">
        <w:rPr>
          <w:rFonts w:ascii="Times New Roman" w:hAnsi="Times New Roman"/>
        </w:rPr>
        <w:t xml:space="preserve">. </w:t>
      </w:r>
      <w:r w:rsidR="00B21122">
        <w:rPr>
          <w:rFonts w:ascii="Times New Roman" w:hAnsi="Times New Roman"/>
        </w:rPr>
        <w:t xml:space="preserve">Schools are often limited in their resources to hire special education teachers with endorsements in every area of disability experienced by their students. </w:t>
      </w:r>
      <w:r w:rsidR="00D06ABE">
        <w:rPr>
          <w:rFonts w:ascii="Times New Roman" w:hAnsi="Times New Roman"/>
        </w:rPr>
        <w:t>With SESA as a resource schools</w:t>
      </w:r>
      <w:r w:rsidR="0035028E">
        <w:rPr>
          <w:rFonts w:ascii="Times New Roman" w:hAnsi="Times New Roman"/>
        </w:rPr>
        <w:t xml:space="preserve"> hav</w:t>
      </w:r>
      <w:r w:rsidR="00D06ABE">
        <w:rPr>
          <w:rFonts w:ascii="Times New Roman" w:hAnsi="Times New Roman"/>
        </w:rPr>
        <w:t>e at their</w:t>
      </w:r>
      <w:r w:rsidR="0035028E">
        <w:rPr>
          <w:rFonts w:ascii="Times New Roman" w:hAnsi="Times New Roman"/>
        </w:rPr>
        <w:t xml:space="preserve"> disposal</w:t>
      </w:r>
      <w:r w:rsidR="00C97613">
        <w:rPr>
          <w:rFonts w:ascii="Times New Roman" w:hAnsi="Times New Roman"/>
        </w:rPr>
        <w:t xml:space="preserve">, via a </w:t>
      </w:r>
      <w:r w:rsidR="00A82AAB">
        <w:rPr>
          <w:rFonts w:ascii="Times New Roman" w:hAnsi="Times New Roman"/>
        </w:rPr>
        <w:t xml:space="preserve">SESA </w:t>
      </w:r>
      <w:r w:rsidR="00C97613">
        <w:rPr>
          <w:rFonts w:ascii="Times New Roman" w:hAnsi="Times New Roman"/>
        </w:rPr>
        <w:t>referral system,</w:t>
      </w:r>
      <w:r w:rsidR="0035028E">
        <w:rPr>
          <w:rFonts w:ascii="Times New Roman" w:hAnsi="Times New Roman"/>
        </w:rPr>
        <w:t xml:space="preserve"> </w:t>
      </w:r>
      <w:r w:rsidR="00A82AAB">
        <w:rPr>
          <w:rFonts w:ascii="Times New Roman" w:hAnsi="Times New Roman"/>
        </w:rPr>
        <w:t>technical assistance across the spectrum of</w:t>
      </w:r>
      <w:r w:rsidR="00DE5077">
        <w:rPr>
          <w:rFonts w:ascii="Times New Roman" w:hAnsi="Times New Roman"/>
        </w:rPr>
        <w:t xml:space="preserve"> </w:t>
      </w:r>
      <w:r w:rsidR="00C97613">
        <w:rPr>
          <w:rFonts w:ascii="Times New Roman" w:hAnsi="Times New Roman"/>
        </w:rPr>
        <w:t>special education</w:t>
      </w:r>
      <w:r w:rsidR="00E16D2C">
        <w:rPr>
          <w:rFonts w:ascii="Times New Roman" w:hAnsi="Times New Roman"/>
        </w:rPr>
        <w:t xml:space="preserve"> inclusive of</w:t>
      </w:r>
      <w:r w:rsidR="00DE5077">
        <w:rPr>
          <w:rFonts w:ascii="Times New Roman" w:hAnsi="Times New Roman"/>
        </w:rPr>
        <w:t xml:space="preserve"> specialist</w:t>
      </w:r>
      <w:r w:rsidR="00E16D2C">
        <w:rPr>
          <w:rFonts w:ascii="Times New Roman" w:hAnsi="Times New Roman"/>
        </w:rPr>
        <w:t>s holding</w:t>
      </w:r>
      <w:r w:rsidR="00DE5077">
        <w:rPr>
          <w:rFonts w:ascii="Times New Roman" w:hAnsi="Times New Roman"/>
        </w:rPr>
        <w:t xml:space="preserve"> endorsement</w:t>
      </w:r>
      <w:r w:rsidR="00E16D2C">
        <w:rPr>
          <w:rFonts w:ascii="Times New Roman" w:hAnsi="Times New Roman"/>
        </w:rPr>
        <w:t>s in specific disability categories</w:t>
      </w:r>
      <w:r w:rsidR="00DE5077">
        <w:rPr>
          <w:rFonts w:ascii="Times New Roman" w:hAnsi="Times New Roman"/>
        </w:rPr>
        <w:t xml:space="preserve">, a requirement of IDEA (Individuals with Disabilities Act) for oversight of </w:t>
      </w:r>
      <w:r w:rsidR="00E16D2C">
        <w:rPr>
          <w:rFonts w:ascii="Times New Roman" w:hAnsi="Times New Roman"/>
        </w:rPr>
        <w:t xml:space="preserve">school </w:t>
      </w:r>
      <w:r w:rsidR="00DE5077">
        <w:rPr>
          <w:rFonts w:ascii="Times New Roman" w:hAnsi="Times New Roman"/>
        </w:rPr>
        <w:t>programs fo</w:t>
      </w:r>
      <w:r w:rsidR="00B21122">
        <w:rPr>
          <w:rFonts w:ascii="Times New Roman" w:hAnsi="Times New Roman"/>
        </w:rPr>
        <w:t>r students with disabi</w:t>
      </w:r>
      <w:r w:rsidR="00DE5077">
        <w:rPr>
          <w:rFonts w:ascii="Times New Roman" w:hAnsi="Times New Roman"/>
        </w:rPr>
        <w:t>lities</w:t>
      </w:r>
      <w:r w:rsidR="00C97613">
        <w:rPr>
          <w:rFonts w:ascii="Times New Roman" w:hAnsi="Times New Roman"/>
        </w:rPr>
        <w:t xml:space="preserve">. </w:t>
      </w:r>
      <w:r w:rsidR="00B21122">
        <w:rPr>
          <w:rFonts w:ascii="Times New Roman" w:hAnsi="Times New Roman"/>
        </w:rPr>
        <w:t>SESA is</w:t>
      </w:r>
      <w:r w:rsidR="0035028E">
        <w:rPr>
          <w:rFonts w:ascii="Times New Roman" w:hAnsi="Times New Roman"/>
        </w:rPr>
        <w:t xml:space="preserve"> a cost free educational </w:t>
      </w:r>
      <w:r w:rsidR="00C97613">
        <w:rPr>
          <w:rFonts w:ascii="Times New Roman" w:hAnsi="Times New Roman"/>
        </w:rPr>
        <w:t xml:space="preserve">resource </w:t>
      </w:r>
      <w:r w:rsidR="0035028E">
        <w:rPr>
          <w:rFonts w:ascii="Times New Roman" w:hAnsi="Times New Roman"/>
        </w:rPr>
        <w:t>to school districts</w:t>
      </w:r>
      <w:r w:rsidR="00A82AAB">
        <w:rPr>
          <w:rFonts w:ascii="Times New Roman" w:hAnsi="Times New Roman"/>
        </w:rPr>
        <w:t>, thereby ensuring equitable access to technical assistance for students with low incidence disabilities</w:t>
      </w:r>
      <w:r w:rsidR="0035028E">
        <w:rPr>
          <w:rFonts w:ascii="Times New Roman" w:hAnsi="Times New Roman"/>
        </w:rPr>
        <w:t>. While</w:t>
      </w:r>
      <w:r w:rsidR="00A82AAB">
        <w:rPr>
          <w:rFonts w:ascii="Times New Roman" w:hAnsi="Times New Roman"/>
        </w:rPr>
        <w:t xml:space="preserve"> trends in education drive</w:t>
      </w:r>
      <w:r w:rsidR="0035028E">
        <w:rPr>
          <w:rFonts w:ascii="Times New Roman" w:hAnsi="Times New Roman"/>
        </w:rPr>
        <w:t xml:space="preserve"> targeted grant funding</w:t>
      </w:r>
      <w:r w:rsidR="00D86E37">
        <w:rPr>
          <w:rFonts w:ascii="Times New Roman" w:hAnsi="Times New Roman"/>
        </w:rPr>
        <w:t>,</w:t>
      </w:r>
      <w:r w:rsidR="00A82AAB">
        <w:rPr>
          <w:rFonts w:ascii="Times New Roman" w:hAnsi="Times New Roman"/>
        </w:rPr>
        <w:t xml:space="preserve"> SESA’s statutory funding</w:t>
      </w:r>
      <w:r w:rsidR="0035028E">
        <w:rPr>
          <w:rFonts w:ascii="Times New Roman" w:hAnsi="Times New Roman"/>
        </w:rPr>
        <w:t xml:space="preserve"> </w:t>
      </w:r>
      <w:r w:rsidR="00D86E37">
        <w:rPr>
          <w:rFonts w:ascii="Times New Roman" w:hAnsi="Times New Roman"/>
        </w:rPr>
        <w:t xml:space="preserve">guarantees and </w:t>
      </w:r>
      <w:r w:rsidR="0035028E">
        <w:rPr>
          <w:rFonts w:ascii="Times New Roman" w:hAnsi="Times New Roman"/>
        </w:rPr>
        <w:t>pro</w:t>
      </w:r>
      <w:r w:rsidR="00D86E37">
        <w:rPr>
          <w:rFonts w:ascii="Times New Roman" w:hAnsi="Times New Roman"/>
        </w:rPr>
        <w:t>motes,</w:t>
      </w:r>
      <w:r w:rsidR="0035028E">
        <w:rPr>
          <w:rFonts w:ascii="Times New Roman" w:hAnsi="Times New Roman"/>
        </w:rPr>
        <w:t xml:space="preserve"> through technical assistance and professional development, </w:t>
      </w:r>
      <w:r w:rsidR="00A82AAB">
        <w:rPr>
          <w:rFonts w:ascii="Times New Roman" w:hAnsi="Times New Roman"/>
        </w:rPr>
        <w:t xml:space="preserve">access to </w:t>
      </w:r>
      <w:r w:rsidR="0035028E">
        <w:rPr>
          <w:rFonts w:ascii="Times New Roman" w:hAnsi="Times New Roman"/>
        </w:rPr>
        <w:t xml:space="preserve">quality services for individuals with low incidence disabilities. </w:t>
      </w:r>
    </w:p>
    <w:p w:rsidR="003477A4" w:rsidRDefault="0035028E" w:rsidP="008B5891">
      <w:pPr>
        <w:rPr>
          <w:rFonts w:ascii="Times New Roman" w:hAnsi="Times New Roman"/>
        </w:rPr>
      </w:pPr>
      <w:r>
        <w:rPr>
          <w:rFonts w:ascii="Times New Roman" w:hAnsi="Times New Roman"/>
        </w:rPr>
        <w:tab/>
        <w:t xml:space="preserve">SESA has </w:t>
      </w:r>
      <w:r w:rsidR="00D86E37">
        <w:rPr>
          <w:rFonts w:ascii="Times New Roman" w:hAnsi="Times New Roman"/>
        </w:rPr>
        <w:t>been flat funded since 1986. Inflationary adjustments since 1986 have resulted in</w:t>
      </w:r>
      <w:r w:rsidR="00B5009C">
        <w:rPr>
          <w:rFonts w:ascii="Times New Roman" w:hAnsi="Times New Roman"/>
        </w:rPr>
        <w:t xml:space="preserve"> a 44.16</w:t>
      </w:r>
      <w:r>
        <w:rPr>
          <w:rFonts w:ascii="Times New Roman" w:hAnsi="Times New Roman"/>
        </w:rPr>
        <w:t>% increase to the base student allocation. SESA is frozen in statute at a rate of $15.75 ce</w:t>
      </w:r>
      <w:r w:rsidR="00D86E37">
        <w:rPr>
          <w:rFonts w:ascii="Times New Roman" w:hAnsi="Times New Roman"/>
        </w:rPr>
        <w:t>nts per average daily membership (ADM)</w:t>
      </w:r>
      <w:r w:rsidR="00B5009C">
        <w:rPr>
          <w:rFonts w:ascii="Times New Roman" w:hAnsi="Times New Roman"/>
        </w:rPr>
        <w:t xml:space="preserve"> of the previous year. With a 44.16</w:t>
      </w:r>
      <w:r>
        <w:rPr>
          <w:rFonts w:ascii="Times New Roman" w:hAnsi="Times New Roman"/>
        </w:rPr>
        <w:t>% increase we</w:t>
      </w:r>
      <w:r w:rsidR="00D86E37">
        <w:rPr>
          <w:rFonts w:ascii="Times New Roman" w:hAnsi="Times New Roman"/>
        </w:rPr>
        <w:t xml:space="preserve"> would </w:t>
      </w:r>
      <w:r w:rsidR="0045534C">
        <w:rPr>
          <w:rFonts w:ascii="Times New Roman" w:hAnsi="Times New Roman"/>
        </w:rPr>
        <w:t xml:space="preserve">currently </w:t>
      </w:r>
      <w:r w:rsidR="00D86E37">
        <w:rPr>
          <w:rFonts w:ascii="Times New Roman" w:hAnsi="Times New Roman"/>
        </w:rPr>
        <w:t>be generating $22</w:t>
      </w:r>
      <w:r w:rsidR="00B5009C">
        <w:rPr>
          <w:rFonts w:ascii="Times New Roman" w:hAnsi="Times New Roman"/>
        </w:rPr>
        <w:t>.71 cents</w:t>
      </w:r>
      <w:r w:rsidR="00D86E37">
        <w:rPr>
          <w:rFonts w:ascii="Times New Roman" w:hAnsi="Times New Roman"/>
        </w:rPr>
        <w:t xml:space="preserve"> per ADM</w:t>
      </w:r>
      <w:r>
        <w:rPr>
          <w:rFonts w:ascii="Times New Roman" w:hAnsi="Times New Roman"/>
        </w:rPr>
        <w:t>. Flat funding and a sunset clause, make</w:t>
      </w:r>
      <w:r w:rsidR="00EE44D5">
        <w:rPr>
          <w:rFonts w:ascii="Times New Roman" w:hAnsi="Times New Roman"/>
        </w:rPr>
        <w:t xml:space="preserve"> it difficult for us to recruit specialists</w:t>
      </w:r>
      <w:r>
        <w:rPr>
          <w:rFonts w:ascii="Times New Roman" w:hAnsi="Times New Roman"/>
        </w:rPr>
        <w:t xml:space="preserve"> and to provide services requested by special educ</w:t>
      </w:r>
      <w:r w:rsidR="00D86E37">
        <w:rPr>
          <w:rFonts w:ascii="Times New Roman" w:hAnsi="Times New Roman"/>
        </w:rPr>
        <w:t xml:space="preserve">ation teachers. </w:t>
      </w:r>
      <w:r w:rsidR="00884723">
        <w:rPr>
          <w:rFonts w:ascii="Times New Roman" w:hAnsi="Times New Roman"/>
        </w:rPr>
        <w:t xml:space="preserve">This also occurs at a time of rising inflationary costs and increasing numbers of students with low incidence disabilities. </w:t>
      </w:r>
      <w:r w:rsidR="003477A4">
        <w:rPr>
          <w:rFonts w:ascii="Times New Roman" w:hAnsi="Times New Roman"/>
        </w:rPr>
        <w:t>(See exhibit 1).</w:t>
      </w:r>
      <w:r w:rsidR="00CF1DCC">
        <w:rPr>
          <w:rFonts w:ascii="Times New Roman" w:hAnsi="Times New Roman"/>
        </w:rPr>
        <w:t xml:space="preserve"> In addition SESA only provide 70% medical coverage for dependents. For an employee seeking coverage for a spouse and two children this can be as much as a $600 out of pocket expense. We have lost great candidates due to our inability to provide full medical coverage.</w:t>
      </w:r>
    </w:p>
    <w:p w:rsidR="003477A4" w:rsidRDefault="003477A4" w:rsidP="003477A4">
      <w:pPr>
        <w:rPr>
          <w:rFonts w:ascii="Times New Roman" w:hAnsi="Times New Roman"/>
        </w:rPr>
      </w:pPr>
      <w:r>
        <w:rPr>
          <w:rFonts w:ascii="Times New Roman" w:hAnsi="Times New Roman"/>
        </w:rPr>
        <w:tab/>
        <w:t xml:space="preserve">In 1994 we had five multiple disabilities specialists employed at SESA today we have two. In addition, SESA’s current salary scale is not competitive with rural or urban schools. This is especially significant in the context of our expectation of constant itinerant travel and a need to inform candidates of possible sunset. Service need is compounded by the fact that there is a national shortage of special education teachers and the numbers of children with low incidence disabilities has increased. In Alaska, the shortage of special education teachers has led to the creation of alternative route programs to encourage individuals with bachelor’s degrees, outside the field of education, to become special education teachers. These individuals seek assistance when they are placed in schools, and special education directors call SESA when this happens. </w:t>
      </w:r>
    </w:p>
    <w:p w:rsidR="00884723" w:rsidRDefault="003477A4" w:rsidP="003477A4">
      <w:pPr>
        <w:ind w:firstLine="720"/>
        <w:rPr>
          <w:rFonts w:ascii="Times New Roman" w:hAnsi="Times New Roman"/>
        </w:rPr>
      </w:pPr>
      <w:r>
        <w:rPr>
          <w:rFonts w:ascii="Times New Roman" w:hAnsi="Times New Roman"/>
        </w:rPr>
        <w:t>House Bill 198 sponsored by Representative Alan Dick, seeking to amend AK statute (14:30:600) to eliminate SESA’s sunset clause and to change the funding formula to 0.40% of base student allocation has passed the house education committee and now needs to pass the senate. We are currently working to identify a sponsor of a companion bill in the Senate. Resolutions to help us in this regard have already been passed by the Nenana School District Board, the North West Arctic Bor</w:t>
      </w:r>
      <w:r w:rsidR="00B5009C">
        <w:rPr>
          <w:rFonts w:ascii="Times New Roman" w:hAnsi="Times New Roman"/>
        </w:rPr>
        <w:t xml:space="preserve">ough School District Board, </w:t>
      </w:r>
      <w:r>
        <w:rPr>
          <w:rFonts w:ascii="Times New Roman" w:hAnsi="Times New Roman"/>
        </w:rPr>
        <w:t>the Bristol Bay School District Board</w:t>
      </w:r>
      <w:r w:rsidR="00B5009C">
        <w:rPr>
          <w:rFonts w:ascii="Times New Roman" w:hAnsi="Times New Roman"/>
        </w:rPr>
        <w:t xml:space="preserve"> and the Association of Alaska School Boards</w:t>
      </w:r>
      <w:r>
        <w:rPr>
          <w:rFonts w:ascii="Times New Roman" w:hAnsi="Times New Roman"/>
        </w:rPr>
        <w:t xml:space="preserve">. The </w:t>
      </w:r>
      <w:r>
        <w:rPr>
          <w:rFonts w:ascii="Times New Roman" w:hAnsi="Times New Roman"/>
        </w:rPr>
        <w:lastRenderedPageBreak/>
        <w:t>North Slope Borough School District has also pledged strong support for the change in statute, as have other districts and individual school board members.</w:t>
      </w:r>
      <w:r w:rsidR="00B5009C">
        <w:rPr>
          <w:rFonts w:ascii="Times New Roman" w:hAnsi="Times New Roman"/>
        </w:rPr>
        <w:t xml:space="preserve"> In addition, removal from sunset was also recommended by previous legislative audits. The </w:t>
      </w:r>
      <w:r w:rsidR="007428F5">
        <w:rPr>
          <w:rFonts w:ascii="Times New Roman" w:hAnsi="Times New Roman"/>
        </w:rPr>
        <w:t>commissioner of education signed the legislative audit report</w:t>
      </w:r>
      <w:r w:rsidR="00B5009C">
        <w:rPr>
          <w:rFonts w:ascii="Times New Roman" w:hAnsi="Times New Roman"/>
        </w:rPr>
        <w:t>.</w:t>
      </w:r>
    </w:p>
    <w:p w:rsidR="00884723" w:rsidRDefault="00884723" w:rsidP="008B5891">
      <w:pPr>
        <w:rPr>
          <w:rFonts w:ascii="Times New Roman" w:hAnsi="Times New Roman"/>
        </w:rPr>
      </w:pPr>
      <w:r w:rsidRPr="00884723">
        <w:rPr>
          <w:rFonts w:ascii="Times New Roman" w:hAnsi="Times New Roman"/>
          <w:noProof/>
        </w:rPr>
        <w:drawing>
          <wp:inline distT="0" distB="0" distL="0" distR="0">
            <wp:extent cx="5512435" cy="5577840"/>
            <wp:effectExtent l="25400" t="25400" r="24765" b="10160"/>
            <wp:docPr id="4"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5009C" w:rsidRDefault="003477A4" w:rsidP="00B5009C">
      <w:pPr>
        <w:jc w:val="center"/>
        <w:rPr>
          <w:rFonts w:ascii="Times New Roman" w:hAnsi="Times New Roman"/>
        </w:rPr>
      </w:pPr>
      <w:r>
        <w:rPr>
          <w:rFonts w:ascii="Times New Roman" w:hAnsi="Times New Roman"/>
        </w:rPr>
        <w:t>Exhi</w:t>
      </w:r>
      <w:r w:rsidR="00884723">
        <w:rPr>
          <w:rFonts w:ascii="Times New Roman" w:hAnsi="Times New Roman"/>
        </w:rPr>
        <w:t xml:space="preserve">bit 1: SESA’s Actual Funding </w:t>
      </w:r>
      <w:r>
        <w:rPr>
          <w:rFonts w:ascii="Times New Roman" w:hAnsi="Times New Roman"/>
        </w:rPr>
        <w:t>vs. Funding if Equivalent to BSA vs. Student Count</w:t>
      </w:r>
    </w:p>
    <w:p w:rsidR="00705450" w:rsidRDefault="0035028E" w:rsidP="00B5009C">
      <w:pPr>
        <w:jc w:val="center"/>
        <w:rPr>
          <w:rFonts w:ascii="Times New Roman" w:hAnsi="Times New Roman"/>
        </w:rPr>
      </w:pPr>
      <w:r>
        <w:rPr>
          <w:rFonts w:ascii="Times New Roman" w:hAnsi="Times New Roman"/>
        </w:rPr>
        <w:t xml:space="preserve"> </w:t>
      </w:r>
    </w:p>
    <w:p w:rsidR="008B5891" w:rsidRDefault="002A7F84" w:rsidP="008B5891">
      <w:pPr>
        <w:rPr>
          <w:rFonts w:ascii="Times New Roman" w:hAnsi="Times New Roman"/>
        </w:rPr>
      </w:pPr>
      <w:proofErr w:type="gramStart"/>
      <w:r>
        <w:rPr>
          <w:rFonts w:ascii="Times New Roman" w:hAnsi="Times New Roman"/>
        </w:rPr>
        <w:t xml:space="preserve">Prepared by: </w:t>
      </w:r>
      <w:bookmarkStart w:id="0" w:name="_GoBack"/>
      <w:bookmarkEnd w:id="0"/>
      <w:r w:rsidR="0040034E">
        <w:rPr>
          <w:rFonts w:ascii="Times New Roman" w:hAnsi="Times New Roman"/>
        </w:rPr>
        <w:t xml:space="preserve">Patrick </w:t>
      </w:r>
      <w:proofErr w:type="spellStart"/>
      <w:r w:rsidR="0040034E">
        <w:rPr>
          <w:rFonts w:ascii="Times New Roman" w:hAnsi="Times New Roman"/>
        </w:rPr>
        <w:t>Pillai</w:t>
      </w:r>
      <w:proofErr w:type="spellEnd"/>
      <w:r w:rsidR="0040034E">
        <w:rPr>
          <w:rFonts w:ascii="Times New Roman" w:hAnsi="Times New Roman"/>
        </w:rPr>
        <w:t xml:space="preserve"> (executive director of SESA [ppillai@sesa.org]</w:t>
      </w:r>
      <w:r w:rsidR="003477A4">
        <w:rPr>
          <w:rFonts w:ascii="Times New Roman" w:hAnsi="Times New Roman"/>
        </w:rPr>
        <w:t xml:space="preserve"> [907 334-1305]</w:t>
      </w:r>
      <w:r w:rsidR="0040034E">
        <w:rPr>
          <w:rFonts w:ascii="Times New Roman" w:hAnsi="Times New Roman"/>
        </w:rPr>
        <w:t>.</w:t>
      </w:r>
      <w:proofErr w:type="gramEnd"/>
    </w:p>
    <w:p w:rsidR="008B5891" w:rsidRPr="008B5891" w:rsidRDefault="008B5891" w:rsidP="008B5891">
      <w:pPr>
        <w:rPr>
          <w:rFonts w:ascii="Times New Roman" w:hAnsi="Times New Roman"/>
        </w:rPr>
      </w:pPr>
      <w:r>
        <w:rPr>
          <w:rFonts w:ascii="Times New Roman" w:hAnsi="Times New Roman"/>
        </w:rPr>
        <w:tab/>
      </w:r>
    </w:p>
    <w:p w:rsidR="008B5891" w:rsidRPr="008B5891" w:rsidRDefault="008B5891" w:rsidP="008B5891">
      <w:pPr>
        <w:jc w:val="center"/>
        <w:rPr>
          <w:rFonts w:ascii="Times New Roman" w:hAnsi="Times New Roman"/>
          <w:u w:val="single"/>
        </w:rPr>
      </w:pPr>
    </w:p>
    <w:sectPr w:rsidR="008B5891" w:rsidRPr="008B5891" w:rsidSect="008B5891">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BD5" w:rsidRDefault="00501BD5">
      <w:pPr>
        <w:spacing w:after="0"/>
      </w:pPr>
      <w:r>
        <w:separator/>
      </w:r>
    </w:p>
  </w:endnote>
  <w:endnote w:type="continuationSeparator" w:id="0">
    <w:p w:rsidR="00501BD5" w:rsidRDefault="00501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BD5" w:rsidRDefault="00501BD5">
      <w:pPr>
        <w:spacing w:after="0"/>
      </w:pPr>
      <w:r>
        <w:separator/>
      </w:r>
    </w:p>
  </w:footnote>
  <w:footnote w:type="continuationSeparator" w:id="0">
    <w:p w:rsidR="00501BD5" w:rsidRDefault="00501B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2C" w:rsidRDefault="00461D0A" w:rsidP="008B5891">
    <w:pPr>
      <w:pStyle w:val="Header"/>
      <w:framePr w:wrap="around" w:vAnchor="text" w:hAnchor="margin" w:xAlign="right" w:y="1"/>
      <w:rPr>
        <w:rStyle w:val="PageNumber"/>
      </w:rPr>
    </w:pPr>
    <w:r>
      <w:rPr>
        <w:rStyle w:val="PageNumber"/>
      </w:rPr>
      <w:fldChar w:fldCharType="begin"/>
    </w:r>
    <w:r w:rsidR="00E16D2C">
      <w:rPr>
        <w:rStyle w:val="PageNumber"/>
      </w:rPr>
      <w:instrText xml:space="preserve">PAGE  </w:instrText>
    </w:r>
    <w:r>
      <w:rPr>
        <w:rStyle w:val="PageNumber"/>
      </w:rPr>
      <w:fldChar w:fldCharType="end"/>
    </w:r>
  </w:p>
  <w:p w:rsidR="00E16D2C" w:rsidRDefault="00E16D2C" w:rsidP="008B58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2C" w:rsidRDefault="00461D0A" w:rsidP="008B5891">
    <w:pPr>
      <w:pStyle w:val="Header"/>
      <w:framePr w:wrap="around" w:vAnchor="text" w:hAnchor="margin" w:xAlign="right" w:y="1"/>
      <w:rPr>
        <w:rStyle w:val="PageNumber"/>
      </w:rPr>
    </w:pPr>
    <w:r>
      <w:rPr>
        <w:rStyle w:val="PageNumber"/>
      </w:rPr>
      <w:fldChar w:fldCharType="begin"/>
    </w:r>
    <w:r w:rsidR="00E16D2C">
      <w:rPr>
        <w:rStyle w:val="PageNumber"/>
      </w:rPr>
      <w:instrText xml:space="preserve">PAGE  </w:instrText>
    </w:r>
    <w:r>
      <w:rPr>
        <w:rStyle w:val="PageNumber"/>
      </w:rPr>
      <w:fldChar w:fldCharType="separate"/>
    </w:r>
    <w:r w:rsidR="002A7F84">
      <w:rPr>
        <w:rStyle w:val="PageNumber"/>
        <w:noProof/>
      </w:rPr>
      <w:t>3</w:t>
    </w:r>
    <w:r>
      <w:rPr>
        <w:rStyle w:val="PageNumber"/>
      </w:rPr>
      <w:fldChar w:fldCharType="end"/>
    </w:r>
  </w:p>
  <w:p w:rsidR="00E16D2C" w:rsidRDefault="00E16D2C" w:rsidP="008B589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91"/>
    <w:rsid w:val="000C79E2"/>
    <w:rsid w:val="00107F48"/>
    <w:rsid w:val="001A2560"/>
    <w:rsid w:val="00280E34"/>
    <w:rsid w:val="002A7F84"/>
    <w:rsid w:val="003477A4"/>
    <w:rsid w:val="0035028E"/>
    <w:rsid w:val="00361447"/>
    <w:rsid w:val="0040034E"/>
    <w:rsid w:val="00416B12"/>
    <w:rsid w:val="0045534C"/>
    <w:rsid w:val="00461D0A"/>
    <w:rsid w:val="004F73F4"/>
    <w:rsid w:val="00501BD5"/>
    <w:rsid w:val="005251D1"/>
    <w:rsid w:val="0060783A"/>
    <w:rsid w:val="00650CC5"/>
    <w:rsid w:val="00705450"/>
    <w:rsid w:val="007428F5"/>
    <w:rsid w:val="007E65BE"/>
    <w:rsid w:val="00867670"/>
    <w:rsid w:val="00884723"/>
    <w:rsid w:val="008B5891"/>
    <w:rsid w:val="00912891"/>
    <w:rsid w:val="009A6D18"/>
    <w:rsid w:val="009D02BB"/>
    <w:rsid w:val="00A61EDB"/>
    <w:rsid w:val="00A82AAB"/>
    <w:rsid w:val="00B21122"/>
    <w:rsid w:val="00B5009C"/>
    <w:rsid w:val="00C97613"/>
    <w:rsid w:val="00CF1DCC"/>
    <w:rsid w:val="00D06ABE"/>
    <w:rsid w:val="00D86E37"/>
    <w:rsid w:val="00DE5077"/>
    <w:rsid w:val="00E16D2C"/>
    <w:rsid w:val="00E16FCA"/>
    <w:rsid w:val="00EE44D5"/>
    <w:rsid w:val="00F10FF4"/>
    <w:rsid w:val="00F32897"/>
    <w:rsid w:val="00F66D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D17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891"/>
    <w:pPr>
      <w:tabs>
        <w:tab w:val="center" w:pos="4320"/>
        <w:tab w:val="right" w:pos="8640"/>
      </w:tabs>
      <w:spacing w:after="0"/>
    </w:pPr>
  </w:style>
  <w:style w:type="character" w:customStyle="1" w:styleId="HeaderChar">
    <w:name w:val="Header Char"/>
    <w:basedOn w:val="DefaultParagraphFont"/>
    <w:link w:val="Header"/>
    <w:uiPriority w:val="99"/>
    <w:semiHidden/>
    <w:rsid w:val="008B5891"/>
    <w:rPr>
      <w:sz w:val="24"/>
    </w:rPr>
  </w:style>
  <w:style w:type="character" w:styleId="PageNumber">
    <w:name w:val="page number"/>
    <w:basedOn w:val="DefaultParagraphFont"/>
    <w:uiPriority w:val="99"/>
    <w:semiHidden/>
    <w:unhideWhenUsed/>
    <w:rsid w:val="008B5891"/>
  </w:style>
  <w:style w:type="paragraph" w:styleId="BalloonText">
    <w:name w:val="Balloon Text"/>
    <w:basedOn w:val="Normal"/>
    <w:link w:val="BalloonTextChar"/>
    <w:rsid w:val="002A7F84"/>
    <w:pPr>
      <w:spacing w:after="0"/>
    </w:pPr>
    <w:rPr>
      <w:rFonts w:ascii="Tahoma" w:hAnsi="Tahoma" w:cs="Tahoma"/>
      <w:sz w:val="16"/>
      <w:szCs w:val="16"/>
    </w:rPr>
  </w:style>
  <w:style w:type="character" w:customStyle="1" w:styleId="BalloonTextChar">
    <w:name w:val="Balloon Text Char"/>
    <w:basedOn w:val="DefaultParagraphFont"/>
    <w:link w:val="BalloonText"/>
    <w:rsid w:val="002A7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D17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891"/>
    <w:pPr>
      <w:tabs>
        <w:tab w:val="center" w:pos="4320"/>
        <w:tab w:val="right" w:pos="8640"/>
      </w:tabs>
      <w:spacing w:after="0"/>
    </w:pPr>
  </w:style>
  <w:style w:type="character" w:customStyle="1" w:styleId="HeaderChar">
    <w:name w:val="Header Char"/>
    <w:basedOn w:val="DefaultParagraphFont"/>
    <w:link w:val="Header"/>
    <w:uiPriority w:val="99"/>
    <w:semiHidden/>
    <w:rsid w:val="008B5891"/>
    <w:rPr>
      <w:sz w:val="24"/>
    </w:rPr>
  </w:style>
  <w:style w:type="character" w:styleId="PageNumber">
    <w:name w:val="page number"/>
    <w:basedOn w:val="DefaultParagraphFont"/>
    <w:uiPriority w:val="99"/>
    <w:semiHidden/>
    <w:unhideWhenUsed/>
    <w:rsid w:val="008B5891"/>
  </w:style>
  <w:style w:type="paragraph" w:styleId="BalloonText">
    <w:name w:val="Balloon Text"/>
    <w:basedOn w:val="Normal"/>
    <w:link w:val="BalloonTextChar"/>
    <w:rsid w:val="002A7F84"/>
    <w:pPr>
      <w:spacing w:after="0"/>
    </w:pPr>
    <w:rPr>
      <w:rFonts w:ascii="Tahoma" w:hAnsi="Tahoma" w:cs="Tahoma"/>
      <w:sz w:val="16"/>
      <w:szCs w:val="16"/>
    </w:rPr>
  </w:style>
  <w:style w:type="character" w:customStyle="1" w:styleId="BalloonTextChar">
    <w:name w:val="Balloon Text Char"/>
    <w:basedOn w:val="DefaultParagraphFont"/>
    <w:link w:val="BalloonText"/>
    <w:rsid w:val="002A7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6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patpil:Desktop:SESA%20Funding%20Comparison%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SESA's Actual Funding vs Funding if Equivalent to BSA vs</a:t>
            </a:r>
            <a:r>
              <a:rPr lang="en-US" baseline="0"/>
              <a:t> </a:t>
            </a:r>
            <a:r>
              <a:rPr lang="en-US"/>
              <a:t>Student Count</a:t>
            </a:r>
          </a:p>
        </c:rich>
      </c:tx>
      <c:layout>
        <c:manualLayout>
          <c:xMode val="edge"/>
          <c:yMode val="edge"/>
          <c:x val="0.16650113960898899"/>
          <c:y val="1.4275520696807299E-2"/>
        </c:manualLayout>
      </c:layout>
      <c:overlay val="0"/>
    </c:title>
    <c:autoTitleDeleted val="0"/>
    <c:plotArea>
      <c:layout/>
      <c:barChart>
        <c:barDir val="col"/>
        <c:grouping val="clustered"/>
        <c:varyColors val="0"/>
        <c:ser>
          <c:idx val="0"/>
          <c:order val="0"/>
          <c:tx>
            <c:strRef>
              <c:f>'[SESA Funding Comparison Chart.xlsx]Data'!$D$1</c:f>
              <c:strCache>
                <c:ptCount val="1"/>
                <c:pt idx="0">
                  <c:v>SESA's Actual Funding</c:v>
                </c:pt>
              </c:strCache>
            </c:strRef>
          </c:tx>
          <c:invertIfNegative val="0"/>
          <c:trendline>
            <c:spPr>
              <a:ln w="28575">
                <a:solidFill>
                  <a:schemeClr val="accent1">
                    <a:lumMod val="75000"/>
                  </a:schemeClr>
                </a:solidFill>
              </a:ln>
            </c:spPr>
            <c:trendlineType val="linear"/>
            <c:dispRSqr val="0"/>
            <c:dispEq val="0"/>
          </c:trendline>
          <c:cat>
            <c:numRef>
              <c:f>'[SESA Funding Comparison Chart.xlsx]Data'!$A$15:$A$25</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'[SESA Funding Comparison Chart.xlsx]Data'!$D$15:$D$25</c:f>
              <c:numCache>
                <c:formatCode>_(* #,##0_);_(* \(#,##0\);_(* "-"??_);_(@_)</c:formatCode>
                <c:ptCount val="11"/>
                <c:pt idx="0">
                  <c:v>2074220</c:v>
                </c:pt>
                <c:pt idx="1">
                  <c:v>2083036</c:v>
                </c:pt>
                <c:pt idx="2">
                  <c:v>2164547</c:v>
                </c:pt>
                <c:pt idx="3">
                  <c:v>2242800</c:v>
                </c:pt>
                <c:pt idx="4">
                  <c:v>2246600</c:v>
                </c:pt>
                <c:pt idx="5">
                  <c:v>2069100</c:v>
                </c:pt>
                <c:pt idx="6">
                  <c:v>2072312</c:v>
                </c:pt>
                <c:pt idx="7">
                  <c:v>2072312</c:v>
                </c:pt>
                <c:pt idx="8">
                  <c:v>2031304</c:v>
                </c:pt>
                <c:pt idx="9">
                  <c:v>2026100</c:v>
                </c:pt>
                <c:pt idx="10">
                  <c:v>2021600</c:v>
                </c:pt>
              </c:numCache>
            </c:numRef>
          </c:val>
        </c:ser>
        <c:ser>
          <c:idx val="1"/>
          <c:order val="1"/>
          <c:tx>
            <c:strRef>
              <c:f>'[SESA Funding Comparison Chart.xlsx]Data'!$E$1</c:f>
              <c:strCache>
                <c:ptCount val="1"/>
                <c:pt idx="0">
                  <c:v>SESA's Funding as a Percentage of ADM</c:v>
                </c:pt>
              </c:strCache>
            </c:strRef>
          </c:tx>
          <c:invertIfNegative val="0"/>
          <c:cat>
            <c:numRef>
              <c:f>'[SESA Funding Comparison Chart.xlsx]Data'!$A$15:$A$25</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'[SESA Funding Comparison Chart.xlsx]Data'!$E$15:$E$25</c:f>
              <c:numCache>
                <c:formatCode>0.00%</c:formatCode>
                <c:ptCount val="11"/>
                <c:pt idx="0">
                  <c:v>6.3761920143475606E-2</c:v>
                </c:pt>
                <c:pt idx="1">
                  <c:v>6.3690526711972298E-2</c:v>
                </c:pt>
                <c:pt idx="2">
                  <c:v>6.1206705144309599E-2</c:v>
                </c:pt>
                <c:pt idx="3">
                  <c:v>5.8686708578562501E-2</c:v>
                </c:pt>
                <c:pt idx="4">
                  <c:v>5.8278153654411101E-2</c:v>
                </c:pt>
                <c:pt idx="5">
                  <c:v>6.3439886907351001E-2</c:v>
                </c:pt>
                <c:pt idx="6">
                  <c:v>6.28111066287316E-2</c:v>
                </c:pt>
                <c:pt idx="7">
                  <c:v>6.2237365802060698E-2</c:v>
                </c:pt>
                <c:pt idx="8">
                  <c:v>6.3201150590950397E-2</c:v>
                </c:pt>
                <c:pt idx="9">
                  <c:v>6.3781980158925999E-2</c:v>
                </c:pt>
                <c:pt idx="10">
                  <c:v>6.3833948357736398E-2</c:v>
                </c:pt>
              </c:numCache>
            </c:numRef>
          </c:val>
        </c:ser>
        <c:ser>
          <c:idx val="3"/>
          <c:order val="2"/>
          <c:tx>
            <c:strRef>
              <c:f>'[SESA Funding Comparison Chart.xlsx]Data'!$G$1</c:f>
              <c:strCache>
                <c:ptCount val="1"/>
                <c:pt idx="0">
                  <c:v>SESA's Funding if Equivalent to BSA</c:v>
                </c:pt>
              </c:strCache>
            </c:strRef>
          </c:tx>
          <c:spPr>
            <a:solidFill>
              <a:schemeClr val="accent2">
                <a:lumMod val="75000"/>
              </a:schemeClr>
            </a:solidFill>
          </c:spPr>
          <c:invertIfNegative val="0"/>
          <c:cat>
            <c:numRef>
              <c:f>'[SESA Funding Comparison Chart.xlsx]Data'!$A$15:$A$25</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'[SESA Funding Comparison Chart.xlsx]Data'!$G$15:$G$25</c:f>
              <c:numCache>
                <c:formatCode>_(\$* #,##0.00_);_(\$* \(#,##0.00\);_(\$* "-"??_);_(@_)</c:formatCode>
                <c:ptCount val="11"/>
                <c:pt idx="0">
                  <c:v>2074220</c:v>
                </c:pt>
                <c:pt idx="1">
                  <c:v>2120044.1901966999</c:v>
                </c:pt>
                <c:pt idx="2">
                  <c:v>2126671.0790482201</c:v>
                </c:pt>
                <c:pt idx="3">
                  <c:v>2207914.5075590098</c:v>
                </c:pt>
                <c:pt idx="4">
                  <c:v>2407690.46284264</c:v>
                </c:pt>
                <c:pt idx="5">
                  <c:v>2574498.82277284</c:v>
                </c:pt>
                <c:pt idx="6">
                  <c:v>2822997.4950380698</c:v>
                </c:pt>
                <c:pt idx="7">
                  <c:v>2799356.4300380698</c:v>
                </c:pt>
                <c:pt idx="8">
                  <c:v>2825343.3919797</c:v>
                </c:pt>
                <c:pt idx="9">
                  <c:v>2863640.15577411</c:v>
                </c:pt>
                <c:pt idx="10">
                  <c:v>2934212.3904060898</c:v>
                </c:pt>
              </c:numCache>
            </c:numRef>
          </c:val>
        </c:ser>
        <c:dLbls>
          <c:showLegendKey val="0"/>
          <c:showVal val="0"/>
          <c:showCatName val="0"/>
          <c:showSerName val="0"/>
          <c:showPercent val="0"/>
          <c:showBubbleSize val="0"/>
        </c:dLbls>
        <c:gapWidth val="180"/>
        <c:axId val="47624192"/>
        <c:axId val="47625728"/>
      </c:barChart>
      <c:barChart>
        <c:barDir val="col"/>
        <c:grouping val="clustered"/>
        <c:varyColors val="0"/>
        <c:ser>
          <c:idx val="4"/>
          <c:order val="3"/>
          <c:tx>
            <c:v>LID Student Count</c:v>
          </c:tx>
          <c:spPr>
            <a:solidFill>
              <a:schemeClr val="accent3">
                <a:lumMod val="75000"/>
              </a:schemeClr>
            </a:solidFill>
          </c:spPr>
          <c:invertIfNegative val="0"/>
          <c:trendline>
            <c:spPr>
              <a:ln w="28575">
                <a:solidFill>
                  <a:schemeClr val="accent3">
                    <a:lumMod val="75000"/>
                  </a:schemeClr>
                </a:solidFill>
              </a:ln>
            </c:spPr>
            <c:trendlineType val="linear"/>
            <c:dispRSqr val="0"/>
            <c:dispEq val="0"/>
          </c:trendline>
          <c:cat>
            <c:numRef>
              <c:f>'[SESA Funding Comparison Chart.xlsx]Data'!$A$15:$A$25</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'[SESA Funding Comparison Chart.xlsx]Data'!$B$15:$B$25</c:f>
              <c:numCache>
                <c:formatCode>General</c:formatCode>
                <c:ptCount val="11"/>
                <c:pt idx="0">
                  <c:v>180</c:v>
                </c:pt>
                <c:pt idx="1">
                  <c:v>197</c:v>
                </c:pt>
                <c:pt idx="2">
                  <c:v>186</c:v>
                </c:pt>
                <c:pt idx="3">
                  <c:v>200</c:v>
                </c:pt>
                <c:pt idx="4">
                  <c:v>212</c:v>
                </c:pt>
                <c:pt idx="5">
                  <c:v>235</c:v>
                </c:pt>
                <c:pt idx="6">
                  <c:v>241</c:v>
                </c:pt>
                <c:pt idx="7">
                  <c:v>259</c:v>
                </c:pt>
                <c:pt idx="8">
                  <c:v>245</c:v>
                </c:pt>
                <c:pt idx="9">
                  <c:v>253</c:v>
                </c:pt>
                <c:pt idx="10">
                  <c:v>251</c:v>
                </c:pt>
              </c:numCache>
            </c:numRef>
          </c:val>
        </c:ser>
        <c:dLbls>
          <c:showLegendKey val="0"/>
          <c:showVal val="0"/>
          <c:showCatName val="0"/>
          <c:showSerName val="0"/>
          <c:showPercent val="0"/>
          <c:showBubbleSize val="0"/>
        </c:dLbls>
        <c:gapWidth val="381"/>
        <c:overlap val="-100"/>
        <c:axId val="43144320"/>
        <c:axId val="125750656"/>
      </c:barChart>
      <c:catAx>
        <c:axId val="47624192"/>
        <c:scaling>
          <c:orientation val="minMax"/>
        </c:scaling>
        <c:delete val="0"/>
        <c:axPos val="b"/>
        <c:numFmt formatCode="General" sourceLinked="1"/>
        <c:majorTickMark val="none"/>
        <c:minorTickMark val="none"/>
        <c:tickLblPos val="nextTo"/>
        <c:txPr>
          <a:bodyPr rot="-2040000" vert="horz"/>
          <a:lstStyle/>
          <a:p>
            <a:pPr>
              <a:defRPr/>
            </a:pPr>
            <a:endParaRPr lang="en-US"/>
          </a:p>
        </c:txPr>
        <c:crossAx val="47625728"/>
        <c:crosses val="autoZero"/>
        <c:auto val="1"/>
        <c:lblAlgn val="ctr"/>
        <c:lblOffset val="100"/>
        <c:noMultiLvlLbl val="0"/>
      </c:catAx>
      <c:valAx>
        <c:axId val="47625728"/>
        <c:scaling>
          <c:orientation val="minMax"/>
          <c:min val="1800000"/>
        </c:scaling>
        <c:delete val="0"/>
        <c:axPos val="l"/>
        <c:majorGridlines/>
        <c:numFmt formatCode="&quot;$&quot;#,##0" sourceLinked="0"/>
        <c:majorTickMark val="none"/>
        <c:minorTickMark val="none"/>
        <c:tickLblPos val="nextTo"/>
        <c:crossAx val="47624192"/>
        <c:crosses val="autoZero"/>
        <c:crossBetween val="between"/>
      </c:valAx>
      <c:valAx>
        <c:axId val="125750656"/>
        <c:scaling>
          <c:orientation val="minMax"/>
        </c:scaling>
        <c:delete val="0"/>
        <c:axPos val="r"/>
        <c:numFmt formatCode="General" sourceLinked="1"/>
        <c:majorTickMark val="out"/>
        <c:minorTickMark val="none"/>
        <c:tickLblPos val="nextTo"/>
        <c:crossAx val="43144320"/>
        <c:crosses val="max"/>
        <c:crossBetween val="between"/>
      </c:valAx>
      <c:catAx>
        <c:axId val="43144320"/>
        <c:scaling>
          <c:orientation val="minMax"/>
        </c:scaling>
        <c:delete val="1"/>
        <c:axPos val="b"/>
        <c:numFmt formatCode="General" sourceLinked="1"/>
        <c:majorTickMark val="out"/>
        <c:minorTickMark val="none"/>
        <c:tickLblPos val="none"/>
        <c:crossAx val="125750656"/>
        <c:crosses val="autoZero"/>
        <c:auto val="1"/>
        <c:lblAlgn val="ctr"/>
        <c:lblOffset val="100"/>
        <c:noMultiLvlLbl val="0"/>
      </c:catAx>
    </c:plotArea>
    <c:legend>
      <c:legendPos val="b"/>
      <c:legendEntry>
        <c:idx val="1"/>
        <c:delete val="1"/>
      </c:legendEntry>
      <c:layout>
        <c:manualLayout>
          <c:xMode val="edge"/>
          <c:yMode val="edge"/>
          <c:x val="0.122084484722429"/>
          <c:y val="0.90269529945120597"/>
          <c:w val="0.84866230688101196"/>
          <c:h val="9.7304646805632999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Special Education Service Agency</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Dale</dc:creator>
  <cp:lastModifiedBy>Administrator</cp:lastModifiedBy>
  <cp:revision>2</cp:revision>
  <cp:lastPrinted>2012-02-03T21:34:00Z</cp:lastPrinted>
  <dcterms:created xsi:type="dcterms:W3CDTF">2012-02-03T21:34:00Z</dcterms:created>
  <dcterms:modified xsi:type="dcterms:W3CDTF">2012-02-03T21:34:00Z</dcterms:modified>
</cp:coreProperties>
</file>