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4AD8" w14:textId="42D31690" w:rsidR="00C300EF" w:rsidRDefault="00C300EF"/>
    <w:p w14:paraId="371560D7" w14:textId="1C6715A0" w:rsidR="00C300EF" w:rsidRDefault="00C300EF">
      <w:r>
        <w:t>September 7, 2021</w:t>
      </w:r>
    </w:p>
    <w:p w14:paraId="39B556EB" w14:textId="3ED7BBE5" w:rsidR="00C300EF" w:rsidRDefault="00C300EF">
      <w:r>
        <w:t>RE: SJR/HJR 301</w:t>
      </w:r>
    </w:p>
    <w:p w14:paraId="3EA3382D" w14:textId="58AB8A08" w:rsidR="00C64626" w:rsidRDefault="00063D5C">
      <w:r>
        <w:t xml:space="preserve">The Alaska Municipal League (AML) works to strengthen local governments in Alaska. The stability and well-being of local governments is intertwined with that of the State. </w:t>
      </w:r>
      <w:r w:rsidR="004D27FF">
        <w:t>The State’s budget uncertainty directly and negatively impacts local governments.</w:t>
      </w:r>
    </w:p>
    <w:p w14:paraId="6817C517" w14:textId="0FC47412" w:rsidR="004D27FF" w:rsidRDefault="004D27FF">
      <w:r>
        <w:t xml:space="preserve">AML has advocated for a sustainable fiscal plan since at least 2015, and currently is supportive of a comprehensive approach that includes new revenues. </w:t>
      </w:r>
      <w:r w:rsidR="00FA7515">
        <w:t>Our support of new and/or additional revenues is based on current underfunding of budget items directly relevant to local governments. As part of a discussion about new revenues, however, we recognize other component pieces of a comprehensive plan, including calls for a spending cap or appropriations limit.</w:t>
      </w:r>
    </w:p>
    <w:p w14:paraId="423C82B5" w14:textId="755005B9" w:rsidR="00FA7515" w:rsidRDefault="00FA7515">
      <w:r>
        <w:t>Of course, timing is important – some may argue for no new revenue without a spending cap first. We would argue for no spending cap until there was something more to spend. Pulling these lever</w:t>
      </w:r>
      <w:r w:rsidR="00C300EF">
        <w:t>s</w:t>
      </w:r>
      <w:r>
        <w:t xml:space="preserve"> simultaneously makes sense, even if they don’t all come from the same bill sponsor.</w:t>
      </w:r>
    </w:p>
    <w:p w14:paraId="2083647D" w14:textId="232092CD" w:rsidR="00FA7515" w:rsidRDefault="00FA7515">
      <w:r>
        <w:t>With that in mind, we are appreciative of Rep. Kaufman</w:t>
      </w:r>
      <w:r w:rsidR="00415C47">
        <w:t>’s</w:t>
      </w:r>
      <w:r>
        <w:t xml:space="preserve"> and Sen. Myers’ common-sense approach to an appropriation limit. </w:t>
      </w:r>
    </w:p>
    <w:p w14:paraId="42CEB64F" w14:textId="09F589B8" w:rsidR="00063D5C" w:rsidRDefault="00FA7515">
      <w:r>
        <w:t xml:space="preserve">AML likes that this proposal is tied to economic activity in Alaska. Doing so, especially alongside new revenues, brings the State closer to the economy than it’s ever been. While new revenues would make citizens taxpayers – a cap on spending in and of itself – an appropriations limit tied to economic growth means that it’s in the interest of the State to </w:t>
      </w:r>
      <w:r w:rsidR="00415C47">
        <w:t>strengthen</w:t>
      </w:r>
      <w:r>
        <w:t xml:space="preserve"> economic development.</w:t>
      </w:r>
    </w:p>
    <w:p w14:paraId="3677F49E" w14:textId="18E2B992" w:rsidR="00FA7515" w:rsidRDefault="00FA7515">
      <w:r>
        <w:t xml:space="preserve">The current proposal leaves “headroom” for spending. That’s important, because of the deficiencies of current spending. We know that State spending hasn’t kept pace with inflation for public education, community and regional jails, Community Assistance, nor many other programs. State spending has also been unable to afford to pay debts to reimburse local government for school construction and major maintenance, even as the State itself is unable to take on those capital costs. </w:t>
      </w:r>
      <w:r w:rsidR="005C1F8F">
        <w:t>The fact that this proposal doesn’t take this current budget as a baseline, but leaves room for the budget to correspond to needs, is a good thing.</w:t>
      </w:r>
      <w:r w:rsidR="00415C47">
        <w:t xml:space="preserve"> The State can make necessary investments that promote growth and provide stability.</w:t>
      </w:r>
    </w:p>
    <w:p w14:paraId="1E68CCD1" w14:textId="45CF71B5" w:rsidR="005C1F8F" w:rsidRDefault="005C1F8F">
      <w:r>
        <w:t>AML would recommend that under the exceptions to the cap be added the ability to reimburse for debt obligations taken on by local governments, when the State didn’t act directly</w:t>
      </w:r>
      <w:r w:rsidR="00415C47">
        <w:t xml:space="preserve"> (including for schools and harbors)</w:t>
      </w:r>
      <w:r>
        <w:t>. That could simply be an</w:t>
      </w:r>
      <w:r w:rsidR="00415C47">
        <w:t xml:space="preserve"> change </w:t>
      </w:r>
      <w:r>
        <w:t xml:space="preserve">to line 8 of page 1, edited to say “appropriations required to pay </w:t>
      </w:r>
      <w:r w:rsidRPr="005C1F8F">
        <w:rPr>
          <w:b/>
          <w:bCs/>
        </w:rPr>
        <w:t>or reimburse the State’s portion</w:t>
      </w:r>
      <w:r>
        <w:t xml:space="preserve"> </w:t>
      </w:r>
      <w:r w:rsidRPr="005C1F8F">
        <w:rPr>
          <w:b/>
          <w:bCs/>
        </w:rPr>
        <w:t>of</w:t>
      </w:r>
      <w:r>
        <w:t xml:space="preserve"> principal or interest on revenue bonds and general obligation bonds…”</w:t>
      </w:r>
    </w:p>
    <w:p w14:paraId="3A7F2332" w14:textId="2C63DE88" w:rsidR="005C1F8F" w:rsidRDefault="005C1F8F">
      <w:r>
        <w:t>We note that the proposals of real GDP calculation do not account for government spending. It could be that this should only refer to State spending, such that the State is unable to tilt the appropriation limit in its favor, and also recognizing that local and federal spending are independent of State decision-</w:t>
      </w:r>
      <w:r>
        <w:lastRenderedPageBreak/>
        <w:t xml:space="preserve">making, are prominent within Alaska’s GDP, and themselves provide a smoothing of boom-and-bust cycles. </w:t>
      </w:r>
    </w:p>
    <w:p w14:paraId="0E5CCE5E" w14:textId="2D5213ED" w:rsidR="00136002" w:rsidRDefault="00136002">
      <w:r>
        <w:t>In terms of this being a Constitutional amendment, we ask that the Legislature consider putting this in statute first, with a clause that triggers voter approval if after five years it has been effective – or not – in law. Essentially, AML would like to make sure this works and well before placing it in the Constitution.</w:t>
      </w:r>
    </w:p>
    <w:p w14:paraId="2FB5B8D3" w14:textId="53160D0F" w:rsidR="00136002" w:rsidRDefault="00136002">
      <w:r>
        <w:t>In summary, AML is supportive of a comprehensive fiscal package, of which a spending cap is a plausible component. The version offered by Sen. Myers and Rep. Kaufman may serve as a good starting point to move this effort forward.</w:t>
      </w:r>
    </w:p>
    <w:p w14:paraId="0FFFE180" w14:textId="583336E0" w:rsidR="00C300EF" w:rsidRDefault="00C300EF">
      <w:r>
        <w:rPr>
          <w:noProof/>
        </w:rPr>
        <w:drawing>
          <wp:anchor distT="0" distB="0" distL="114300" distR="114300" simplePos="0" relativeHeight="251658240" behindDoc="1" locked="0" layoutInCell="1" allowOverlap="1" wp14:anchorId="12FE342F" wp14:editId="29E29F53">
            <wp:simplePos x="0" y="0"/>
            <wp:positionH relativeFrom="margin">
              <wp:align>left</wp:align>
            </wp:positionH>
            <wp:positionV relativeFrom="paragraph">
              <wp:posOffset>32385</wp:posOffset>
            </wp:positionV>
            <wp:extent cx="1481701" cy="704850"/>
            <wp:effectExtent l="0" t="0" r="4445" b="0"/>
            <wp:wrapNone/>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1701" cy="704850"/>
                    </a:xfrm>
                    <a:prstGeom prst="rect">
                      <a:avLst/>
                    </a:prstGeom>
                  </pic:spPr>
                </pic:pic>
              </a:graphicData>
            </a:graphic>
            <wp14:sizeRelH relativeFrom="margin">
              <wp14:pctWidth>0</wp14:pctWidth>
            </wp14:sizeRelH>
            <wp14:sizeRelV relativeFrom="margin">
              <wp14:pctHeight>0</wp14:pctHeight>
            </wp14:sizeRelV>
          </wp:anchor>
        </w:drawing>
      </w:r>
      <w:r>
        <w:t>Respectfully,</w:t>
      </w:r>
    </w:p>
    <w:p w14:paraId="5EF25683" w14:textId="15D64574" w:rsidR="00C300EF" w:rsidRDefault="00C300EF"/>
    <w:p w14:paraId="6BF49455" w14:textId="64371B23" w:rsidR="00C300EF" w:rsidRDefault="00C300EF" w:rsidP="00C300EF">
      <w:pPr>
        <w:spacing w:after="0"/>
      </w:pPr>
      <w:r>
        <w:t>Nils Andreassen</w:t>
      </w:r>
    </w:p>
    <w:p w14:paraId="3118ECCD" w14:textId="386D2294" w:rsidR="00C300EF" w:rsidRDefault="00C300EF">
      <w:r>
        <w:t>Executive Director</w:t>
      </w:r>
    </w:p>
    <w:sectPr w:rsidR="00C300EF" w:rsidSect="00C300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0B9D" w14:textId="77777777" w:rsidR="00C963A7" w:rsidRDefault="00C963A7" w:rsidP="00C300EF">
      <w:pPr>
        <w:spacing w:after="0" w:line="240" w:lineRule="auto"/>
      </w:pPr>
      <w:r>
        <w:separator/>
      </w:r>
    </w:p>
  </w:endnote>
  <w:endnote w:type="continuationSeparator" w:id="0">
    <w:p w14:paraId="79B486B1" w14:textId="77777777" w:rsidR="00C963A7" w:rsidRDefault="00C963A7" w:rsidP="00C3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EDD4" w14:textId="77777777" w:rsidR="00C963A7" w:rsidRDefault="00C963A7" w:rsidP="00C300EF">
      <w:pPr>
        <w:spacing w:after="0" w:line="240" w:lineRule="auto"/>
      </w:pPr>
      <w:r>
        <w:separator/>
      </w:r>
    </w:p>
  </w:footnote>
  <w:footnote w:type="continuationSeparator" w:id="0">
    <w:p w14:paraId="73B61805" w14:textId="77777777" w:rsidR="00C963A7" w:rsidRDefault="00C963A7" w:rsidP="00C3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14F8" w14:textId="03DA4D58" w:rsidR="00C300EF" w:rsidRDefault="00C300EF">
    <w:pPr>
      <w:pStyle w:val="Header"/>
    </w:pPr>
    <w:r>
      <w:rPr>
        <w:noProof/>
      </w:rPr>
      <w:drawing>
        <wp:inline distT="0" distB="0" distL="0" distR="0" wp14:anchorId="68D5DB18" wp14:editId="17D157FE">
          <wp:extent cx="5943600" cy="108902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89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5C"/>
    <w:rsid w:val="00026413"/>
    <w:rsid w:val="00063D5C"/>
    <w:rsid w:val="00136002"/>
    <w:rsid w:val="00415C47"/>
    <w:rsid w:val="004D27FF"/>
    <w:rsid w:val="005C1F8F"/>
    <w:rsid w:val="00C300EF"/>
    <w:rsid w:val="00C64626"/>
    <w:rsid w:val="00C963A7"/>
    <w:rsid w:val="00FA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05FB6"/>
  <w15:chartTrackingRefBased/>
  <w15:docId w15:val="{06028518-365C-485F-9C34-68327E11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0EF"/>
  </w:style>
  <w:style w:type="paragraph" w:styleId="Footer">
    <w:name w:val="footer"/>
    <w:basedOn w:val="Normal"/>
    <w:link w:val="FooterChar"/>
    <w:uiPriority w:val="99"/>
    <w:unhideWhenUsed/>
    <w:rsid w:val="00C3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Andreassen</dc:creator>
  <cp:keywords/>
  <dc:description/>
  <cp:lastModifiedBy>Nils Andreassen</cp:lastModifiedBy>
  <cp:revision>3</cp:revision>
  <dcterms:created xsi:type="dcterms:W3CDTF">2021-09-07T18:47:00Z</dcterms:created>
  <dcterms:modified xsi:type="dcterms:W3CDTF">2021-09-07T22:10:00Z</dcterms:modified>
</cp:coreProperties>
</file>