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83B" w:rsidRDefault="00A65081">
      <w:pPr>
        <w:pStyle w:val="Caption"/>
        <w:rPr>
          <w:sz w:val="56"/>
        </w:rPr>
      </w:pPr>
      <w:r>
        <w:rPr>
          <w:noProof/>
          <w:sz w:val="56"/>
        </w:rPr>
        <w:drawing>
          <wp:anchor distT="0" distB="0" distL="114300" distR="114300" simplePos="0" relativeHeight="251658240" behindDoc="0" locked="0" layoutInCell="0" allowOverlap="1">
            <wp:simplePos x="0" y="0"/>
            <wp:positionH relativeFrom="column">
              <wp:posOffset>4260215</wp:posOffset>
            </wp:positionH>
            <wp:positionV relativeFrom="paragraph">
              <wp:posOffset>-274320</wp:posOffset>
            </wp:positionV>
            <wp:extent cx="1226185" cy="118872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l="-1219" t="-288" r="-1219" b="6895"/>
                    <a:stretch>
                      <a:fillRect/>
                    </a:stretch>
                  </pic:blipFill>
                  <pic:spPr bwMode="auto">
                    <a:xfrm>
                      <a:off x="0" y="0"/>
                      <a:ext cx="1226185" cy="1188720"/>
                    </a:xfrm>
                    <a:prstGeom prst="rect">
                      <a:avLst/>
                    </a:prstGeom>
                    <a:noFill/>
                    <a:ln w="9525">
                      <a:noFill/>
                      <a:miter lim="800000"/>
                      <a:headEnd/>
                      <a:tailEnd/>
                    </a:ln>
                  </pic:spPr>
                </pic:pic>
              </a:graphicData>
            </a:graphic>
          </wp:anchor>
        </w:drawing>
      </w:r>
      <w:r w:rsidR="00DF683B">
        <w:rPr>
          <w:sz w:val="56"/>
        </w:rPr>
        <w:t>Senator Lyman Hoffman</w:t>
      </w:r>
    </w:p>
    <w:p w:rsidR="006C04B0" w:rsidRPr="006C04B0" w:rsidRDefault="006C04B0">
      <w:pPr>
        <w:jc w:val="both"/>
        <w:rPr>
          <w:rFonts w:ascii="Times New Roman" w:hAnsi="Times New Roman"/>
          <w:b/>
          <w:sz w:val="24"/>
        </w:rPr>
      </w:pPr>
      <w:r w:rsidRPr="006C04B0">
        <w:rPr>
          <w:rFonts w:ascii="Times New Roman" w:hAnsi="Times New Roman"/>
          <w:b/>
          <w:sz w:val="24"/>
        </w:rPr>
        <w:t>Co-Chair, Senate Finance Committee</w:t>
      </w:r>
    </w:p>
    <w:p w:rsidR="006C04B0" w:rsidRDefault="006C04B0">
      <w:pPr>
        <w:jc w:val="both"/>
        <w:rPr>
          <w:rFonts w:ascii="Times New Roman" w:hAnsi="Times New Roman"/>
          <w:b/>
          <w:i/>
          <w:sz w:val="24"/>
        </w:rPr>
      </w:pPr>
    </w:p>
    <w:p w:rsidR="00DF683B" w:rsidRDefault="006C04B0">
      <w:pPr>
        <w:jc w:val="both"/>
        <w:rPr>
          <w:rFonts w:ascii="Times New Roman" w:hAnsi="Times New Roman"/>
          <w:b/>
          <w:i/>
          <w:sz w:val="24"/>
        </w:rPr>
      </w:pPr>
      <w:r>
        <w:rPr>
          <w:rFonts w:ascii="Times New Roman" w:hAnsi="Times New Roman"/>
          <w:b/>
          <w:i/>
          <w:sz w:val="24"/>
        </w:rPr>
        <w:t>Room 518</w:t>
      </w:r>
      <w:r w:rsidR="00DF683B">
        <w:rPr>
          <w:rFonts w:ascii="Times New Roman" w:hAnsi="Times New Roman"/>
          <w:b/>
          <w:i/>
          <w:sz w:val="24"/>
        </w:rPr>
        <w:t>, Capital Building</w:t>
      </w:r>
    </w:p>
    <w:p w:rsidR="00DF683B" w:rsidRDefault="00DF683B">
      <w:pPr>
        <w:jc w:val="both"/>
        <w:rPr>
          <w:rFonts w:ascii="Times New Roman" w:hAnsi="Times New Roman"/>
          <w:b/>
          <w:i/>
          <w:sz w:val="24"/>
        </w:rPr>
      </w:pPr>
      <w:r>
        <w:rPr>
          <w:rFonts w:ascii="Times New Roman" w:hAnsi="Times New Roman"/>
          <w:b/>
          <w:i/>
          <w:sz w:val="24"/>
        </w:rPr>
        <w:t>Phone 465-4453 / Fax 465-4523</w:t>
      </w:r>
    </w:p>
    <w:p w:rsidR="00DF683B" w:rsidRDefault="00DF683B">
      <w:pPr>
        <w:jc w:val="both"/>
        <w:rPr>
          <w:rFonts w:ascii="Times New Roman" w:hAnsi="Times New Roman"/>
          <w:b/>
          <w:i/>
          <w:sz w:val="24"/>
        </w:rPr>
      </w:pPr>
    </w:p>
    <w:p w:rsidR="00DF683B" w:rsidRDefault="00DF683B">
      <w:pPr>
        <w:jc w:val="both"/>
        <w:rPr>
          <w:rFonts w:ascii="Times New Roman" w:hAnsi="Times New Roman"/>
          <w:b/>
          <w:i/>
          <w:sz w:val="40"/>
        </w:rPr>
      </w:pPr>
      <w:r>
        <w:rPr>
          <w:rFonts w:ascii="Times New Roman" w:hAnsi="Times New Roman"/>
          <w:b/>
          <w:i/>
          <w:sz w:val="40"/>
        </w:rPr>
        <w:t>Memorandum</w:t>
      </w:r>
    </w:p>
    <w:p w:rsidR="00DF683B" w:rsidRDefault="00DF683B">
      <w:pPr>
        <w:jc w:val="both"/>
        <w:rPr>
          <w:rFonts w:ascii="Times New Roman" w:hAnsi="Times New Roman"/>
          <w:i/>
          <w:sz w:val="22"/>
        </w:rPr>
      </w:pPr>
    </w:p>
    <w:p w:rsidR="00DF683B" w:rsidRDefault="00DF683B">
      <w:pPr>
        <w:jc w:val="both"/>
        <w:rPr>
          <w:rFonts w:ascii="Times New Roman" w:hAnsi="Times New Roman"/>
          <w:i/>
          <w:color w:val="000000"/>
          <w:sz w:val="22"/>
        </w:rPr>
      </w:pPr>
      <w:r>
        <w:rPr>
          <w:rFonts w:ascii="Times New Roman" w:hAnsi="Times New Roman"/>
          <w:i/>
          <w:sz w:val="22"/>
        </w:rPr>
        <w:tab/>
      </w:r>
    </w:p>
    <w:p w:rsidR="00DF683B" w:rsidRDefault="00DF683B">
      <w:pPr>
        <w:jc w:val="both"/>
        <w:rPr>
          <w:color w:val="000000"/>
        </w:rPr>
      </w:pPr>
      <w:r>
        <w:rPr>
          <w:noProof/>
          <w:color w:val="000000"/>
        </w:rPr>
        <w:pict>
          <v:line id="_x0000_s1026" style="position:absolute;left:0;text-align:left;flip:y;z-index:251657216" from="-14.4pt,10.8pt" to="453.6pt,10.8pt" o:allowincell="f" strokeweight="4.5pt">
            <v:stroke linestyle="thickThin"/>
          </v:line>
        </w:pict>
      </w:r>
    </w:p>
    <w:p w:rsidR="00DF683B" w:rsidRDefault="00DF683B">
      <w:pPr>
        <w:jc w:val="both"/>
        <w:rPr>
          <w:color w:val="000000"/>
        </w:rPr>
      </w:pPr>
    </w:p>
    <w:p w:rsidR="00DF683B" w:rsidRDefault="00DF683B">
      <w:pPr>
        <w:jc w:val="center"/>
        <w:rPr>
          <w:rFonts w:ascii="Times New Roman" w:hAnsi="Times New Roman"/>
          <w:sz w:val="24"/>
        </w:rPr>
      </w:pPr>
    </w:p>
    <w:p w:rsidR="00DF683B" w:rsidRDefault="00DF683B">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TIME \@ "MMMM d, yyyy" </w:instrText>
      </w:r>
      <w:r>
        <w:rPr>
          <w:rFonts w:ascii="Times New Roman" w:hAnsi="Times New Roman"/>
          <w:sz w:val="24"/>
        </w:rPr>
        <w:fldChar w:fldCharType="separate"/>
      </w:r>
      <w:r w:rsidR="00A65081">
        <w:rPr>
          <w:rFonts w:ascii="Times New Roman" w:hAnsi="Times New Roman"/>
          <w:noProof/>
          <w:sz w:val="24"/>
        </w:rPr>
        <w:t>April 11, 2011</w:t>
      </w:r>
      <w:r>
        <w:rPr>
          <w:rFonts w:ascii="Times New Roman" w:hAnsi="Times New Roman"/>
          <w:sz w:val="24"/>
        </w:rPr>
        <w:fldChar w:fldCharType="end"/>
      </w:r>
    </w:p>
    <w:p w:rsidR="00DF683B" w:rsidRDefault="00DF683B">
      <w:pPr>
        <w:jc w:val="both"/>
        <w:rPr>
          <w:rFonts w:ascii="Times New Roman" w:hAnsi="Times New Roman"/>
          <w:sz w:val="24"/>
        </w:rPr>
      </w:pPr>
    </w:p>
    <w:p w:rsidR="00DF683B" w:rsidRDefault="00DF683B">
      <w:pPr>
        <w:jc w:val="both"/>
        <w:rPr>
          <w:rFonts w:ascii="Times New Roman" w:hAnsi="Times New Roman"/>
          <w:sz w:val="24"/>
        </w:rPr>
      </w:pPr>
    </w:p>
    <w:p w:rsidR="00DF683B" w:rsidRDefault="00DF683B">
      <w:pPr>
        <w:jc w:val="both"/>
        <w:rPr>
          <w:rFonts w:ascii="Times New Roman" w:hAnsi="Times New Roman"/>
          <w:sz w:val="24"/>
        </w:rPr>
      </w:pPr>
      <w:r>
        <w:rPr>
          <w:rFonts w:ascii="Times New Roman" w:hAnsi="Times New Roman"/>
          <w:sz w:val="24"/>
        </w:rPr>
        <w:t xml:space="preserve">To: </w:t>
      </w:r>
      <w:r>
        <w:rPr>
          <w:rFonts w:ascii="Times New Roman" w:hAnsi="Times New Roman"/>
          <w:sz w:val="24"/>
        </w:rPr>
        <w:tab/>
      </w:r>
      <w:r w:rsidR="003E4753">
        <w:rPr>
          <w:rFonts w:ascii="Times New Roman" w:hAnsi="Times New Roman"/>
          <w:sz w:val="24"/>
        </w:rPr>
        <w:t>House Finance Committee</w:t>
      </w:r>
    </w:p>
    <w:p w:rsidR="003E4753" w:rsidRDefault="003E4753">
      <w:pPr>
        <w:jc w:val="both"/>
        <w:rPr>
          <w:rFonts w:ascii="Times New Roman" w:hAnsi="Times New Roman"/>
          <w:sz w:val="24"/>
        </w:rPr>
      </w:pPr>
    </w:p>
    <w:p w:rsidR="00DF683B" w:rsidRDefault="00DF683B">
      <w:pPr>
        <w:jc w:val="both"/>
        <w:rPr>
          <w:rFonts w:ascii="Times New Roman" w:hAnsi="Times New Roman"/>
          <w:sz w:val="24"/>
        </w:rPr>
      </w:pPr>
      <w:r>
        <w:rPr>
          <w:rFonts w:ascii="Times New Roman" w:hAnsi="Times New Roman"/>
          <w:sz w:val="24"/>
        </w:rPr>
        <w:t>From:</w:t>
      </w:r>
      <w:r w:rsidR="003E4753">
        <w:rPr>
          <w:rFonts w:ascii="Times New Roman" w:hAnsi="Times New Roman"/>
          <w:sz w:val="24"/>
        </w:rPr>
        <w:t xml:space="preserve">  Senator Lyman Hoffman</w:t>
      </w:r>
      <w:r>
        <w:rPr>
          <w:rFonts w:ascii="Times New Roman" w:hAnsi="Times New Roman"/>
          <w:sz w:val="24"/>
        </w:rPr>
        <w:tab/>
      </w:r>
    </w:p>
    <w:p w:rsidR="00DF683B" w:rsidRDefault="00DF683B">
      <w:pPr>
        <w:jc w:val="both"/>
        <w:rPr>
          <w:rFonts w:ascii="Times New Roman" w:hAnsi="Times New Roman"/>
          <w:sz w:val="24"/>
        </w:rPr>
      </w:pPr>
    </w:p>
    <w:p w:rsidR="00DF683B" w:rsidRDefault="00DF683B">
      <w:pPr>
        <w:jc w:val="both"/>
        <w:rPr>
          <w:rFonts w:ascii="Times New Roman" w:hAnsi="Times New Roman"/>
          <w:sz w:val="24"/>
        </w:rPr>
      </w:pPr>
      <w:r>
        <w:rPr>
          <w:rFonts w:ascii="Times New Roman" w:hAnsi="Times New Roman"/>
          <w:sz w:val="24"/>
        </w:rPr>
        <w:t xml:space="preserve">Re: </w:t>
      </w:r>
      <w:r>
        <w:rPr>
          <w:rFonts w:ascii="Times New Roman" w:hAnsi="Times New Roman"/>
          <w:sz w:val="24"/>
        </w:rPr>
        <w:tab/>
      </w:r>
      <w:r w:rsidR="003E4753">
        <w:rPr>
          <w:rFonts w:ascii="Times New Roman" w:hAnsi="Times New Roman"/>
          <w:sz w:val="24"/>
        </w:rPr>
        <w:t>SB 102 Explanation of Changes</w:t>
      </w:r>
    </w:p>
    <w:p w:rsidR="003E4753" w:rsidRDefault="003E4753" w:rsidP="003E4753">
      <w:pPr>
        <w:rPr>
          <w:rFonts w:ascii="Times New Roman" w:hAnsi="Times New Roman"/>
          <w:sz w:val="24"/>
        </w:rPr>
      </w:pPr>
    </w:p>
    <w:p w:rsidR="003E4753" w:rsidRDefault="003E4753" w:rsidP="003E4753">
      <w:r>
        <w:t>This legislation clarifies that the Department of Health and Social Services can prorate benefits under the Alaska Affordable Heating Program should it become necessary.</w:t>
      </w:r>
    </w:p>
    <w:p w:rsidR="003E4753" w:rsidRDefault="003E4753" w:rsidP="003E4753"/>
    <w:p w:rsidR="003E4753" w:rsidRDefault="003E4753" w:rsidP="003E4753">
      <w:r>
        <w:t>The Alaska Affordable Heating program was established last year and proration language was included as part of the legislation which established the program.  However, the Department of Health and Social Services wanted this provision of the law to be clarified.   Therefore, SB 102 is not a change in policy but a clarification of the proration language.</w:t>
      </w:r>
    </w:p>
    <w:p w:rsidR="003E4753" w:rsidRDefault="003E4753" w:rsidP="003E4753">
      <w:pPr>
        <w:rPr>
          <w:b/>
        </w:rPr>
      </w:pPr>
    </w:p>
    <w:p w:rsidR="003E4753" w:rsidRDefault="003E4753" w:rsidP="003E4753">
      <w:r w:rsidRPr="000208B2">
        <w:rPr>
          <w:b/>
        </w:rPr>
        <w:t>Specific Changes</w:t>
      </w:r>
      <w:r>
        <w:t>:  The legislation has one section.  It amends AS 47.25.623(d) to add “and C” to the law to specify that should pro rationing be necessary the Department may calculate benefits differently from the guidelines contained in the law.</w:t>
      </w:r>
    </w:p>
    <w:p w:rsidR="003E4753" w:rsidRDefault="003E4753" w:rsidP="003E4753">
      <w:r>
        <w:t>Secondly, the words “on a pro-rata basis “ are added to clarify how benefits are to be calculated should it become necessary to do so.</w:t>
      </w:r>
    </w:p>
    <w:p w:rsidR="003E4753" w:rsidRDefault="003E4753" w:rsidP="003E4753">
      <w:pPr>
        <w:jc w:val="both"/>
        <w:rPr>
          <w:rFonts w:ascii="Times New Roman" w:hAnsi="Times New Roman"/>
          <w:sz w:val="24"/>
        </w:rPr>
      </w:pPr>
    </w:p>
    <w:p w:rsidR="003E4753" w:rsidRDefault="003E4753" w:rsidP="003E4753">
      <w:pPr>
        <w:jc w:val="both"/>
        <w:rPr>
          <w:rFonts w:ascii="Times New Roman" w:hAnsi="Times New Roman"/>
          <w:sz w:val="24"/>
        </w:rPr>
      </w:pPr>
    </w:p>
    <w:p w:rsidR="00DF683B" w:rsidRDefault="00DF683B">
      <w:pPr>
        <w:jc w:val="both"/>
        <w:rPr>
          <w:rFonts w:ascii="Times New Roman" w:hAnsi="Times New Roman"/>
          <w:sz w:val="24"/>
        </w:rPr>
      </w:pPr>
    </w:p>
    <w:sectPr w:rsidR="00DF683B">
      <w:type w:val="continuous"/>
      <w:pgSz w:w="12240" w:h="15840"/>
      <w:pgMar w:top="162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6C04B0"/>
    <w:rsid w:val="003E4753"/>
    <w:rsid w:val="006C04B0"/>
    <w:rsid w:val="00A65081"/>
    <w:rsid w:val="00DF68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360" w:lineRule="auto"/>
      <w:ind w:firstLine="720"/>
      <w:outlineLvl w:val="0"/>
    </w:pPr>
    <w:rPr>
      <w:rFonts w:ascii="Times New Roman" w:hAnsi="Times New Roman"/>
      <w:sz w:val="24"/>
    </w:rPr>
  </w:style>
  <w:style w:type="paragraph" w:styleId="Heading2">
    <w:name w:val="heading 2"/>
    <w:basedOn w:val="Normal"/>
    <w:next w:val="Normal"/>
    <w:qFormat/>
    <w:pPr>
      <w:keepNext/>
      <w:tabs>
        <w:tab w:val="center" w:pos="4680"/>
      </w:tabs>
      <w:jc w:val="both"/>
      <w:outlineLvl w:val="1"/>
    </w:pPr>
    <w:rPr>
      <w:rFonts w:ascii="Times New Roman" w:hAnsi="Times New Roman"/>
      <w:b/>
      <w:sz w:val="24"/>
    </w:rPr>
  </w:style>
  <w:style w:type="paragraph" w:styleId="Heading3">
    <w:name w:val="heading 3"/>
    <w:basedOn w:val="Normal"/>
    <w:next w:val="Normal"/>
    <w:qFormat/>
    <w:pPr>
      <w:keepNext/>
      <w:outlineLvl w:val="2"/>
    </w:pPr>
    <w:rPr>
      <w:rFonts w:ascii="Times New Roman" w:hAnsi="Times New Roman"/>
      <w:b/>
      <w:sz w:val="22"/>
    </w:rPr>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both"/>
    </w:pPr>
    <w:rPr>
      <w:rFonts w:ascii="Times New Roman" w:hAnsi="Times New Roman"/>
      <w:b/>
      <w:i/>
      <w:sz w:val="48"/>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style>
  <w:style w:type="paragraph" w:styleId="Title">
    <w:name w:val="Title"/>
    <w:basedOn w:val="Normal"/>
    <w:qFormat/>
    <w:pPr>
      <w:jc w:val="center"/>
    </w:pPr>
    <w:rPr>
      <w:rFonts w:ascii="Times New Roman" w:hAnsi="Times New Roman"/>
      <w:sz w:val="28"/>
      <w:szCs w:val="24"/>
    </w:rPr>
  </w:style>
  <w:style w:type="paragraph" w:styleId="BalloonText">
    <w:name w:val="Balloon Text"/>
    <w:basedOn w:val="Normal"/>
    <w:semiHidden/>
    <w:rsid w:val="006C0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Legislature</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Legislative Affairs Agency</dc:creator>
  <cp:lastModifiedBy>Administrator</cp:lastModifiedBy>
  <cp:revision>2</cp:revision>
  <cp:lastPrinted>2007-01-17T16:45:00Z</cp:lastPrinted>
  <dcterms:created xsi:type="dcterms:W3CDTF">2011-04-11T23:10:00Z</dcterms:created>
  <dcterms:modified xsi:type="dcterms:W3CDTF">2011-04-11T23:10:00Z</dcterms:modified>
</cp:coreProperties>
</file>