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57" w:rsidRDefault="00807957" w:rsidP="00B07487">
      <w:pPr>
        <w:jc w:val="center"/>
        <w:rPr>
          <w:b/>
          <w:sz w:val="26"/>
          <w:szCs w:val="26"/>
        </w:rPr>
      </w:pPr>
      <w:r w:rsidRPr="00B07487">
        <w:rPr>
          <w:b/>
          <w:sz w:val="26"/>
          <w:szCs w:val="26"/>
        </w:rPr>
        <w:t>Sponsor Statement HB 310</w:t>
      </w:r>
    </w:p>
    <w:p w:rsidR="00B07487" w:rsidRDefault="00B07487" w:rsidP="00B07487">
      <w:pPr>
        <w:jc w:val="center"/>
        <w:rPr>
          <w:b/>
          <w:sz w:val="26"/>
          <w:szCs w:val="26"/>
        </w:rPr>
      </w:pPr>
    </w:p>
    <w:p w:rsidR="00B07487" w:rsidRPr="00B07487" w:rsidRDefault="00B07487" w:rsidP="00B07487">
      <w:pPr>
        <w:jc w:val="center"/>
        <w:rPr>
          <w:b/>
          <w:sz w:val="26"/>
          <w:szCs w:val="26"/>
        </w:rPr>
      </w:pPr>
    </w:p>
    <w:p w:rsidR="00807957" w:rsidRPr="00EE6BE6" w:rsidRDefault="00807957" w:rsidP="00B07487">
      <w:pPr>
        <w:jc w:val="center"/>
        <w:rPr>
          <w:sz w:val="26"/>
          <w:szCs w:val="26"/>
        </w:rPr>
      </w:pPr>
      <w:r w:rsidRPr="00EE6BE6">
        <w:rPr>
          <w:sz w:val="26"/>
          <w:szCs w:val="26"/>
        </w:rPr>
        <w:t>School Debt Bond Reimbursement</w:t>
      </w:r>
    </w:p>
    <w:p w:rsidR="00807957" w:rsidRPr="00EE6BE6" w:rsidRDefault="00807957" w:rsidP="00807957">
      <w:pPr>
        <w:rPr>
          <w:sz w:val="26"/>
          <w:szCs w:val="26"/>
        </w:rPr>
      </w:pPr>
    </w:p>
    <w:p w:rsidR="00807957" w:rsidRPr="00EE6BE6" w:rsidRDefault="00807957" w:rsidP="00807957">
      <w:pPr>
        <w:rPr>
          <w:sz w:val="26"/>
          <w:szCs w:val="26"/>
        </w:rPr>
      </w:pPr>
      <w:r w:rsidRPr="00EE6BE6">
        <w:rPr>
          <w:sz w:val="26"/>
          <w:szCs w:val="26"/>
        </w:rPr>
        <w:t>HB 310 extends Municipal School Debt Bond Reimbursement until November 30, 2013 (it is currently scheduled to sunset on November 30</w:t>
      </w:r>
      <w:r w:rsidRPr="00EE6BE6">
        <w:rPr>
          <w:sz w:val="26"/>
          <w:szCs w:val="26"/>
          <w:vertAlign w:val="superscript"/>
        </w:rPr>
        <w:t>th</w:t>
      </w:r>
      <w:r w:rsidRPr="00EE6BE6">
        <w:rPr>
          <w:sz w:val="26"/>
          <w:szCs w:val="26"/>
        </w:rPr>
        <w:t xml:space="preserve">, 2010).  Under the program the State reimburses municipalities for up to 70% of their payments (principal and interest) made during a fiscal year for the cost of new facilities and major renovation of existing facilities.   A municipality qualifies for 70% reimbursement if their project is within the state space guidelines as laid out in 4ACC.31.020.  The percentage the State reimburses a municipality is reduced to 60% if the project exceeds those space guidelines.  </w:t>
      </w:r>
    </w:p>
    <w:p w:rsidR="00807957" w:rsidRPr="00EE6BE6" w:rsidRDefault="00807957" w:rsidP="00807957">
      <w:pPr>
        <w:rPr>
          <w:sz w:val="26"/>
          <w:szCs w:val="26"/>
        </w:rPr>
      </w:pPr>
    </w:p>
    <w:p w:rsidR="00807957" w:rsidRPr="00EE6BE6" w:rsidRDefault="00807957" w:rsidP="00807957">
      <w:pPr>
        <w:rPr>
          <w:sz w:val="26"/>
          <w:szCs w:val="26"/>
        </w:rPr>
      </w:pPr>
      <w:r w:rsidRPr="00EE6BE6">
        <w:rPr>
          <w:sz w:val="26"/>
          <w:szCs w:val="26"/>
        </w:rPr>
        <w:t xml:space="preserve">If a municipality decided to build a new school, expand or rehabilitate an existing one, they apply to the Department of Education and Early Development.  The Department determines if their application meets the 60/40 or 70/30 reimbursement schedule.  There is no time frame in which the municipality has to use the bonding authorization once it is received. If approved, the municipality goes out to bond on the project and builds, expands, or rehabilitees a school.  Payments on the bond work similar to a personal mortgage.  Once paperwork is filled out the state directly reimburses the municipality for either 60% or 70% of those payments on a bi-annual basis for the life of the bond. Payments are subject to appropriation by the legislature annually and appear in the language section of the operating budget.    This year the State portion of the school debt bond reimbursement payments amount to approximately $106 million. </w:t>
      </w:r>
    </w:p>
    <w:p w:rsidR="00B87921" w:rsidRDefault="00B87921" w:rsidP="00807957"/>
    <w:p w:rsidR="002401E4" w:rsidRDefault="002401E4" w:rsidP="00807957"/>
    <w:p w:rsidR="002401E4" w:rsidRDefault="002401E4" w:rsidP="00807957"/>
    <w:p w:rsidR="002401E4" w:rsidRDefault="002401E4" w:rsidP="00807957"/>
    <w:p w:rsidR="002401E4" w:rsidRDefault="002401E4" w:rsidP="00807957"/>
    <w:p w:rsidR="002401E4" w:rsidRDefault="002401E4" w:rsidP="00807957"/>
    <w:p w:rsidR="002401E4" w:rsidRDefault="002401E4" w:rsidP="00807957"/>
    <w:p w:rsidR="002401E4" w:rsidRPr="002401E4" w:rsidRDefault="002401E4" w:rsidP="00807957">
      <w:pPr>
        <w:rPr>
          <w:sz w:val="20"/>
          <w:szCs w:val="20"/>
        </w:rPr>
      </w:pPr>
    </w:p>
    <w:p w:rsidR="002401E4" w:rsidRPr="002401E4" w:rsidRDefault="002401E4" w:rsidP="00807957">
      <w:pPr>
        <w:rPr>
          <w:sz w:val="20"/>
          <w:szCs w:val="20"/>
        </w:rPr>
      </w:pPr>
      <w:r w:rsidRPr="002401E4">
        <w:rPr>
          <w:sz w:val="20"/>
          <w:szCs w:val="20"/>
        </w:rPr>
        <w:t>Staff Contact, Katie Koester 465-2028</w:t>
      </w:r>
    </w:p>
    <w:p w:rsidR="002401E4" w:rsidRPr="002401E4" w:rsidRDefault="002401E4" w:rsidP="00807957">
      <w:pPr>
        <w:rPr>
          <w:sz w:val="20"/>
          <w:szCs w:val="20"/>
        </w:rPr>
      </w:pPr>
      <w:r w:rsidRPr="002401E4">
        <w:rPr>
          <w:sz w:val="20"/>
          <w:szCs w:val="20"/>
        </w:rPr>
        <w:t xml:space="preserve">HB 310/A </w:t>
      </w:r>
    </w:p>
    <w:p w:rsidR="002401E4" w:rsidRPr="002401E4" w:rsidRDefault="002401E4" w:rsidP="00807957">
      <w:pPr>
        <w:rPr>
          <w:sz w:val="20"/>
          <w:szCs w:val="20"/>
        </w:rPr>
      </w:pPr>
      <w:r w:rsidRPr="002401E4">
        <w:rPr>
          <w:sz w:val="20"/>
          <w:szCs w:val="20"/>
        </w:rPr>
        <w:t>1/28/2010</w:t>
      </w:r>
    </w:p>
    <w:sectPr w:rsidR="002401E4" w:rsidRPr="002401E4" w:rsidSect="00F62253">
      <w:headerReference w:type="default" r:id="rId7"/>
      <w:footerReference w:type="default" r:id="rId8"/>
      <w:pgSz w:w="12240" w:h="15840" w:code="1"/>
      <w:pgMar w:top="1008" w:right="1008" w:bottom="1008"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068" w:rsidRDefault="00F20068">
      <w:r>
        <w:separator/>
      </w:r>
    </w:p>
  </w:endnote>
  <w:endnote w:type="continuationSeparator" w:id="0">
    <w:p w:rsidR="00F20068" w:rsidRDefault="00F20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C3" w:rsidRPr="001F79D6" w:rsidRDefault="00A134C3" w:rsidP="001F79D6">
    <w:pPr>
      <w:tabs>
        <w:tab w:val="right" w:pos="10200"/>
      </w:tabs>
      <w:ind w:right="24"/>
      <w:jc w:val="center"/>
      <w:rPr>
        <w:snapToGrid w:val="0"/>
        <w:color w:val="000000"/>
        <w:sz w:val="20"/>
      </w:rPr>
    </w:pPr>
    <w:r>
      <w:rPr>
        <w:snapToGrid w:val="0"/>
        <w:color w:val="000000"/>
        <w:sz w:val="20"/>
      </w:rPr>
      <w:t xml:space="preserve">State Capitol, Room 102, </w:t>
    </w:r>
    <w:smartTag w:uri="urn:schemas-microsoft-com:office:smarttags" w:element="place">
      <w:smartTag w:uri="urn:schemas-microsoft-com:office:smarttags" w:element="City">
        <w:r>
          <w:rPr>
            <w:snapToGrid w:val="0"/>
            <w:color w:val="000000"/>
            <w:sz w:val="20"/>
          </w:rPr>
          <w:t>Juneau</w:t>
        </w:r>
      </w:smartTag>
      <w:r>
        <w:rPr>
          <w:snapToGrid w:val="0"/>
          <w:color w:val="000000"/>
          <w:sz w:val="20"/>
        </w:rPr>
        <w:t xml:space="preserve">, </w:t>
      </w:r>
      <w:smartTag w:uri="urn:schemas-microsoft-com:office:smarttags" w:element="State">
        <w:r>
          <w:rPr>
            <w:snapToGrid w:val="0"/>
            <w:color w:val="000000"/>
            <w:sz w:val="20"/>
          </w:rPr>
          <w:t>AK</w:t>
        </w:r>
      </w:smartTag>
      <w:r>
        <w:rPr>
          <w:snapToGrid w:val="0"/>
          <w:color w:val="000000"/>
          <w:sz w:val="20"/>
        </w:rPr>
        <w:t xml:space="preserve"> </w:t>
      </w:r>
      <w:smartTag w:uri="urn:schemas-microsoft-com:office:smarttags" w:element="PostalCode">
        <w:r>
          <w:rPr>
            <w:snapToGrid w:val="0"/>
            <w:color w:val="000000"/>
            <w:sz w:val="20"/>
          </w:rPr>
          <w:t>99801</w:t>
        </w:r>
      </w:smartTag>
    </w:smartTag>
    <w:r>
      <w:rPr>
        <w:snapToGrid w:val="0"/>
        <w:color w:val="000000"/>
        <w:sz w:val="20"/>
      </w:rPr>
      <w:t xml:space="preserve"> - Phone: 465-3923 - Fax: 465-3472 - Toll Free (800) 665-2689</w:t>
    </w:r>
  </w:p>
  <w:p w:rsidR="00A134C3" w:rsidRDefault="00F62253" w:rsidP="001F79D6">
    <w:pPr>
      <w:pStyle w:val="Footer"/>
      <w:jc w:val="center"/>
      <w:rPr>
        <w:sz w:val="24"/>
      </w:rPr>
    </w:pPr>
    <w:hyperlink r:id="rId1" w:history="1">
      <w:r w:rsidR="00A134C3">
        <w:rPr>
          <w:rStyle w:val="Hyperlink"/>
          <w:snapToGrid w:val="0"/>
          <w:sz w:val="18"/>
          <w:u w:val="none"/>
        </w:rPr>
        <w:t>Representative_Paul_Seaton@legis.state.ak.us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068" w:rsidRDefault="00F20068">
      <w:r>
        <w:separator/>
      </w:r>
    </w:p>
  </w:footnote>
  <w:footnote w:type="continuationSeparator" w:id="0">
    <w:p w:rsidR="00F20068" w:rsidRDefault="00F20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C3" w:rsidRDefault="00A134C3" w:rsidP="001F79D6">
    <w:pPr>
      <w:pStyle w:val="Header"/>
      <w:jc w:val="center"/>
      <w:rPr>
        <w:snapToGrid w:val="0"/>
      </w:rPr>
    </w:pPr>
    <w:smartTag w:uri="urn:schemas-microsoft-com:office:smarttags" w:element="place">
      <w:smartTag w:uri="urn:schemas-microsoft-com:office:smarttags" w:element="PlaceName">
        <w:r>
          <w:rPr>
            <w:snapToGrid w:val="0"/>
          </w:rPr>
          <w:t>Alaska</w:t>
        </w:r>
      </w:smartTag>
      <w:r>
        <w:rPr>
          <w:snapToGrid w:val="0"/>
        </w:rPr>
        <w:t xml:space="preserve"> </w:t>
      </w:r>
      <w:smartTag w:uri="urn:schemas-microsoft-com:office:smarttags" w:element="PlaceType">
        <w:r>
          <w:rPr>
            <w:snapToGrid w:val="0"/>
          </w:rPr>
          <w:t>State</w:t>
        </w:r>
      </w:smartTag>
    </w:smartTag>
    <w:r>
      <w:rPr>
        <w:snapToGrid w:val="0"/>
      </w:rPr>
      <w:t xml:space="preserve"> Legislature</w:t>
    </w:r>
  </w:p>
  <w:p w:rsidR="00A134C3" w:rsidRDefault="00A134C3" w:rsidP="00502ED2">
    <w:pPr>
      <w:pStyle w:val="Header"/>
      <w:rPr>
        <w:snapToGrid w:val="0"/>
        <w:sz w:val="24"/>
        <w:szCs w:val="24"/>
      </w:rPr>
    </w:pPr>
  </w:p>
  <w:p w:rsidR="00A134C3" w:rsidRPr="00643E6D" w:rsidRDefault="00715E62" w:rsidP="00502ED2">
    <w:pPr>
      <w:pStyle w:val="Header"/>
      <w:rPr>
        <w:snapToGrid w:val="0"/>
        <w:sz w:val="24"/>
        <w:szCs w:val="24"/>
      </w:rPr>
    </w:pPr>
    <w:r>
      <w:rPr>
        <w:rFonts w:ascii="Arial" w:hAnsi="Arial"/>
        <w:noProof/>
        <w:color w:val="000000"/>
        <w:sz w:val="24"/>
        <w:szCs w:val="24"/>
      </w:rPr>
      <w:drawing>
        <wp:anchor distT="0" distB="0" distL="114300" distR="114300" simplePos="0" relativeHeight="251657728" behindDoc="0" locked="0" layoutInCell="1" allowOverlap="1">
          <wp:simplePos x="0" y="0"/>
          <wp:positionH relativeFrom="column">
            <wp:posOffset>2667000</wp:posOffset>
          </wp:positionH>
          <wp:positionV relativeFrom="paragraph">
            <wp:posOffset>92710</wp:posOffset>
          </wp:positionV>
          <wp:extent cx="1005840" cy="1004570"/>
          <wp:effectExtent l="19050" t="0" r="3810" b="0"/>
          <wp:wrapNone/>
          <wp:docPr id="1" name="Picture 1"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raphics Docs\TIFF\goodseal2.tif"/>
                  <pic:cNvPicPr>
                    <a:picLocks noChangeAspect="1" noChangeArrowheads="1"/>
                  </pic:cNvPicPr>
                </pic:nvPicPr>
                <pic:blipFill>
                  <a:blip r:embed="rId1" r:link="rId2"/>
                  <a:srcRect/>
                  <a:stretch>
                    <a:fillRect/>
                  </a:stretch>
                </pic:blipFill>
                <pic:spPr bwMode="auto">
                  <a:xfrm>
                    <a:off x="0" y="0"/>
                    <a:ext cx="1005840" cy="1004570"/>
                  </a:xfrm>
                  <a:prstGeom prst="rect">
                    <a:avLst/>
                  </a:prstGeom>
                  <a:noFill/>
                  <a:ln w="9525">
                    <a:noFill/>
                    <a:miter lim="800000"/>
                    <a:headEnd/>
                    <a:tailEnd/>
                  </a:ln>
                </pic:spPr>
              </pic:pic>
            </a:graphicData>
          </a:graphic>
        </wp:anchor>
      </w:drawing>
    </w:r>
    <w:r w:rsidR="00A134C3">
      <w:rPr>
        <w:snapToGrid w:val="0"/>
        <w:sz w:val="24"/>
        <w:szCs w:val="24"/>
      </w:rPr>
      <w:t>Rep. Cathy Mu</w:t>
    </w:r>
    <w:r w:rsidR="00A134C3" w:rsidRPr="00643E6D">
      <w:rPr>
        <w:snapToGrid w:val="0"/>
        <w:color w:val="000000"/>
        <w:sz w:val="24"/>
        <w:szCs w:val="24"/>
      </w:rPr>
      <w:t>ñ</w:t>
    </w:r>
    <w:r w:rsidR="00A134C3" w:rsidRPr="00502ED2">
      <w:rPr>
        <w:snapToGrid w:val="0"/>
        <w:sz w:val="24"/>
        <w:szCs w:val="24"/>
      </w:rPr>
      <w:t>oz, Vice-Chair</w:t>
    </w:r>
    <w:r w:rsidR="00A134C3">
      <w:rPr>
        <w:snapToGrid w:val="0"/>
      </w:rPr>
      <w:tab/>
      <w:t xml:space="preserve">                                                                           </w:t>
    </w:r>
    <w:smartTag w:uri="urn:schemas-microsoft-com:office:smarttags" w:element="PersonName">
      <w:r w:rsidR="00A134C3">
        <w:rPr>
          <w:snapToGrid w:val="0"/>
          <w:sz w:val="24"/>
          <w:szCs w:val="24"/>
        </w:rPr>
        <w:t>Rep. Peggy Wilson</w:t>
      </w:r>
    </w:smartTag>
  </w:p>
  <w:p w:rsidR="00A134C3" w:rsidRPr="00502ED2" w:rsidRDefault="00A134C3" w:rsidP="00502ED2">
    <w:pPr>
      <w:pStyle w:val="Header"/>
      <w:rPr>
        <w:snapToGrid w:val="0"/>
        <w:sz w:val="24"/>
        <w:szCs w:val="24"/>
      </w:rPr>
    </w:pPr>
    <w:smartTag w:uri="urn:schemas-microsoft-com:office:smarttags" w:element="PersonName">
      <w:r w:rsidRPr="00502ED2">
        <w:rPr>
          <w:snapToGrid w:val="0"/>
          <w:color w:val="000000"/>
          <w:sz w:val="24"/>
          <w:szCs w:val="24"/>
        </w:rPr>
        <w:t>Rep. Wes Keller</w:t>
      </w:r>
    </w:smartTag>
    <w:r w:rsidRPr="00502ED2">
      <w:rPr>
        <w:snapToGrid w:val="0"/>
        <w:color w:val="000000"/>
        <w:sz w:val="24"/>
        <w:szCs w:val="24"/>
      </w:rPr>
      <w:t xml:space="preserve"> </w:t>
    </w:r>
    <w:r>
      <w:rPr>
        <w:snapToGrid w:val="0"/>
        <w:color w:val="000000"/>
        <w:sz w:val="24"/>
        <w:szCs w:val="24"/>
      </w:rPr>
      <w:t xml:space="preserve">                                                                                                              </w:t>
    </w:r>
    <w:r w:rsidRPr="00502ED2">
      <w:rPr>
        <w:snapToGrid w:val="0"/>
        <w:color w:val="000000"/>
        <w:sz w:val="24"/>
        <w:szCs w:val="24"/>
      </w:rPr>
      <w:t>Rep. Bryce Edgmon</w:t>
    </w:r>
  </w:p>
  <w:p w:rsidR="00A134C3" w:rsidRPr="00502ED2" w:rsidRDefault="00A134C3" w:rsidP="00502ED2">
    <w:pPr>
      <w:tabs>
        <w:tab w:val="right" w:pos="10200"/>
      </w:tabs>
      <w:ind w:right="24"/>
      <w:rPr>
        <w:snapToGrid w:val="0"/>
        <w:color w:val="000000"/>
      </w:rPr>
    </w:pPr>
    <w:r w:rsidRPr="00502ED2">
      <w:rPr>
        <w:snapToGrid w:val="0"/>
        <w:color w:val="000000"/>
      </w:rPr>
      <w:t>Rep. Bob Buch</w:t>
    </w:r>
    <w:r>
      <w:rPr>
        <w:snapToGrid w:val="0"/>
        <w:color w:val="000000"/>
      </w:rPr>
      <w:t xml:space="preserve">                                                                                                                 </w:t>
    </w:r>
    <w:smartTag w:uri="urn:schemas-microsoft-com:office:smarttags" w:element="PersonName">
      <w:r w:rsidRPr="00502ED2">
        <w:rPr>
          <w:snapToGrid w:val="0"/>
          <w:color w:val="000000"/>
        </w:rPr>
        <w:t>Rep. Berta Gardner</w:t>
      </w:r>
    </w:smartTag>
  </w:p>
  <w:p w:rsidR="00A134C3" w:rsidRPr="00502ED2" w:rsidRDefault="00A134C3">
    <w:pPr>
      <w:tabs>
        <w:tab w:val="right" w:pos="10200"/>
      </w:tabs>
      <w:ind w:right="24"/>
      <w:jc w:val="center"/>
      <w:rPr>
        <w:snapToGrid w:val="0"/>
        <w:color w:val="000000"/>
      </w:rPr>
    </w:pPr>
    <w:r w:rsidRPr="00502ED2">
      <w:rPr>
        <w:snapToGrid w:val="0"/>
        <w:color w:val="000000"/>
      </w:rPr>
      <w:tab/>
    </w:r>
  </w:p>
  <w:p w:rsidR="00A134C3" w:rsidRDefault="00A134C3">
    <w:pPr>
      <w:tabs>
        <w:tab w:val="right" w:pos="10200"/>
      </w:tabs>
      <w:ind w:right="24"/>
      <w:jc w:val="center"/>
      <w:rPr>
        <w:snapToGrid w:val="0"/>
        <w:color w:val="000000"/>
        <w:sz w:val="18"/>
      </w:rPr>
    </w:pPr>
  </w:p>
  <w:p w:rsidR="00A134C3" w:rsidRDefault="00A134C3">
    <w:pPr>
      <w:tabs>
        <w:tab w:val="right" w:pos="10200"/>
      </w:tabs>
      <w:ind w:right="24"/>
      <w:jc w:val="center"/>
      <w:rPr>
        <w:snapToGrid w:val="0"/>
        <w:color w:val="000000"/>
        <w:sz w:val="18"/>
      </w:rPr>
    </w:pPr>
  </w:p>
  <w:p w:rsidR="00A134C3" w:rsidRDefault="00A134C3">
    <w:pPr>
      <w:tabs>
        <w:tab w:val="right" w:pos="10200"/>
      </w:tabs>
      <w:ind w:right="24"/>
      <w:jc w:val="center"/>
      <w:rPr>
        <w:snapToGrid w:val="0"/>
        <w:color w:val="000000"/>
        <w:sz w:val="18"/>
      </w:rPr>
    </w:pPr>
  </w:p>
  <w:p w:rsidR="00A134C3" w:rsidRDefault="00A134C3" w:rsidP="00502ED2">
    <w:pPr>
      <w:tabs>
        <w:tab w:val="right" w:pos="10200"/>
      </w:tabs>
      <w:ind w:right="24"/>
      <w:rPr>
        <w:snapToGrid w:val="0"/>
        <w:color w:val="000000"/>
        <w:sz w:val="18"/>
      </w:rPr>
    </w:pPr>
  </w:p>
  <w:p w:rsidR="00A134C3" w:rsidRPr="00643E6D" w:rsidRDefault="00A134C3" w:rsidP="00643E6D">
    <w:pPr>
      <w:tabs>
        <w:tab w:val="right" w:pos="10200"/>
      </w:tabs>
      <w:ind w:right="24"/>
      <w:jc w:val="center"/>
      <w:rPr>
        <w:snapToGrid w:val="0"/>
        <w:sz w:val="28"/>
        <w:szCs w:val="28"/>
      </w:rPr>
    </w:pPr>
    <w:r w:rsidRPr="00502ED2">
      <w:rPr>
        <w:snapToGrid w:val="0"/>
        <w:sz w:val="28"/>
        <w:szCs w:val="28"/>
      </w:rPr>
      <w:t>Rep. Paul Seaton, Chairman</w:t>
    </w:r>
  </w:p>
  <w:p w:rsidR="00A134C3" w:rsidRDefault="00A134C3" w:rsidP="00502ED2">
    <w:pPr>
      <w:pStyle w:val="Heading3"/>
      <w:jc w:val="center"/>
      <w:rPr>
        <w:sz w:val="28"/>
      </w:rPr>
    </w:pPr>
    <w:r>
      <w:rPr>
        <w:sz w:val="28"/>
      </w:rPr>
      <w:t>HOUSE EDUCATION COMMITTEE</w:t>
    </w:r>
  </w:p>
  <w:p w:rsidR="00A134C3" w:rsidRDefault="00A134C3" w:rsidP="001F79D6">
    <w:pPr>
      <w:jc w:val="center"/>
      <w:rPr>
        <w:b/>
        <w:snapToGrid w:val="0"/>
        <w:color w:val="000000"/>
      </w:rPr>
    </w:pPr>
  </w:p>
  <w:p w:rsidR="00A134C3" w:rsidRPr="001F79D6" w:rsidRDefault="00A134C3" w:rsidP="001F79D6">
    <w:pPr>
      <w:jc w:val="center"/>
      <w:rPr>
        <w:rFonts w:eastAsia="Arial Unicode MS"/>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72C63"/>
    <w:multiLevelType w:val="hybridMultilevel"/>
    <w:tmpl w:val="8A161762"/>
    <w:lvl w:ilvl="0" w:tplc="EC78766C">
      <w:start w:val="1"/>
      <w:numFmt w:val="lowerLetter"/>
      <w:lvlText w:val="(%1)"/>
      <w:lvlJc w:val="left"/>
      <w:pPr>
        <w:tabs>
          <w:tab w:val="num" w:pos="2088"/>
        </w:tabs>
        <w:ind w:left="208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4164DA3"/>
    <w:multiLevelType w:val="hybridMultilevel"/>
    <w:tmpl w:val="E47E4E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292029"/>
    <w:multiLevelType w:val="hybridMultilevel"/>
    <w:tmpl w:val="D8EC7E56"/>
    <w:lvl w:ilvl="0" w:tplc="04090001">
      <w:start w:val="1"/>
      <w:numFmt w:val="bullet"/>
      <w:lvlText w:val=""/>
      <w:lvlJc w:val="left"/>
      <w:pPr>
        <w:tabs>
          <w:tab w:val="num" w:pos="1728"/>
        </w:tabs>
        <w:ind w:left="17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163DB6"/>
    <w:rsid w:val="00057171"/>
    <w:rsid w:val="000C313D"/>
    <w:rsid w:val="000E227B"/>
    <w:rsid w:val="000F7535"/>
    <w:rsid w:val="00104A29"/>
    <w:rsid w:val="00163DB6"/>
    <w:rsid w:val="001E5B98"/>
    <w:rsid w:val="001F79D6"/>
    <w:rsid w:val="00227806"/>
    <w:rsid w:val="002401E4"/>
    <w:rsid w:val="0027797C"/>
    <w:rsid w:val="002C24EF"/>
    <w:rsid w:val="003C29D9"/>
    <w:rsid w:val="003E5BCD"/>
    <w:rsid w:val="00405796"/>
    <w:rsid w:val="004416BD"/>
    <w:rsid w:val="00487DD6"/>
    <w:rsid w:val="00491B48"/>
    <w:rsid w:val="004A0D26"/>
    <w:rsid w:val="00502ED2"/>
    <w:rsid w:val="0056659E"/>
    <w:rsid w:val="00643E6D"/>
    <w:rsid w:val="006B5254"/>
    <w:rsid w:val="006D1774"/>
    <w:rsid w:val="00715E62"/>
    <w:rsid w:val="007B4049"/>
    <w:rsid w:val="007E6F50"/>
    <w:rsid w:val="00807957"/>
    <w:rsid w:val="00814D1D"/>
    <w:rsid w:val="008A4F3F"/>
    <w:rsid w:val="008B73C7"/>
    <w:rsid w:val="008D1F27"/>
    <w:rsid w:val="008E5062"/>
    <w:rsid w:val="00996511"/>
    <w:rsid w:val="009A012D"/>
    <w:rsid w:val="009A0387"/>
    <w:rsid w:val="009A701B"/>
    <w:rsid w:val="00A134C3"/>
    <w:rsid w:val="00A241D6"/>
    <w:rsid w:val="00A30A6C"/>
    <w:rsid w:val="00A36E1B"/>
    <w:rsid w:val="00A634D7"/>
    <w:rsid w:val="00AA55E7"/>
    <w:rsid w:val="00AD392F"/>
    <w:rsid w:val="00B07487"/>
    <w:rsid w:val="00B7598C"/>
    <w:rsid w:val="00B87921"/>
    <w:rsid w:val="00BA707B"/>
    <w:rsid w:val="00BB41C9"/>
    <w:rsid w:val="00BE420A"/>
    <w:rsid w:val="00BF127C"/>
    <w:rsid w:val="00C207D8"/>
    <w:rsid w:val="00C96654"/>
    <w:rsid w:val="00D00388"/>
    <w:rsid w:val="00D072CC"/>
    <w:rsid w:val="00D21624"/>
    <w:rsid w:val="00D94673"/>
    <w:rsid w:val="00DB0D64"/>
    <w:rsid w:val="00DC103D"/>
    <w:rsid w:val="00DC1C99"/>
    <w:rsid w:val="00E01885"/>
    <w:rsid w:val="00E3561B"/>
    <w:rsid w:val="00E43612"/>
    <w:rsid w:val="00EB0B26"/>
    <w:rsid w:val="00EB5027"/>
    <w:rsid w:val="00F105D9"/>
    <w:rsid w:val="00F20068"/>
    <w:rsid w:val="00F2764C"/>
    <w:rsid w:val="00F31A8C"/>
    <w:rsid w:val="00F62253"/>
    <w:rsid w:val="00F86FFB"/>
    <w:rsid w:val="00F87962"/>
    <w:rsid w:val="00F906D9"/>
    <w:rsid w:val="00F91F68"/>
    <w:rsid w:val="00FA7C84"/>
    <w:rsid w:val="00FD6D53"/>
    <w:rsid w:val="00FD6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387"/>
    <w:rPr>
      <w:sz w:val="24"/>
      <w:szCs w:val="24"/>
    </w:rPr>
  </w:style>
  <w:style w:type="paragraph" w:styleId="Heading1">
    <w:name w:val="heading 1"/>
    <w:basedOn w:val="Normal"/>
    <w:next w:val="Normal"/>
    <w:qFormat/>
    <w:rsid w:val="00F62253"/>
    <w:pPr>
      <w:keepNext/>
      <w:jc w:val="center"/>
      <w:outlineLvl w:val="0"/>
    </w:pPr>
    <w:rPr>
      <w:b/>
      <w:sz w:val="52"/>
      <w:szCs w:val="20"/>
      <w:u w:val="single"/>
    </w:rPr>
  </w:style>
  <w:style w:type="paragraph" w:styleId="Heading2">
    <w:name w:val="heading 2"/>
    <w:basedOn w:val="Normal"/>
    <w:next w:val="Normal"/>
    <w:qFormat/>
    <w:rsid w:val="00F62253"/>
    <w:pPr>
      <w:keepNext/>
      <w:jc w:val="center"/>
      <w:outlineLvl w:val="1"/>
    </w:pPr>
    <w:rPr>
      <w:b/>
      <w:sz w:val="32"/>
      <w:szCs w:val="20"/>
    </w:rPr>
  </w:style>
  <w:style w:type="paragraph" w:styleId="Heading3">
    <w:name w:val="heading 3"/>
    <w:basedOn w:val="Normal"/>
    <w:next w:val="Normal"/>
    <w:qFormat/>
    <w:rsid w:val="00F62253"/>
    <w:pPr>
      <w:keepNext/>
      <w:tabs>
        <w:tab w:val="right" w:pos="9270"/>
      </w:tabs>
      <w:outlineLvl w:val="2"/>
    </w:pPr>
    <w:rPr>
      <w:b/>
      <w:sz w:val="20"/>
      <w:szCs w:val="20"/>
    </w:rPr>
  </w:style>
  <w:style w:type="paragraph" w:styleId="Heading4">
    <w:name w:val="heading 4"/>
    <w:basedOn w:val="Normal"/>
    <w:next w:val="Normal"/>
    <w:qFormat/>
    <w:rsid w:val="00F62253"/>
    <w:pPr>
      <w:keepNext/>
      <w:jc w:val="center"/>
      <w:outlineLvl w:val="3"/>
    </w:pPr>
    <w:rPr>
      <w:b/>
      <w:bCs/>
      <w:sz w:val="36"/>
    </w:rPr>
  </w:style>
  <w:style w:type="paragraph" w:styleId="Heading5">
    <w:name w:val="heading 5"/>
    <w:basedOn w:val="Normal"/>
    <w:next w:val="Normal"/>
    <w:qFormat/>
    <w:rsid w:val="009A038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2253"/>
    <w:pPr>
      <w:tabs>
        <w:tab w:val="center" w:pos="4320"/>
        <w:tab w:val="right" w:pos="8640"/>
      </w:tabs>
    </w:pPr>
    <w:rPr>
      <w:sz w:val="28"/>
      <w:szCs w:val="20"/>
    </w:rPr>
  </w:style>
  <w:style w:type="paragraph" w:styleId="Footer">
    <w:name w:val="footer"/>
    <w:basedOn w:val="Normal"/>
    <w:rsid w:val="00F62253"/>
    <w:pPr>
      <w:tabs>
        <w:tab w:val="center" w:pos="4320"/>
        <w:tab w:val="right" w:pos="8640"/>
      </w:tabs>
    </w:pPr>
    <w:rPr>
      <w:sz w:val="28"/>
      <w:szCs w:val="20"/>
    </w:rPr>
  </w:style>
  <w:style w:type="paragraph" w:styleId="BodyText">
    <w:name w:val="Body Text"/>
    <w:basedOn w:val="Normal"/>
    <w:rsid w:val="00F62253"/>
    <w:rPr>
      <w:sz w:val="23"/>
      <w:szCs w:val="20"/>
    </w:rPr>
  </w:style>
  <w:style w:type="character" w:styleId="PageNumber">
    <w:name w:val="page number"/>
    <w:basedOn w:val="DefaultParagraphFont"/>
    <w:rsid w:val="00F62253"/>
  </w:style>
  <w:style w:type="character" w:styleId="Hyperlink">
    <w:name w:val="Hyperlink"/>
    <w:basedOn w:val="DefaultParagraphFont"/>
    <w:rsid w:val="00F62253"/>
    <w:rPr>
      <w:color w:val="0000FF"/>
      <w:u w:val="single"/>
    </w:rPr>
  </w:style>
  <w:style w:type="character" w:styleId="FollowedHyperlink">
    <w:name w:val="FollowedHyperlink"/>
    <w:basedOn w:val="DefaultParagraphFont"/>
    <w:rsid w:val="00F62253"/>
    <w:rPr>
      <w:color w:val="800080"/>
      <w:u w:val="single"/>
    </w:rPr>
  </w:style>
  <w:style w:type="paragraph" w:styleId="BalloonText">
    <w:name w:val="Balloon Text"/>
    <w:basedOn w:val="Normal"/>
    <w:semiHidden/>
    <w:rsid w:val="00B7598C"/>
    <w:rPr>
      <w:rFonts w:ascii="Tahoma" w:hAnsi="Tahoma" w:cs="Tahoma"/>
      <w:sz w:val="16"/>
      <w:szCs w:val="16"/>
    </w:rPr>
  </w:style>
  <w:style w:type="paragraph" w:styleId="NormalWeb">
    <w:name w:val="Normal (Web)"/>
    <w:basedOn w:val="Normal"/>
    <w:rsid w:val="008B73C7"/>
    <w:rPr>
      <w:color w:val="6C6C6C"/>
      <w:sz w:val="18"/>
      <w:szCs w:val="18"/>
    </w:rPr>
  </w:style>
</w:styles>
</file>

<file path=word/webSettings.xml><?xml version="1.0" encoding="utf-8"?>
<w:webSettings xmlns:r="http://schemas.openxmlformats.org/officeDocument/2006/relationships" xmlns:w="http://schemas.openxmlformats.org/wordprocessingml/2006/main">
  <w:divs>
    <w:div w:id="1619334652">
      <w:bodyDiv w:val="1"/>
      <w:marLeft w:val="0"/>
      <w:marRight w:val="0"/>
      <w:marTop w:val="0"/>
      <w:marBottom w:val="0"/>
      <w:divBdr>
        <w:top w:val="none" w:sz="0" w:space="0" w:color="auto"/>
        <w:left w:val="none" w:sz="0" w:space="0" w:color="auto"/>
        <w:bottom w:val="none" w:sz="0" w:space="0" w:color="auto"/>
        <w:right w:val="none" w:sz="0" w:space="0" w:color="auto"/>
      </w:divBdr>
    </w:div>
    <w:div w:id="20155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presentative_Paul_Seaton@legis.state.ak.us"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E:\Graphics%20Docs\TIFF\goodseal2.t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FOR IMMEDIATE RELEASE:  April 5, 2001</vt:lpstr>
    </vt:vector>
  </TitlesOfParts>
  <Company>LAA</Company>
  <LinksUpToDate>false</LinksUpToDate>
  <CharactersWithSpaces>1663</CharactersWithSpaces>
  <SharedDoc>false</SharedDoc>
  <HLinks>
    <vt:vector size="12" baseType="variant">
      <vt:variant>
        <vt:i4>7012424</vt:i4>
      </vt:variant>
      <vt:variant>
        <vt:i4>0</vt:i4>
      </vt:variant>
      <vt:variant>
        <vt:i4>0</vt:i4>
      </vt:variant>
      <vt:variant>
        <vt:i4>5</vt:i4>
      </vt:variant>
      <vt:variant>
        <vt:lpwstr>mailto:Representative_Paul_Seaton@legis.state.ak.us</vt:lpwstr>
      </vt:variant>
      <vt:variant>
        <vt:lpwstr/>
      </vt:variant>
      <vt:variant>
        <vt:i4>41</vt:i4>
      </vt:variant>
      <vt:variant>
        <vt:i4>-1</vt:i4>
      </vt:variant>
      <vt:variant>
        <vt:i4>2049</vt:i4>
      </vt:variant>
      <vt:variant>
        <vt:i4>1</vt:i4>
      </vt:variant>
      <vt:variant>
        <vt:lpwstr>E:\Graphics Docs\TIFF\goodseal2.tif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April 5, 2001</dc:title>
  <dc:subject/>
  <dc:creator>LSNCDRS</dc:creator>
  <cp:keywords/>
  <dc:description/>
  <cp:lastModifiedBy>lhsclaf</cp:lastModifiedBy>
  <cp:revision>2</cp:revision>
  <cp:lastPrinted>2009-03-24T01:28:00Z</cp:lastPrinted>
  <dcterms:created xsi:type="dcterms:W3CDTF">2010-01-29T02:24:00Z</dcterms:created>
  <dcterms:modified xsi:type="dcterms:W3CDTF">2010-01-29T02:24:00Z</dcterms:modified>
</cp:coreProperties>
</file>