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190C2A" w:rsidTr="0095502D">
        <w:tc>
          <w:tcPr>
            <w:tcW w:w="3192" w:type="dxa"/>
          </w:tcPr>
          <w:p w:rsidR="00190C2A" w:rsidRPr="006E00F7" w:rsidRDefault="00190C2A" w:rsidP="00190C2A">
            <w:pPr>
              <w:jc w:val="center"/>
              <w:rPr>
                <w:rFonts w:ascii="Copperplate Gothic Light" w:hAnsi="Copperplate Gothic Light"/>
                <w:color w:val="365F91" w:themeColor="accent1" w:themeShade="BF"/>
                <w:sz w:val="18"/>
                <w:szCs w:val="18"/>
              </w:rPr>
            </w:pPr>
            <w:r w:rsidRPr="006E00F7">
              <w:rPr>
                <w:rFonts w:ascii="Copperplate Gothic Light" w:hAnsi="Copperplate Gothic Light"/>
                <w:color w:val="365F91" w:themeColor="accent1" w:themeShade="BF"/>
                <w:sz w:val="18"/>
                <w:szCs w:val="18"/>
              </w:rPr>
              <w:t>Representative</w:t>
            </w:r>
          </w:p>
          <w:p w:rsidR="00190C2A" w:rsidRPr="006E00F7" w:rsidRDefault="00190C2A" w:rsidP="00190C2A">
            <w:pPr>
              <w:jc w:val="center"/>
              <w:rPr>
                <w:rFonts w:ascii="Copperplate Gothic Light" w:hAnsi="Copperplate Gothic Light"/>
                <w:color w:val="365F91" w:themeColor="accent1" w:themeShade="BF"/>
                <w:sz w:val="20"/>
                <w:szCs w:val="20"/>
              </w:rPr>
            </w:pPr>
            <w:r w:rsidRPr="006E00F7">
              <w:rPr>
                <w:rFonts w:ascii="Copperplate Gothic Light" w:hAnsi="Copperplate Gothic Light"/>
                <w:color w:val="365F91" w:themeColor="accent1" w:themeShade="BF"/>
                <w:sz w:val="20"/>
                <w:szCs w:val="20"/>
              </w:rPr>
              <w:t>Eric Feige</w:t>
            </w:r>
          </w:p>
          <w:p w:rsidR="00190C2A" w:rsidRDefault="00190C2A" w:rsidP="00190C2A">
            <w:pPr>
              <w:jc w:val="center"/>
              <w:rPr>
                <w:rFonts w:asciiTheme="majorHAnsi" w:hAnsiTheme="majorHAnsi"/>
                <w:color w:val="365F91" w:themeColor="accent1" w:themeShade="BF"/>
                <w:sz w:val="16"/>
                <w:szCs w:val="16"/>
              </w:rPr>
            </w:pPr>
            <w:r w:rsidRPr="00190C2A">
              <w:rPr>
                <w:rFonts w:asciiTheme="majorHAnsi" w:hAnsiTheme="majorHAnsi"/>
                <w:color w:val="365F91" w:themeColor="accent1" w:themeShade="BF"/>
                <w:sz w:val="16"/>
                <w:szCs w:val="16"/>
              </w:rPr>
              <w:t>House District 12</w:t>
            </w:r>
          </w:p>
          <w:p w:rsidR="00190C2A" w:rsidRPr="00190C2A" w:rsidRDefault="00190C2A" w:rsidP="00190C2A">
            <w:pPr>
              <w:jc w:val="center"/>
              <w:rPr>
                <w:rFonts w:asciiTheme="majorHAnsi" w:hAnsiTheme="majorHAnsi"/>
                <w:color w:val="365F91" w:themeColor="accent1" w:themeShade="BF"/>
                <w:sz w:val="16"/>
                <w:szCs w:val="16"/>
              </w:rPr>
            </w:pPr>
          </w:p>
          <w:p w:rsidR="00190C2A" w:rsidRPr="00190C2A" w:rsidRDefault="00190C2A" w:rsidP="00190C2A">
            <w:pPr>
              <w:jc w:val="center"/>
              <w:rPr>
                <w:rFonts w:asciiTheme="majorHAnsi" w:hAnsiTheme="majorHAnsi"/>
                <w:color w:val="365F91" w:themeColor="accent1" w:themeShade="BF"/>
                <w:sz w:val="16"/>
                <w:szCs w:val="16"/>
              </w:rPr>
            </w:pPr>
            <w:r w:rsidRPr="00190C2A">
              <w:rPr>
                <w:rFonts w:asciiTheme="majorHAnsi" w:hAnsiTheme="majorHAnsi"/>
                <w:color w:val="365F91" w:themeColor="accent1" w:themeShade="BF"/>
                <w:sz w:val="16"/>
                <w:szCs w:val="16"/>
              </w:rPr>
              <w:t>House Resources Committee</w:t>
            </w:r>
            <w:r w:rsidR="0095502D">
              <w:rPr>
                <w:rFonts w:asciiTheme="majorHAnsi" w:hAnsiTheme="majorHAnsi"/>
                <w:color w:val="365F91" w:themeColor="accent1" w:themeShade="BF"/>
                <w:sz w:val="16"/>
                <w:szCs w:val="16"/>
              </w:rPr>
              <w:t xml:space="preserve"> Co-Chair</w:t>
            </w:r>
          </w:p>
          <w:p w:rsidR="00190C2A" w:rsidRPr="00190C2A" w:rsidRDefault="00190C2A" w:rsidP="00190C2A">
            <w:pPr>
              <w:jc w:val="center"/>
              <w:rPr>
                <w:rFonts w:asciiTheme="majorHAnsi" w:hAnsiTheme="majorHAnsi"/>
                <w:color w:val="365F91" w:themeColor="accent1" w:themeShade="BF"/>
                <w:sz w:val="16"/>
                <w:szCs w:val="16"/>
              </w:rPr>
            </w:pPr>
            <w:r w:rsidRPr="00190C2A">
              <w:rPr>
                <w:rFonts w:asciiTheme="majorHAnsi" w:hAnsiTheme="majorHAnsi"/>
                <w:color w:val="365F91" w:themeColor="accent1" w:themeShade="BF"/>
                <w:sz w:val="16"/>
                <w:szCs w:val="16"/>
              </w:rPr>
              <w:t>Education Committee</w:t>
            </w:r>
          </w:p>
          <w:p w:rsidR="00190C2A" w:rsidRPr="00190C2A" w:rsidRDefault="00190C2A" w:rsidP="00190C2A">
            <w:pPr>
              <w:jc w:val="center"/>
              <w:rPr>
                <w:rFonts w:asciiTheme="majorHAnsi" w:hAnsiTheme="majorHAnsi"/>
                <w:color w:val="365F91" w:themeColor="accent1" w:themeShade="BF"/>
                <w:sz w:val="16"/>
                <w:szCs w:val="16"/>
              </w:rPr>
            </w:pPr>
            <w:r w:rsidRPr="00190C2A">
              <w:rPr>
                <w:rFonts w:asciiTheme="majorHAnsi" w:hAnsiTheme="majorHAnsi"/>
                <w:color w:val="365F91" w:themeColor="accent1" w:themeShade="BF"/>
                <w:sz w:val="16"/>
                <w:szCs w:val="16"/>
              </w:rPr>
              <w:t>Transportation Committee</w:t>
            </w:r>
          </w:p>
          <w:p w:rsidR="00190C2A" w:rsidRPr="00190C2A" w:rsidRDefault="00190C2A" w:rsidP="00190C2A">
            <w:pPr>
              <w:jc w:val="center"/>
              <w:rPr>
                <w:rFonts w:asciiTheme="majorHAnsi" w:hAnsiTheme="majorHAnsi"/>
                <w:sz w:val="24"/>
                <w:szCs w:val="24"/>
              </w:rPr>
            </w:pPr>
            <w:r w:rsidRPr="00190C2A">
              <w:rPr>
                <w:rFonts w:asciiTheme="majorHAnsi" w:hAnsiTheme="majorHAnsi"/>
                <w:color w:val="365F91" w:themeColor="accent1" w:themeShade="BF"/>
                <w:sz w:val="16"/>
                <w:szCs w:val="16"/>
              </w:rPr>
              <w:t>Joint Armed Services Committee</w:t>
            </w:r>
          </w:p>
        </w:tc>
        <w:tc>
          <w:tcPr>
            <w:tcW w:w="3192" w:type="dxa"/>
          </w:tcPr>
          <w:p w:rsidR="00190C2A" w:rsidRPr="00190C2A" w:rsidRDefault="00190C2A" w:rsidP="00190C2A">
            <w:pPr>
              <w:jc w:val="center"/>
              <w:rPr>
                <w:rFonts w:ascii="Old English Text MT" w:hAnsi="Old English Text MT"/>
                <w:color w:val="365F91" w:themeColor="accent1" w:themeShade="BF"/>
                <w:sz w:val="24"/>
                <w:szCs w:val="24"/>
              </w:rPr>
            </w:pPr>
            <w:r w:rsidRPr="00190C2A">
              <w:rPr>
                <w:rFonts w:ascii="Old English Text MT" w:hAnsi="Old English Text MT"/>
                <w:color w:val="365F91" w:themeColor="accent1" w:themeShade="BF"/>
                <w:sz w:val="24"/>
                <w:szCs w:val="24"/>
              </w:rPr>
              <w:t>Alaska State Legislature</w:t>
            </w:r>
          </w:p>
          <w:p w:rsidR="00190C2A" w:rsidRPr="00190C2A" w:rsidRDefault="00190C2A" w:rsidP="00190C2A">
            <w:pPr>
              <w:jc w:val="center"/>
              <w:rPr>
                <w:rFonts w:ascii="Old English Text MT" w:hAnsi="Old English Text MT"/>
                <w:color w:val="365F91" w:themeColor="accent1" w:themeShade="BF"/>
                <w:sz w:val="24"/>
                <w:szCs w:val="24"/>
              </w:rPr>
            </w:pPr>
            <w:r w:rsidRPr="00190C2A">
              <w:rPr>
                <w:rFonts w:ascii="Old English Text MT" w:hAnsi="Old English Text MT"/>
                <w:noProof/>
                <w:color w:val="365F91" w:themeColor="accent1" w:themeShade="BF"/>
                <w:sz w:val="24"/>
                <w:szCs w:val="24"/>
              </w:rPr>
              <w:drawing>
                <wp:inline distT="0" distB="0" distL="0" distR="0">
                  <wp:extent cx="822463" cy="801876"/>
                  <wp:effectExtent l="19050" t="0" r="0" b="0"/>
                  <wp:docPr id="1" name="Picture 5" descr="C:\Users\lhscrvs\AppData\Local\Microsoft\Windows\Temporary Internet Files\Content.Word\State Seal 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hscrvs\AppData\Local\Microsoft\Windows\Temporary Internet Files\Content.Word\State Seal Gold.jpg"/>
                          <pic:cNvPicPr>
                            <a:picLocks noChangeAspect="1" noChangeArrowheads="1"/>
                          </pic:cNvPicPr>
                        </pic:nvPicPr>
                        <pic:blipFill>
                          <a:blip r:embed="rId7" cstate="print"/>
                          <a:srcRect/>
                          <a:stretch>
                            <a:fillRect/>
                          </a:stretch>
                        </pic:blipFill>
                        <pic:spPr bwMode="auto">
                          <a:xfrm>
                            <a:off x="0" y="0"/>
                            <a:ext cx="822710" cy="802116"/>
                          </a:xfrm>
                          <a:prstGeom prst="rect">
                            <a:avLst/>
                          </a:prstGeom>
                          <a:noFill/>
                          <a:ln w="9525">
                            <a:noFill/>
                            <a:miter lim="800000"/>
                            <a:headEnd/>
                            <a:tailEnd/>
                          </a:ln>
                        </pic:spPr>
                      </pic:pic>
                    </a:graphicData>
                  </a:graphic>
                </wp:inline>
              </w:drawing>
            </w:r>
          </w:p>
          <w:p w:rsidR="00190C2A" w:rsidRPr="00190C2A" w:rsidRDefault="00190C2A" w:rsidP="00190C2A">
            <w:pPr>
              <w:jc w:val="center"/>
              <w:rPr>
                <w:rFonts w:ascii="Old English Text MT" w:hAnsi="Old English Text MT"/>
                <w:color w:val="365F91" w:themeColor="accent1" w:themeShade="BF"/>
                <w:sz w:val="24"/>
                <w:szCs w:val="24"/>
              </w:rPr>
            </w:pPr>
            <w:r w:rsidRPr="00190C2A">
              <w:rPr>
                <w:rFonts w:ascii="Old English Text MT" w:hAnsi="Old English Text MT"/>
                <w:color w:val="365F91" w:themeColor="accent1" w:themeShade="BF"/>
                <w:sz w:val="24"/>
                <w:szCs w:val="24"/>
              </w:rPr>
              <w:t>House of Representatives</w:t>
            </w:r>
          </w:p>
          <w:p w:rsidR="00190C2A" w:rsidRDefault="00190C2A" w:rsidP="00190C2A">
            <w:pPr>
              <w:jc w:val="center"/>
              <w:rPr>
                <w:rFonts w:ascii="Old English Text MT" w:hAnsi="Old English Text MT"/>
                <w:sz w:val="24"/>
                <w:szCs w:val="24"/>
              </w:rPr>
            </w:pPr>
          </w:p>
        </w:tc>
        <w:tc>
          <w:tcPr>
            <w:tcW w:w="3192" w:type="dxa"/>
          </w:tcPr>
          <w:p w:rsidR="00190C2A" w:rsidRDefault="00190C2A" w:rsidP="00190C2A">
            <w:pPr>
              <w:jc w:val="center"/>
              <w:rPr>
                <w:rFonts w:asciiTheme="majorHAnsi" w:hAnsiTheme="majorHAnsi"/>
                <w:sz w:val="16"/>
                <w:szCs w:val="16"/>
              </w:rPr>
            </w:pPr>
          </w:p>
          <w:p w:rsidR="00190C2A" w:rsidRDefault="00190C2A" w:rsidP="00190C2A">
            <w:pPr>
              <w:jc w:val="center"/>
              <w:rPr>
                <w:rFonts w:asciiTheme="majorHAnsi" w:hAnsiTheme="majorHAnsi"/>
                <w:color w:val="365F91" w:themeColor="accent1" w:themeShade="BF"/>
                <w:sz w:val="16"/>
                <w:szCs w:val="16"/>
              </w:rPr>
            </w:pPr>
          </w:p>
          <w:p w:rsidR="00190C2A" w:rsidRPr="00190C2A" w:rsidRDefault="00190C2A" w:rsidP="00190C2A">
            <w:pPr>
              <w:jc w:val="center"/>
              <w:rPr>
                <w:rFonts w:asciiTheme="majorHAnsi" w:hAnsiTheme="majorHAnsi"/>
                <w:color w:val="365F91" w:themeColor="accent1" w:themeShade="BF"/>
                <w:sz w:val="16"/>
                <w:szCs w:val="16"/>
              </w:rPr>
            </w:pPr>
            <w:r w:rsidRPr="00190C2A">
              <w:rPr>
                <w:rFonts w:asciiTheme="majorHAnsi" w:hAnsiTheme="majorHAnsi"/>
                <w:color w:val="365F91" w:themeColor="accent1" w:themeShade="BF"/>
                <w:sz w:val="16"/>
                <w:szCs w:val="16"/>
              </w:rPr>
              <w:t>During Session:</w:t>
            </w:r>
          </w:p>
          <w:p w:rsidR="00190C2A" w:rsidRPr="00190C2A" w:rsidRDefault="00190C2A" w:rsidP="00190C2A">
            <w:pPr>
              <w:jc w:val="center"/>
              <w:rPr>
                <w:rFonts w:asciiTheme="majorHAnsi" w:hAnsiTheme="majorHAnsi"/>
                <w:color w:val="365F91" w:themeColor="accent1" w:themeShade="BF"/>
                <w:sz w:val="16"/>
                <w:szCs w:val="16"/>
              </w:rPr>
            </w:pPr>
            <w:r w:rsidRPr="00190C2A">
              <w:rPr>
                <w:rFonts w:asciiTheme="majorHAnsi" w:hAnsiTheme="majorHAnsi"/>
                <w:color w:val="365F91" w:themeColor="accent1" w:themeShade="BF"/>
                <w:sz w:val="16"/>
                <w:szCs w:val="16"/>
              </w:rPr>
              <w:t>State Capitol Room 126</w:t>
            </w:r>
          </w:p>
          <w:p w:rsidR="00190C2A" w:rsidRPr="00190C2A" w:rsidRDefault="00190C2A" w:rsidP="00190C2A">
            <w:pPr>
              <w:jc w:val="center"/>
              <w:rPr>
                <w:rFonts w:asciiTheme="majorHAnsi" w:hAnsiTheme="majorHAnsi"/>
                <w:color w:val="365F91" w:themeColor="accent1" w:themeShade="BF"/>
                <w:sz w:val="16"/>
                <w:szCs w:val="16"/>
              </w:rPr>
            </w:pPr>
            <w:r w:rsidRPr="00190C2A">
              <w:rPr>
                <w:rFonts w:asciiTheme="majorHAnsi" w:hAnsiTheme="majorHAnsi"/>
                <w:color w:val="365F91" w:themeColor="accent1" w:themeShade="BF"/>
                <w:sz w:val="16"/>
                <w:szCs w:val="16"/>
              </w:rPr>
              <w:t>Juneau, Alaska 99801-1182</w:t>
            </w:r>
          </w:p>
          <w:p w:rsidR="00190C2A" w:rsidRPr="00190C2A" w:rsidRDefault="00190C2A" w:rsidP="00190C2A">
            <w:pPr>
              <w:jc w:val="center"/>
              <w:rPr>
                <w:rFonts w:asciiTheme="majorHAnsi" w:hAnsiTheme="majorHAnsi"/>
                <w:color w:val="365F91" w:themeColor="accent1" w:themeShade="BF"/>
                <w:sz w:val="16"/>
                <w:szCs w:val="16"/>
              </w:rPr>
            </w:pPr>
            <w:r w:rsidRPr="00190C2A">
              <w:rPr>
                <w:rFonts w:asciiTheme="majorHAnsi" w:hAnsiTheme="majorHAnsi"/>
                <w:color w:val="365F91" w:themeColor="accent1" w:themeShade="BF"/>
                <w:sz w:val="16"/>
                <w:szCs w:val="16"/>
              </w:rPr>
              <w:t>(907) 465-4859</w:t>
            </w:r>
          </w:p>
          <w:p w:rsidR="00190C2A" w:rsidRPr="00190C2A" w:rsidRDefault="00190C2A" w:rsidP="00190C2A">
            <w:pPr>
              <w:jc w:val="center"/>
              <w:rPr>
                <w:rFonts w:asciiTheme="majorHAnsi" w:hAnsiTheme="majorHAnsi"/>
                <w:color w:val="365F91" w:themeColor="accent1" w:themeShade="BF"/>
                <w:sz w:val="16"/>
                <w:szCs w:val="16"/>
              </w:rPr>
            </w:pPr>
            <w:r w:rsidRPr="00190C2A">
              <w:rPr>
                <w:rFonts w:asciiTheme="majorHAnsi" w:hAnsiTheme="majorHAnsi"/>
                <w:color w:val="365F91" w:themeColor="accent1" w:themeShade="BF"/>
                <w:sz w:val="16"/>
                <w:szCs w:val="16"/>
              </w:rPr>
              <w:t>Fax (907) 465-3799</w:t>
            </w:r>
          </w:p>
          <w:p w:rsidR="00190C2A" w:rsidRPr="00190C2A" w:rsidRDefault="00190C2A" w:rsidP="00190C2A">
            <w:pPr>
              <w:jc w:val="center"/>
              <w:rPr>
                <w:rFonts w:asciiTheme="majorHAnsi" w:hAnsiTheme="majorHAnsi"/>
                <w:sz w:val="24"/>
                <w:szCs w:val="24"/>
              </w:rPr>
            </w:pPr>
            <w:r w:rsidRPr="00190C2A">
              <w:rPr>
                <w:rFonts w:asciiTheme="majorHAnsi" w:hAnsiTheme="majorHAnsi"/>
                <w:color w:val="365F91" w:themeColor="accent1" w:themeShade="BF"/>
                <w:sz w:val="16"/>
                <w:szCs w:val="16"/>
              </w:rPr>
              <w:t>1-888-465-4859</w:t>
            </w:r>
          </w:p>
        </w:tc>
      </w:tr>
    </w:tbl>
    <w:p w:rsidR="00714913" w:rsidRDefault="00714913">
      <w:pPr>
        <w:rPr>
          <w:rFonts w:ascii="Times New Roman" w:hAnsi="Times New Roman" w:cs="Times New Roman"/>
        </w:rPr>
      </w:pPr>
    </w:p>
    <w:p w:rsidR="00714913" w:rsidRDefault="00714913">
      <w:pPr>
        <w:rPr>
          <w:rFonts w:ascii="Times New Roman" w:hAnsi="Times New Roman" w:cs="Times New Roman"/>
        </w:rPr>
      </w:pPr>
    </w:p>
    <w:p w:rsidR="00714913" w:rsidRDefault="00714913">
      <w:pPr>
        <w:rPr>
          <w:rFonts w:ascii="Times New Roman" w:hAnsi="Times New Roman" w:cs="Times New Roman"/>
        </w:rPr>
      </w:pPr>
    </w:p>
    <w:p w:rsidR="00825F5C" w:rsidRPr="00825F5C" w:rsidRDefault="00825F5C" w:rsidP="008A44BE">
      <w:pPr>
        <w:jc w:val="center"/>
        <w:rPr>
          <w:b/>
          <w:sz w:val="28"/>
          <w:szCs w:val="28"/>
        </w:rPr>
      </w:pPr>
      <w:r w:rsidRPr="00825F5C">
        <w:rPr>
          <w:b/>
          <w:sz w:val="28"/>
          <w:szCs w:val="28"/>
        </w:rPr>
        <w:t>Sponsor Statement</w:t>
      </w:r>
    </w:p>
    <w:p w:rsidR="00825F5C" w:rsidRPr="008A44BE" w:rsidRDefault="00825F5C" w:rsidP="00825F5C">
      <w:pPr>
        <w:rPr>
          <w:b/>
          <w:i/>
          <w:sz w:val="28"/>
          <w:szCs w:val="28"/>
        </w:rPr>
      </w:pPr>
      <w:r w:rsidRPr="008A44BE">
        <w:rPr>
          <w:b/>
          <w:i/>
          <w:sz w:val="28"/>
          <w:szCs w:val="28"/>
        </w:rPr>
        <w:t>An Act relating to the regulation and use of pesticides and broadcast chemicals</w:t>
      </w:r>
    </w:p>
    <w:p w:rsidR="00825F5C" w:rsidRDefault="00825F5C" w:rsidP="00825F5C"/>
    <w:p w:rsidR="00825F5C" w:rsidRDefault="00825F5C" w:rsidP="008A44BE">
      <w:pPr>
        <w:spacing w:after="240"/>
      </w:pPr>
      <w:r>
        <w:t xml:space="preserve">The application of pesticides and broadcast chemicals safely and effectively controls invasive species, unwanted plants, insects, fungus, and other diseases and provides other benefits to humans and animals. Rigorous testing and application standards protect the environment and the public. </w:t>
      </w:r>
    </w:p>
    <w:p w:rsidR="00825F5C" w:rsidRDefault="00825F5C" w:rsidP="008A44BE">
      <w:pPr>
        <w:spacing w:after="240"/>
      </w:pPr>
      <w:r>
        <w:t>Products are developed and tested first to meet safety standards established by the Environmental Protection Agency, and then registered for use on a state-by-state basis.</w:t>
      </w:r>
    </w:p>
    <w:p w:rsidR="00825F5C" w:rsidRDefault="00825F5C" w:rsidP="008A44BE">
      <w:pPr>
        <w:spacing w:after="240"/>
      </w:pPr>
      <w:r>
        <w:t xml:space="preserve">Commercial applicators are trained, tested, and certified by the State of Alaska before they can use pesticides. These certified applicators apply many of the same products available to the general public at retail stores, but must be more knowledgeable than </w:t>
      </w:r>
      <w:r w:rsidR="008A44BE">
        <w:t>the average consumer before they</w:t>
      </w:r>
      <w:r>
        <w:t xml:space="preserve"> can use the product.</w:t>
      </w:r>
    </w:p>
    <w:p w:rsidR="00825F5C" w:rsidRDefault="00825F5C" w:rsidP="008A44BE">
      <w:pPr>
        <w:spacing w:after="240"/>
      </w:pPr>
      <w:r>
        <w:t>The state of Alaska requires agencies to obtain a permit from the Department of Environmental Conservation (DEC) before they apply pesticides and broadcast chemicals on public land, or where public funds are used. The DEC permit requires collection of unnecessary information, delays application of the product, increases costs to the state and other government agencies, and does not increase safety related to product application. This permit is not required for application on private property.</w:t>
      </w:r>
    </w:p>
    <w:p w:rsidR="00825F5C" w:rsidRDefault="00825F5C" w:rsidP="008A44BE">
      <w:pPr>
        <w:spacing w:after="240"/>
      </w:pPr>
      <w:r>
        <w:t>Alaska Statute allows the Department of Environmental Conservation to create regulations that are specific to application of pesticides and broadcast chemicals on public land or with public funds. However, DEC created this permit procedure that is not risk-based and that is an unnecessary burden to itself and other state agencies.</w:t>
      </w:r>
    </w:p>
    <w:p w:rsidR="00825F5C" w:rsidRDefault="00825F5C" w:rsidP="008A44BE">
      <w:pPr>
        <w:spacing w:after="240"/>
      </w:pPr>
      <w:r>
        <w:t>This bill repeals the authority of the Department of Environmental Conservation to regulate application of pesticides and broadcast chemicals on public land or with public funds in a different manner than it requires of commercial applicators working on private property. It will not change the safety or licensing requirements for the application of pesticides or broadcast chemicals.</w:t>
      </w:r>
    </w:p>
    <w:p w:rsidR="007A52AB" w:rsidRDefault="007A52AB" w:rsidP="008A44BE">
      <w:pPr>
        <w:spacing w:after="240"/>
        <w:rPr>
          <w:rFonts w:ascii="Times New Roman" w:hAnsi="Times New Roman" w:cs="Times New Roman"/>
        </w:rPr>
      </w:pPr>
    </w:p>
    <w:sectPr w:rsidR="007A52AB" w:rsidSect="00967C1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4F4" w:rsidRDefault="009304F4" w:rsidP="009304F4">
      <w:pPr>
        <w:spacing w:line="240" w:lineRule="auto"/>
      </w:pPr>
      <w:r>
        <w:separator/>
      </w:r>
    </w:p>
  </w:endnote>
  <w:endnote w:type="continuationSeparator" w:id="0">
    <w:p w:rsidR="009304F4" w:rsidRDefault="009304F4" w:rsidP="009304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4F4" w:rsidRPr="006E00F7" w:rsidRDefault="009304F4" w:rsidP="009304F4">
    <w:pPr>
      <w:jc w:val="center"/>
      <w:rPr>
        <w:rFonts w:ascii="Times New Roman" w:hAnsi="Times New Roman" w:cs="Times New Roman"/>
      </w:rPr>
    </w:pPr>
    <w:r>
      <w:rPr>
        <w:rFonts w:asciiTheme="majorHAnsi" w:hAnsiTheme="majorHAnsi"/>
        <w:color w:val="365F91" w:themeColor="accent1" w:themeShade="BF"/>
        <w:sz w:val="16"/>
        <w:szCs w:val="16"/>
      </w:rPr>
      <w:t>Email: Representative.Eric.Feige@legis.state.ak.us</w:t>
    </w:r>
  </w:p>
  <w:p w:rsidR="009304F4" w:rsidRPr="009304F4" w:rsidRDefault="009304F4" w:rsidP="009304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4F4" w:rsidRDefault="009304F4" w:rsidP="009304F4">
      <w:pPr>
        <w:spacing w:line="240" w:lineRule="auto"/>
      </w:pPr>
      <w:r>
        <w:separator/>
      </w:r>
    </w:p>
  </w:footnote>
  <w:footnote w:type="continuationSeparator" w:id="0">
    <w:p w:rsidR="009304F4" w:rsidRDefault="009304F4" w:rsidP="009304F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attachedTemplate r:id="rId1"/>
  <w:defaultTabStop w:val="720"/>
  <w:characterSpacingControl w:val="doNotCompress"/>
  <w:hdrShapeDefaults>
    <o:shapedefaults v:ext="edit" spidmax="11265"/>
  </w:hdrShapeDefaults>
  <w:footnotePr>
    <w:footnote w:id="-1"/>
    <w:footnote w:id="0"/>
  </w:footnotePr>
  <w:endnotePr>
    <w:endnote w:id="-1"/>
    <w:endnote w:id="0"/>
  </w:endnotePr>
  <w:compat/>
  <w:rsids>
    <w:rsidRoot w:val="00534827"/>
    <w:rsid w:val="00190C2A"/>
    <w:rsid w:val="002F17F7"/>
    <w:rsid w:val="003E7C0B"/>
    <w:rsid w:val="00475297"/>
    <w:rsid w:val="004954E7"/>
    <w:rsid w:val="00534827"/>
    <w:rsid w:val="005E5297"/>
    <w:rsid w:val="006740EA"/>
    <w:rsid w:val="00686454"/>
    <w:rsid w:val="006E00F7"/>
    <w:rsid w:val="006F1583"/>
    <w:rsid w:val="00714913"/>
    <w:rsid w:val="007A52AB"/>
    <w:rsid w:val="007E656C"/>
    <w:rsid w:val="00825F5C"/>
    <w:rsid w:val="00877198"/>
    <w:rsid w:val="00893980"/>
    <w:rsid w:val="008A44BE"/>
    <w:rsid w:val="00921483"/>
    <w:rsid w:val="009304F4"/>
    <w:rsid w:val="0095502D"/>
    <w:rsid w:val="00967C11"/>
    <w:rsid w:val="009828FE"/>
    <w:rsid w:val="009F4388"/>
    <w:rsid w:val="00AB6D1C"/>
    <w:rsid w:val="00AF53C7"/>
    <w:rsid w:val="00B602F5"/>
    <w:rsid w:val="00CF5E92"/>
    <w:rsid w:val="00D351B7"/>
    <w:rsid w:val="00E92B2F"/>
    <w:rsid w:val="00F43559"/>
    <w:rsid w:val="00FB1E55"/>
    <w:rsid w:val="00FD6A48"/>
    <w:rsid w:val="00FF0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C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C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C2A"/>
    <w:rPr>
      <w:rFonts w:ascii="Tahoma" w:hAnsi="Tahoma" w:cs="Tahoma"/>
      <w:sz w:val="16"/>
      <w:szCs w:val="16"/>
    </w:rPr>
  </w:style>
  <w:style w:type="table" w:styleId="TableGrid">
    <w:name w:val="Table Grid"/>
    <w:basedOn w:val="TableNormal"/>
    <w:uiPriority w:val="59"/>
    <w:rsid w:val="00190C2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304F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304F4"/>
  </w:style>
  <w:style w:type="paragraph" w:styleId="Footer">
    <w:name w:val="footer"/>
    <w:basedOn w:val="Normal"/>
    <w:link w:val="FooterChar"/>
    <w:uiPriority w:val="99"/>
    <w:semiHidden/>
    <w:unhideWhenUsed/>
    <w:rsid w:val="009304F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304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scmrp\AppData\Local\Microsoft\Windows\Temporary%20Internet%20Files\Content.Outlook\10ION4FH\Rep%20Feige%20letterhead%20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B5155-D900-4DC1-80FD-D458D48D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 Feige letterhead color</Template>
  <TotalTime>4</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2011-02-25T19:03:00Z</cp:lastPrinted>
  <dcterms:created xsi:type="dcterms:W3CDTF">2011-03-15T16:59:00Z</dcterms:created>
  <dcterms:modified xsi:type="dcterms:W3CDTF">2011-03-15T17:02:00Z</dcterms:modified>
</cp:coreProperties>
</file>