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888" w:rsidRPr="002C2888" w:rsidRDefault="002C2888" w:rsidP="002C2888">
      <w:pPr>
        <w:jc w:val="center"/>
        <w:rPr>
          <w:rFonts w:ascii="Bookman Old Style" w:hAnsi="Bookman Old Style"/>
          <w:b/>
        </w:rPr>
      </w:pPr>
      <w:r w:rsidRPr="002C2888">
        <w:rPr>
          <w:rFonts w:ascii="Bookman Old Style" w:hAnsi="Bookman Old Style"/>
          <w:b/>
        </w:rPr>
        <w:t>Department of Environmental Conservation</w:t>
      </w:r>
    </w:p>
    <w:p w:rsidR="002C2888" w:rsidRPr="002C2888" w:rsidRDefault="002C2888" w:rsidP="002C2888">
      <w:pPr>
        <w:jc w:val="center"/>
        <w:rPr>
          <w:rFonts w:ascii="Bookman Old Style" w:hAnsi="Bookman Old Style"/>
          <w:b/>
        </w:rPr>
      </w:pPr>
      <w:r w:rsidRPr="002C2888">
        <w:rPr>
          <w:rFonts w:ascii="Bookman Old Style" w:hAnsi="Bookman Old Style"/>
          <w:b/>
        </w:rPr>
        <w:t xml:space="preserve">Testimony on HB </w:t>
      </w:r>
      <w:r w:rsidR="00903C65">
        <w:rPr>
          <w:rFonts w:ascii="Bookman Old Style" w:hAnsi="Bookman Old Style"/>
          <w:b/>
        </w:rPr>
        <w:t>85</w:t>
      </w:r>
    </w:p>
    <w:p w:rsidR="002C2888" w:rsidRPr="002C2888" w:rsidRDefault="002C2888" w:rsidP="002C2888">
      <w:pPr>
        <w:jc w:val="center"/>
        <w:rPr>
          <w:rFonts w:ascii="Bookman Old Style" w:hAnsi="Bookman Old Style"/>
          <w:b/>
        </w:rPr>
      </w:pPr>
      <w:r w:rsidRPr="002C2888">
        <w:rPr>
          <w:rFonts w:ascii="Bookman Old Style" w:hAnsi="Bookman Old Style"/>
          <w:b/>
        </w:rPr>
        <w:t xml:space="preserve">House Fisheries Special Committee </w:t>
      </w:r>
    </w:p>
    <w:p w:rsidR="002C2888" w:rsidRPr="002C2888" w:rsidRDefault="00903C65" w:rsidP="002C2888">
      <w:pPr>
        <w:jc w:val="center"/>
        <w:rPr>
          <w:rFonts w:ascii="Bookman Old Style" w:hAnsi="Bookman Old Style"/>
          <w:b/>
        </w:rPr>
      </w:pPr>
      <w:r>
        <w:rPr>
          <w:rFonts w:ascii="Bookman Old Style" w:hAnsi="Bookman Old Style"/>
          <w:b/>
        </w:rPr>
        <w:t>March 29, 2011</w:t>
      </w:r>
    </w:p>
    <w:p w:rsidR="00A13568" w:rsidRPr="00E37437" w:rsidRDefault="00A13568">
      <w:pPr>
        <w:rPr>
          <w:rFonts w:ascii="Bookman Old Style" w:hAnsi="Bookman Old Style"/>
        </w:rPr>
      </w:pPr>
    </w:p>
    <w:p w:rsidR="00A13568" w:rsidRPr="00E37437" w:rsidRDefault="00A13568" w:rsidP="00A8193C">
      <w:pPr>
        <w:rPr>
          <w:rFonts w:ascii="Bookman Old Style" w:hAnsi="Bookman Old Style"/>
        </w:rPr>
      </w:pPr>
    </w:p>
    <w:p w:rsidR="00A8193C" w:rsidRPr="00E37437" w:rsidRDefault="00A8193C" w:rsidP="00A8193C">
      <w:pPr>
        <w:rPr>
          <w:rFonts w:ascii="Bookman Old Style" w:hAnsi="Bookman Old Style"/>
        </w:rPr>
      </w:pPr>
      <w:r w:rsidRPr="00E37437">
        <w:rPr>
          <w:rFonts w:ascii="Bookman Old Style" w:hAnsi="Bookman Old Style"/>
        </w:rPr>
        <w:t>The Department of Environmental Conservation appreciates the opportunity to provide comments on</w:t>
      </w:r>
      <w:r w:rsidR="00A13568" w:rsidRPr="00E37437">
        <w:rPr>
          <w:rFonts w:ascii="Bookman Old Style" w:hAnsi="Bookman Old Style"/>
        </w:rPr>
        <w:t xml:space="preserve"> HB </w:t>
      </w:r>
      <w:r w:rsidR="000235C1">
        <w:rPr>
          <w:rFonts w:ascii="Bookman Old Style" w:hAnsi="Bookman Old Style"/>
        </w:rPr>
        <w:t>85</w:t>
      </w:r>
      <w:r w:rsidRPr="00E37437">
        <w:rPr>
          <w:rFonts w:ascii="Bookman Old Style" w:hAnsi="Bookman Old Style"/>
        </w:rPr>
        <w:t>.</w:t>
      </w:r>
    </w:p>
    <w:p w:rsidR="00A8193C" w:rsidRPr="00E37437" w:rsidRDefault="00A8193C" w:rsidP="00A8193C">
      <w:pPr>
        <w:rPr>
          <w:rFonts w:ascii="Bookman Old Style" w:hAnsi="Bookman Old Style"/>
        </w:rPr>
      </w:pPr>
    </w:p>
    <w:p w:rsidR="00A8193C" w:rsidRDefault="00A8193C" w:rsidP="00A8193C">
      <w:pPr>
        <w:rPr>
          <w:rFonts w:ascii="Bookman Old Style" w:hAnsi="Bookman Old Style"/>
        </w:rPr>
      </w:pPr>
      <w:r w:rsidRPr="00E37437">
        <w:rPr>
          <w:rFonts w:ascii="Bookman Old Style" w:hAnsi="Bookman Old Style"/>
        </w:rPr>
        <w:t xml:space="preserve">The Department is opposed to </w:t>
      </w:r>
      <w:r w:rsidR="00A13568" w:rsidRPr="00E37437">
        <w:rPr>
          <w:rFonts w:ascii="Bookman Old Style" w:hAnsi="Bookman Old Style"/>
        </w:rPr>
        <w:t xml:space="preserve">HB </w:t>
      </w:r>
      <w:r w:rsidR="000235C1">
        <w:rPr>
          <w:rFonts w:ascii="Bookman Old Style" w:hAnsi="Bookman Old Style"/>
        </w:rPr>
        <w:t>85</w:t>
      </w:r>
      <w:r w:rsidRPr="00E37437">
        <w:rPr>
          <w:rFonts w:ascii="Bookman Old Style" w:hAnsi="Bookman Old Style"/>
        </w:rPr>
        <w:t xml:space="preserve"> for the following reasons:</w:t>
      </w:r>
    </w:p>
    <w:p w:rsidR="00F86A04" w:rsidRDefault="00F86A04" w:rsidP="00A8193C">
      <w:pPr>
        <w:rPr>
          <w:rFonts w:ascii="Bookman Old Style" w:hAnsi="Bookman Old Style"/>
        </w:rPr>
      </w:pPr>
    </w:p>
    <w:p w:rsidR="00F86A04" w:rsidRPr="00594687" w:rsidRDefault="00F86A04" w:rsidP="00F86A04">
      <w:pPr>
        <w:pStyle w:val="ListParagraph"/>
        <w:numPr>
          <w:ilvl w:val="0"/>
          <w:numId w:val="5"/>
        </w:numPr>
        <w:rPr>
          <w:rFonts w:ascii="Bookman Old Style" w:hAnsi="Bookman Old Style"/>
          <w:b/>
        </w:rPr>
      </w:pPr>
      <w:r w:rsidRPr="00594687">
        <w:rPr>
          <w:rFonts w:ascii="Bookman Old Style" w:hAnsi="Bookman Old Style"/>
          <w:b/>
        </w:rPr>
        <w:t xml:space="preserve">HB </w:t>
      </w:r>
      <w:r w:rsidR="000235C1">
        <w:rPr>
          <w:rFonts w:ascii="Bookman Old Style" w:hAnsi="Bookman Old Style"/>
          <w:b/>
        </w:rPr>
        <w:t>85</w:t>
      </w:r>
      <w:r w:rsidRPr="00594687">
        <w:rPr>
          <w:rFonts w:ascii="Bookman Old Style" w:hAnsi="Bookman Old Style"/>
          <w:b/>
        </w:rPr>
        <w:t xml:space="preserve"> requires the collection of </w:t>
      </w:r>
      <w:r w:rsidR="00594687" w:rsidRPr="00594687">
        <w:rPr>
          <w:rFonts w:ascii="Bookman Old Style" w:hAnsi="Bookman Old Style"/>
          <w:b/>
        </w:rPr>
        <w:t>new data</w:t>
      </w:r>
      <w:r w:rsidRPr="00594687">
        <w:rPr>
          <w:rFonts w:ascii="Bookman Old Style" w:hAnsi="Bookman Old Style"/>
          <w:b/>
        </w:rPr>
        <w:t xml:space="preserve"> from </w:t>
      </w:r>
      <w:proofErr w:type="spellStart"/>
      <w:r w:rsidRPr="00594687">
        <w:rPr>
          <w:rFonts w:ascii="Bookman Old Style" w:hAnsi="Bookman Old Style"/>
          <w:b/>
        </w:rPr>
        <w:t>permittees</w:t>
      </w:r>
      <w:proofErr w:type="spellEnd"/>
      <w:r w:rsidRPr="00594687">
        <w:rPr>
          <w:rFonts w:ascii="Bookman Old Style" w:hAnsi="Bookman Old Style"/>
          <w:b/>
        </w:rPr>
        <w:t xml:space="preserve"> that cannot be compared to any regulatory standards.</w:t>
      </w:r>
    </w:p>
    <w:p w:rsidR="00F86A04" w:rsidRDefault="00F86A04" w:rsidP="00F86A04">
      <w:pPr>
        <w:rPr>
          <w:rFonts w:ascii="Bookman Old Style" w:hAnsi="Bookman Old Style"/>
        </w:rPr>
      </w:pPr>
    </w:p>
    <w:p w:rsidR="00594687" w:rsidRDefault="00594687" w:rsidP="00B31F2B">
      <w:pPr>
        <w:ind w:left="720"/>
        <w:rPr>
          <w:rFonts w:ascii="Bookman Old Style" w:hAnsi="Bookman Old Style"/>
        </w:rPr>
      </w:pPr>
      <w:r>
        <w:rPr>
          <w:rFonts w:ascii="Bookman Old Style" w:hAnsi="Bookman Old Style"/>
        </w:rPr>
        <w:t xml:space="preserve">HB </w:t>
      </w:r>
      <w:r w:rsidR="000235C1">
        <w:rPr>
          <w:rFonts w:ascii="Bookman Old Style" w:hAnsi="Bookman Old Style"/>
        </w:rPr>
        <w:t>85</w:t>
      </w:r>
      <w:r>
        <w:rPr>
          <w:rFonts w:ascii="Bookman Old Style" w:hAnsi="Bookman Old Style"/>
        </w:rPr>
        <w:t xml:space="preserve"> requires wastewater discharge </w:t>
      </w:r>
      <w:proofErr w:type="spellStart"/>
      <w:r>
        <w:rPr>
          <w:rFonts w:ascii="Bookman Old Style" w:hAnsi="Bookman Old Style"/>
        </w:rPr>
        <w:t>permittees</w:t>
      </w:r>
      <w:proofErr w:type="spellEnd"/>
      <w:r>
        <w:rPr>
          <w:rFonts w:ascii="Bookman Old Style" w:hAnsi="Bookman Old Style"/>
        </w:rPr>
        <w:t xml:space="preserve"> to collect new data and submit an annual report to the Department.  For most pollutants, Alaska water quality standards are based on the concentration of a pollutant that can be present in a water body without adversely affecting aquatic life or other uses of the water body.  Wastewater discharge permit limits are generally expressed as a concentration of a pollutant in the discharge. </w:t>
      </w:r>
    </w:p>
    <w:p w:rsidR="00594687" w:rsidRDefault="00594687" w:rsidP="00B31F2B">
      <w:pPr>
        <w:ind w:left="720"/>
        <w:rPr>
          <w:rFonts w:ascii="Bookman Old Style" w:hAnsi="Bookman Old Style"/>
        </w:rPr>
      </w:pPr>
    </w:p>
    <w:p w:rsidR="00594687" w:rsidRDefault="00594687" w:rsidP="00B31F2B">
      <w:pPr>
        <w:ind w:left="720"/>
        <w:rPr>
          <w:rFonts w:ascii="Bookman Old Style" w:hAnsi="Bookman Old Style"/>
        </w:rPr>
      </w:pPr>
      <w:r>
        <w:rPr>
          <w:rFonts w:ascii="Bookman Old Style" w:hAnsi="Bookman Old Style"/>
        </w:rPr>
        <w:t xml:space="preserve">HB </w:t>
      </w:r>
      <w:r w:rsidR="000235C1">
        <w:rPr>
          <w:rFonts w:ascii="Bookman Old Style" w:hAnsi="Bookman Old Style"/>
        </w:rPr>
        <w:t>85</w:t>
      </w:r>
      <w:r>
        <w:rPr>
          <w:rFonts w:ascii="Bookman Old Style" w:hAnsi="Bookman Old Style"/>
        </w:rPr>
        <w:t xml:space="preserve"> includes confusing terms regarding what the annual report must contain, including the “amount, nature, and description of the pollutant.” In order for </w:t>
      </w:r>
      <w:proofErr w:type="spellStart"/>
      <w:r>
        <w:rPr>
          <w:rFonts w:ascii="Bookman Old Style" w:hAnsi="Bookman Old Style"/>
        </w:rPr>
        <w:t>permittees</w:t>
      </w:r>
      <w:proofErr w:type="spellEnd"/>
      <w:r>
        <w:rPr>
          <w:rFonts w:ascii="Bookman Old Style" w:hAnsi="Bookman Old Style"/>
        </w:rPr>
        <w:t xml:space="preserve"> to report on the “amount”, they will need to collect regular flow data (which in some cases will require new equipment) and convert measured concentrations to pounds for specific time periods. Once reported, this data has no relevance to regulatory standards.</w:t>
      </w:r>
      <w:r w:rsidR="00B31F2B">
        <w:rPr>
          <w:rFonts w:ascii="Bookman Old Style" w:hAnsi="Bookman Old Style"/>
        </w:rPr>
        <w:t xml:space="preserve"> </w:t>
      </w:r>
    </w:p>
    <w:p w:rsidR="00201A68" w:rsidRDefault="00201A68" w:rsidP="00B31F2B">
      <w:pPr>
        <w:ind w:left="720"/>
        <w:rPr>
          <w:rFonts w:ascii="Bookman Old Style" w:hAnsi="Bookman Old Style"/>
        </w:rPr>
      </w:pPr>
    </w:p>
    <w:p w:rsidR="00201A68" w:rsidRDefault="00201A68" w:rsidP="00B31F2B">
      <w:pPr>
        <w:ind w:left="720"/>
        <w:rPr>
          <w:rFonts w:ascii="Bookman Old Style" w:hAnsi="Bookman Old Style"/>
        </w:rPr>
      </w:pPr>
      <w:r>
        <w:rPr>
          <w:rFonts w:ascii="Bookman Old Style" w:hAnsi="Bookman Old Style"/>
        </w:rPr>
        <w:t xml:space="preserve">Some pollutants cannot be reported in terms of “amount”, such as fecal </w:t>
      </w:r>
      <w:proofErr w:type="spellStart"/>
      <w:r>
        <w:rPr>
          <w:rFonts w:ascii="Bookman Old Style" w:hAnsi="Bookman Old Style"/>
        </w:rPr>
        <w:t>coliform</w:t>
      </w:r>
      <w:proofErr w:type="spellEnd"/>
      <w:r>
        <w:rPr>
          <w:rFonts w:ascii="Bookman Old Style" w:hAnsi="Bookman Old Style"/>
        </w:rPr>
        <w:t xml:space="preserve"> bacteria, radioactivity, and turbidity. </w:t>
      </w:r>
    </w:p>
    <w:p w:rsidR="00B31F2B" w:rsidRDefault="00B31F2B" w:rsidP="00B31F2B">
      <w:pPr>
        <w:ind w:left="720"/>
        <w:rPr>
          <w:rFonts w:ascii="Bookman Old Style" w:hAnsi="Bookman Old Style"/>
        </w:rPr>
      </w:pPr>
    </w:p>
    <w:p w:rsidR="00B31F2B" w:rsidRPr="00E37437" w:rsidRDefault="00B31F2B" w:rsidP="00B31F2B">
      <w:pPr>
        <w:ind w:left="720"/>
        <w:rPr>
          <w:rFonts w:ascii="Bookman Old Style" w:hAnsi="Bookman Old Style"/>
        </w:rPr>
      </w:pPr>
      <w:r>
        <w:rPr>
          <w:rFonts w:ascii="Bookman Old Style" w:hAnsi="Bookman Old Style"/>
        </w:rPr>
        <w:t>Monitoring data</w:t>
      </w:r>
      <w:r w:rsidRPr="00E37437">
        <w:rPr>
          <w:rFonts w:ascii="Bookman Old Style" w:hAnsi="Bookman Old Style"/>
        </w:rPr>
        <w:t xml:space="preserve"> from all sig</w:t>
      </w:r>
      <w:r>
        <w:rPr>
          <w:rFonts w:ascii="Bookman Old Style" w:hAnsi="Bookman Old Style"/>
        </w:rPr>
        <w:t>nificant dischargers</w:t>
      </w:r>
      <w:r w:rsidRPr="00E37437">
        <w:rPr>
          <w:rFonts w:ascii="Bookman Old Style" w:hAnsi="Bookman Old Style"/>
        </w:rPr>
        <w:t xml:space="preserve"> is already collected </w:t>
      </w:r>
      <w:r>
        <w:rPr>
          <w:rFonts w:ascii="Bookman Old Style" w:hAnsi="Bookman Old Style"/>
        </w:rPr>
        <w:t>and reported to the Department in</w:t>
      </w:r>
      <w:r w:rsidRPr="00E37437">
        <w:rPr>
          <w:rFonts w:ascii="Bookman Old Style" w:hAnsi="Bookman Old Style"/>
        </w:rPr>
        <w:t xml:space="preserve"> Discharge Monitoring </w:t>
      </w:r>
      <w:r>
        <w:rPr>
          <w:rFonts w:ascii="Bookman Old Style" w:hAnsi="Bookman Old Style"/>
        </w:rPr>
        <w:t>R</w:t>
      </w:r>
      <w:r w:rsidRPr="00E37437">
        <w:rPr>
          <w:rFonts w:ascii="Bookman Old Style" w:hAnsi="Bookman Old Style"/>
        </w:rPr>
        <w:t>eports</w:t>
      </w:r>
      <w:r>
        <w:rPr>
          <w:rFonts w:ascii="Bookman Old Style" w:hAnsi="Bookman Old Style"/>
        </w:rPr>
        <w:t xml:space="preserve">.  These reports are </w:t>
      </w:r>
      <w:r w:rsidRPr="00E37437">
        <w:rPr>
          <w:rFonts w:ascii="Bookman Old Style" w:hAnsi="Bookman Old Style"/>
        </w:rPr>
        <w:t xml:space="preserve">available to the public – they can review what </w:t>
      </w:r>
      <w:r>
        <w:rPr>
          <w:rFonts w:ascii="Bookman Old Style" w:hAnsi="Bookman Old Style"/>
        </w:rPr>
        <w:t>pollutants</w:t>
      </w:r>
      <w:r w:rsidRPr="00E37437">
        <w:rPr>
          <w:rFonts w:ascii="Bookman Old Style" w:hAnsi="Bookman Old Style"/>
        </w:rPr>
        <w:t xml:space="preserve"> are discharged and in what concentrations.</w:t>
      </w:r>
    </w:p>
    <w:p w:rsidR="00B31F2B" w:rsidRPr="00E37437" w:rsidRDefault="00B31F2B" w:rsidP="00B31F2B">
      <w:pPr>
        <w:rPr>
          <w:rFonts w:ascii="Bookman Old Style" w:hAnsi="Bookman Old Style"/>
        </w:rPr>
      </w:pPr>
    </w:p>
    <w:p w:rsidR="00F86A04" w:rsidRPr="00F86A04" w:rsidRDefault="00B31F2B" w:rsidP="00A67673">
      <w:pPr>
        <w:ind w:left="720"/>
        <w:rPr>
          <w:rFonts w:ascii="Bookman Old Style" w:hAnsi="Bookman Old Style"/>
        </w:rPr>
      </w:pPr>
      <w:r>
        <w:rPr>
          <w:rFonts w:ascii="Bookman Old Style" w:hAnsi="Bookman Old Style"/>
        </w:rPr>
        <w:t>There is n</w:t>
      </w:r>
      <w:r w:rsidRPr="00E37437">
        <w:rPr>
          <w:rFonts w:ascii="Bookman Old Style" w:hAnsi="Bookman Old Style"/>
        </w:rPr>
        <w:t>o net environmental benefit</w:t>
      </w:r>
      <w:r>
        <w:rPr>
          <w:rFonts w:ascii="Bookman Old Style" w:hAnsi="Bookman Old Style"/>
        </w:rPr>
        <w:t xml:space="preserve"> or public information benefit from the new data collection and reporting requirements of HB </w:t>
      </w:r>
      <w:r w:rsidR="000235C1">
        <w:rPr>
          <w:rFonts w:ascii="Bookman Old Style" w:hAnsi="Bookman Old Style"/>
        </w:rPr>
        <w:t>85</w:t>
      </w:r>
      <w:r>
        <w:rPr>
          <w:rFonts w:ascii="Bookman Old Style" w:hAnsi="Bookman Old Style"/>
        </w:rPr>
        <w:t>.</w:t>
      </w:r>
    </w:p>
    <w:p w:rsidR="00A8193C" w:rsidRPr="00E37437" w:rsidRDefault="00A8193C" w:rsidP="00A8193C">
      <w:pPr>
        <w:rPr>
          <w:rFonts w:ascii="Bookman Old Style" w:hAnsi="Bookman Old Style"/>
        </w:rPr>
      </w:pPr>
    </w:p>
    <w:p w:rsidR="00A8193C" w:rsidRPr="00E37437" w:rsidRDefault="00A13568" w:rsidP="00A8193C">
      <w:pPr>
        <w:numPr>
          <w:ilvl w:val="0"/>
          <w:numId w:val="5"/>
        </w:numPr>
        <w:rPr>
          <w:rFonts w:ascii="Bookman Old Style" w:hAnsi="Bookman Old Style"/>
          <w:b/>
        </w:rPr>
      </w:pPr>
      <w:r w:rsidRPr="00E37437">
        <w:rPr>
          <w:rFonts w:ascii="Bookman Old Style" w:hAnsi="Bookman Old Style"/>
          <w:b/>
        </w:rPr>
        <w:t xml:space="preserve">HB </w:t>
      </w:r>
      <w:r w:rsidR="000235C1">
        <w:rPr>
          <w:rFonts w:ascii="Bookman Old Style" w:hAnsi="Bookman Old Style"/>
          <w:b/>
        </w:rPr>
        <w:t>85</w:t>
      </w:r>
      <w:r w:rsidR="00A8193C" w:rsidRPr="00E37437">
        <w:rPr>
          <w:rFonts w:ascii="Bookman Old Style" w:hAnsi="Bookman Old Style"/>
          <w:b/>
        </w:rPr>
        <w:t xml:space="preserve"> is not necessary to protect </w:t>
      </w:r>
      <w:proofErr w:type="spellStart"/>
      <w:r w:rsidR="00A8193C" w:rsidRPr="00E37437">
        <w:rPr>
          <w:rFonts w:ascii="Bookman Old Style" w:hAnsi="Bookman Old Style"/>
          <w:b/>
        </w:rPr>
        <w:t>anadromous</w:t>
      </w:r>
      <w:proofErr w:type="spellEnd"/>
      <w:r w:rsidR="00A8193C" w:rsidRPr="00E37437">
        <w:rPr>
          <w:rFonts w:ascii="Bookman Old Style" w:hAnsi="Bookman Old Style"/>
          <w:b/>
        </w:rPr>
        <w:t xml:space="preserve"> salmon from either a scientific or a perception basis.</w:t>
      </w:r>
    </w:p>
    <w:p w:rsidR="00A8193C" w:rsidRPr="00E37437" w:rsidRDefault="00A8193C" w:rsidP="00A8193C">
      <w:pPr>
        <w:ind w:left="360"/>
        <w:rPr>
          <w:rFonts w:ascii="Bookman Old Style" w:hAnsi="Bookman Old Style"/>
        </w:rPr>
      </w:pPr>
    </w:p>
    <w:p w:rsidR="00A8193C" w:rsidRPr="00E37437" w:rsidRDefault="00A8193C" w:rsidP="00A8193C">
      <w:pPr>
        <w:ind w:left="720"/>
        <w:rPr>
          <w:rFonts w:ascii="Bookman Old Style" w:hAnsi="Bookman Old Style"/>
        </w:rPr>
      </w:pPr>
      <w:r w:rsidRPr="00E37437">
        <w:rPr>
          <w:rFonts w:ascii="Bookman Old Style" w:hAnsi="Bookman Old Style"/>
        </w:rPr>
        <w:t xml:space="preserve">The Department of Environmental Conservation’s regulations prohibit mixing zones in </w:t>
      </w:r>
      <w:proofErr w:type="spellStart"/>
      <w:r w:rsidRPr="00E37437">
        <w:rPr>
          <w:rFonts w:ascii="Bookman Old Style" w:hAnsi="Bookman Old Style"/>
        </w:rPr>
        <w:t>anadromous</w:t>
      </w:r>
      <w:proofErr w:type="spellEnd"/>
      <w:r w:rsidRPr="00E37437">
        <w:rPr>
          <w:rFonts w:ascii="Bookman Old Style" w:hAnsi="Bookman Old Style"/>
        </w:rPr>
        <w:t xml:space="preserve"> salmon spawning areas.  </w:t>
      </w:r>
      <w:r w:rsidR="00A13568" w:rsidRPr="00E37437">
        <w:rPr>
          <w:rFonts w:ascii="Bookman Old Style" w:hAnsi="Bookman Old Style"/>
        </w:rPr>
        <w:t xml:space="preserve">HB </w:t>
      </w:r>
      <w:r w:rsidR="000235C1">
        <w:rPr>
          <w:rFonts w:ascii="Bookman Old Style" w:hAnsi="Bookman Old Style"/>
        </w:rPr>
        <w:t>85</w:t>
      </w:r>
      <w:r w:rsidRPr="00E37437">
        <w:rPr>
          <w:rFonts w:ascii="Bookman Old Style" w:hAnsi="Bookman Old Style"/>
        </w:rPr>
        <w:t xml:space="preserve"> would put </w:t>
      </w:r>
      <w:r w:rsidRPr="00E37437">
        <w:rPr>
          <w:rFonts w:ascii="Bookman Old Style" w:hAnsi="Bookman Old Style"/>
        </w:rPr>
        <w:lastRenderedPageBreak/>
        <w:t xml:space="preserve">in statute the same protections for the five species of </w:t>
      </w:r>
      <w:proofErr w:type="spellStart"/>
      <w:r w:rsidRPr="00E37437">
        <w:rPr>
          <w:rFonts w:ascii="Bookman Old Style" w:hAnsi="Bookman Old Style"/>
        </w:rPr>
        <w:t>anadromous</w:t>
      </w:r>
      <w:proofErr w:type="spellEnd"/>
      <w:r w:rsidRPr="00E37437">
        <w:rPr>
          <w:rFonts w:ascii="Bookman Old Style" w:hAnsi="Bookman Old Style"/>
        </w:rPr>
        <w:t xml:space="preserve"> salmon that have been part of DEC’s regulations since 1975.  </w:t>
      </w:r>
    </w:p>
    <w:p w:rsidR="00A8193C" w:rsidRPr="00E37437" w:rsidRDefault="00A8193C" w:rsidP="00A8193C">
      <w:pPr>
        <w:ind w:left="360"/>
        <w:rPr>
          <w:rFonts w:ascii="Bookman Old Style" w:hAnsi="Bookman Old Style"/>
        </w:rPr>
      </w:pPr>
    </w:p>
    <w:p w:rsidR="00A8193C" w:rsidRPr="00E37437" w:rsidRDefault="00A8193C" w:rsidP="00A8193C">
      <w:pPr>
        <w:ind w:left="720"/>
        <w:rPr>
          <w:rFonts w:ascii="Bookman Old Style" w:hAnsi="Bookman Old Style"/>
          <w:b/>
        </w:rPr>
      </w:pPr>
      <w:r w:rsidRPr="00E37437">
        <w:rPr>
          <w:rFonts w:ascii="Bookman Old Style" w:hAnsi="Bookman Old Style"/>
        </w:rPr>
        <w:t xml:space="preserve">While these protections are not necessary from a scientific perspective, they go beyond science to address the need to protect salmon marketing and the public perception that Alaska’s salmon are clean and healthy. </w:t>
      </w:r>
    </w:p>
    <w:p w:rsidR="00A8193C" w:rsidRPr="00E37437" w:rsidRDefault="00A8193C" w:rsidP="00A8193C">
      <w:pPr>
        <w:ind w:left="360"/>
        <w:rPr>
          <w:rFonts w:ascii="Bookman Old Style" w:hAnsi="Bookman Old Style"/>
          <w:b/>
        </w:rPr>
      </w:pPr>
    </w:p>
    <w:p w:rsidR="00A8193C" w:rsidRPr="00E37437" w:rsidRDefault="00A8193C" w:rsidP="00A8193C">
      <w:pPr>
        <w:numPr>
          <w:ilvl w:val="0"/>
          <w:numId w:val="5"/>
        </w:numPr>
        <w:rPr>
          <w:rFonts w:ascii="Bookman Old Style" w:hAnsi="Bookman Old Style"/>
          <w:b/>
        </w:rPr>
      </w:pPr>
      <w:r w:rsidRPr="00E37437">
        <w:rPr>
          <w:rFonts w:ascii="Bookman Old Style" w:hAnsi="Bookman Old Style"/>
          <w:b/>
        </w:rPr>
        <w:t>There is no justification for extending the mixing zone prohibition to protect the salmon marketing effort to protect “non-salmon” fish species.</w:t>
      </w:r>
    </w:p>
    <w:p w:rsidR="00A8193C" w:rsidRPr="00E37437" w:rsidRDefault="00A8193C" w:rsidP="00A8193C">
      <w:pPr>
        <w:ind w:left="360"/>
        <w:rPr>
          <w:rFonts w:ascii="Bookman Old Style" w:hAnsi="Bookman Old Style"/>
        </w:rPr>
      </w:pPr>
    </w:p>
    <w:p w:rsidR="00A8193C" w:rsidRPr="00E37437" w:rsidRDefault="00A13568" w:rsidP="00A8193C">
      <w:pPr>
        <w:ind w:left="720"/>
        <w:rPr>
          <w:rFonts w:ascii="Bookman Old Style" w:hAnsi="Bookman Old Style"/>
        </w:rPr>
      </w:pPr>
      <w:r w:rsidRPr="00E37437">
        <w:rPr>
          <w:rFonts w:ascii="Bookman Old Style" w:hAnsi="Bookman Old Style"/>
        </w:rPr>
        <w:t xml:space="preserve">HB </w:t>
      </w:r>
      <w:r w:rsidR="000235C1">
        <w:rPr>
          <w:rFonts w:ascii="Bookman Old Style" w:hAnsi="Bookman Old Style"/>
        </w:rPr>
        <w:t>85</w:t>
      </w:r>
      <w:r w:rsidR="00A8193C" w:rsidRPr="00E37437">
        <w:rPr>
          <w:rFonts w:ascii="Bookman Old Style" w:hAnsi="Bookman Old Style"/>
        </w:rPr>
        <w:t xml:space="preserve"> would prevent DEC from authorizing a mixing zone in a non-salmon fish spawning area even in cases where science can show the mixing zone will have no adverse effect on spawning.  There is no justification for extending the mixing zone prohibition which is intended to protect salmon marketing efforts to non-salmon fish species.  Alaska needs to encourage and support responsible community growth and development of its natural resources.                 </w:t>
      </w:r>
    </w:p>
    <w:p w:rsidR="00A8193C" w:rsidRPr="00E37437" w:rsidRDefault="00A8193C" w:rsidP="00A8193C">
      <w:pPr>
        <w:ind w:left="720"/>
        <w:rPr>
          <w:rFonts w:ascii="Bookman Old Style" w:hAnsi="Bookman Old Style"/>
        </w:rPr>
      </w:pPr>
    </w:p>
    <w:p w:rsidR="00A8193C" w:rsidRPr="00E37437" w:rsidRDefault="00A8193C" w:rsidP="00A8193C">
      <w:pPr>
        <w:ind w:left="720"/>
        <w:rPr>
          <w:rFonts w:ascii="Bookman Old Style" w:hAnsi="Bookman Old Style"/>
        </w:rPr>
      </w:pPr>
      <w:r w:rsidRPr="00E37437">
        <w:rPr>
          <w:rFonts w:ascii="Bookman Old Style" w:hAnsi="Bookman Old Style"/>
        </w:rPr>
        <w:t xml:space="preserve">DEC’s regulations allow exceptions to the prohibition of a mixing zone in “non-salmon” spawning areas when site specific conditions show that the fish species will be protected or any adverse impacts will be mitigated as determined by habitat and fisheries biologists with the Department of Fish and Game.  </w:t>
      </w:r>
    </w:p>
    <w:p w:rsidR="00A8193C" w:rsidRPr="00E37437" w:rsidRDefault="00A8193C" w:rsidP="00A8193C">
      <w:pPr>
        <w:ind w:left="720"/>
        <w:rPr>
          <w:rFonts w:ascii="Bookman Old Style" w:hAnsi="Bookman Old Style"/>
        </w:rPr>
      </w:pPr>
    </w:p>
    <w:p w:rsidR="00A8193C" w:rsidRDefault="00A8193C" w:rsidP="009A20F2">
      <w:pPr>
        <w:ind w:left="720"/>
        <w:rPr>
          <w:rFonts w:ascii="Bookman Old Style" w:hAnsi="Bookman Old Style"/>
        </w:rPr>
      </w:pPr>
      <w:r w:rsidRPr="00E37437">
        <w:rPr>
          <w:rFonts w:ascii="Bookman Old Style" w:hAnsi="Bookman Old Style"/>
        </w:rPr>
        <w:t>Alaska’s communities and businesses should be allowed to use mixing zones if fish are protected.  There is no justification for restricting responsible community growth and resource development that can comply with the state’s requirements for the growth and propagation of fish.</w:t>
      </w:r>
    </w:p>
    <w:p w:rsidR="00D77D26" w:rsidRPr="00E37437" w:rsidRDefault="00D77D26" w:rsidP="009A20F2">
      <w:pPr>
        <w:ind w:left="720"/>
        <w:rPr>
          <w:rFonts w:ascii="Bookman Old Style" w:hAnsi="Bookman Old Style"/>
        </w:rPr>
      </w:pPr>
    </w:p>
    <w:p w:rsidR="00A8193C" w:rsidRPr="00E37437" w:rsidRDefault="00A13568" w:rsidP="00A8193C">
      <w:pPr>
        <w:numPr>
          <w:ilvl w:val="0"/>
          <w:numId w:val="5"/>
        </w:numPr>
        <w:rPr>
          <w:rFonts w:ascii="Bookman Old Style" w:hAnsi="Bookman Old Style"/>
          <w:b/>
        </w:rPr>
      </w:pPr>
      <w:r w:rsidRPr="00E37437">
        <w:rPr>
          <w:rFonts w:ascii="Bookman Old Style" w:hAnsi="Bookman Old Style"/>
          <w:b/>
        </w:rPr>
        <w:t xml:space="preserve">HB </w:t>
      </w:r>
      <w:r w:rsidR="000235C1">
        <w:rPr>
          <w:rFonts w:ascii="Bookman Old Style" w:hAnsi="Bookman Old Style"/>
          <w:b/>
        </w:rPr>
        <w:t>85</w:t>
      </w:r>
      <w:r w:rsidR="00A8193C" w:rsidRPr="00E37437">
        <w:rPr>
          <w:rFonts w:ascii="Bookman Old Style" w:hAnsi="Bookman Old Style"/>
          <w:b/>
        </w:rPr>
        <w:t xml:space="preserve"> would prohibit mixing zones in spawning areas for lampreys and smelts.</w:t>
      </w:r>
    </w:p>
    <w:p w:rsidR="00A8193C" w:rsidRPr="00E37437" w:rsidRDefault="00A8193C" w:rsidP="00A8193C">
      <w:pPr>
        <w:ind w:left="360"/>
        <w:rPr>
          <w:rFonts w:ascii="Bookman Old Style" w:hAnsi="Bookman Old Style"/>
        </w:rPr>
      </w:pPr>
    </w:p>
    <w:p w:rsidR="00A8193C" w:rsidRPr="00E37437" w:rsidRDefault="00A8193C" w:rsidP="00A8193C">
      <w:pPr>
        <w:ind w:left="720"/>
        <w:rPr>
          <w:rFonts w:ascii="Bookman Old Style" w:hAnsi="Bookman Old Style"/>
        </w:rPr>
      </w:pPr>
      <w:r w:rsidRPr="00E37437">
        <w:rPr>
          <w:rFonts w:ascii="Bookman Old Style" w:hAnsi="Bookman Old Style"/>
        </w:rPr>
        <w:t xml:space="preserve">DEC would be prevented from authorizing a mixing zone in all </w:t>
      </w:r>
      <w:proofErr w:type="spellStart"/>
      <w:r w:rsidRPr="00E37437">
        <w:rPr>
          <w:rFonts w:ascii="Bookman Old Style" w:hAnsi="Bookman Old Style"/>
        </w:rPr>
        <w:t>anadromous</w:t>
      </w:r>
      <w:proofErr w:type="spellEnd"/>
      <w:r w:rsidRPr="00E37437">
        <w:rPr>
          <w:rFonts w:ascii="Bookman Old Style" w:hAnsi="Bookman Old Style"/>
        </w:rPr>
        <w:t xml:space="preserve"> fish spawning areas. Lampreys and smelts are fish species included in the definition of </w:t>
      </w:r>
      <w:proofErr w:type="spellStart"/>
      <w:r w:rsidRPr="00E37437">
        <w:rPr>
          <w:rFonts w:ascii="Bookman Old Style" w:hAnsi="Bookman Old Style"/>
        </w:rPr>
        <w:t>anadromous</w:t>
      </w:r>
      <w:proofErr w:type="spellEnd"/>
      <w:r w:rsidRPr="00E37437">
        <w:rPr>
          <w:rFonts w:ascii="Bookman Old Style" w:hAnsi="Bookman Old Style"/>
        </w:rPr>
        <w:t xml:space="preserve"> fish.  Unlike the importance of salmon to Alaska’s social and economic wellbeing, DEC does not believe non-salmon fish species justify an absolute prohibition on mixing zones that can comply with the scientifically based water quality standards for growth and propagation of fish.   </w:t>
      </w:r>
    </w:p>
    <w:p w:rsidR="00A8193C" w:rsidRPr="00E37437" w:rsidRDefault="00A8193C" w:rsidP="00A8193C">
      <w:pPr>
        <w:ind w:left="720"/>
        <w:rPr>
          <w:rFonts w:ascii="Bookman Old Style" w:hAnsi="Bookman Old Style"/>
        </w:rPr>
      </w:pPr>
    </w:p>
    <w:p w:rsidR="00A8193C" w:rsidRPr="00E37437" w:rsidRDefault="00A13568" w:rsidP="00A8193C">
      <w:pPr>
        <w:numPr>
          <w:ilvl w:val="0"/>
          <w:numId w:val="5"/>
        </w:numPr>
        <w:rPr>
          <w:rFonts w:ascii="Bookman Old Style" w:hAnsi="Bookman Old Style"/>
          <w:b/>
        </w:rPr>
      </w:pPr>
      <w:r w:rsidRPr="00E37437">
        <w:rPr>
          <w:rFonts w:ascii="Bookman Old Style" w:hAnsi="Bookman Old Style"/>
          <w:b/>
        </w:rPr>
        <w:t xml:space="preserve">HB </w:t>
      </w:r>
      <w:r w:rsidR="000235C1">
        <w:rPr>
          <w:rFonts w:ascii="Bookman Old Style" w:hAnsi="Bookman Old Style"/>
          <w:b/>
        </w:rPr>
        <w:t>85</w:t>
      </w:r>
      <w:r w:rsidR="00A8193C" w:rsidRPr="00E37437">
        <w:rPr>
          <w:rFonts w:ascii="Bookman Old Style" w:hAnsi="Bookman Old Style"/>
          <w:b/>
        </w:rPr>
        <w:t xml:space="preserve"> would prohibit mixing zones that have become a fish spawning area unless the discharge was from a </w:t>
      </w:r>
      <w:r w:rsidR="000235C1">
        <w:rPr>
          <w:rFonts w:ascii="Bookman Old Style" w:hAnsi="Bookman Old Style"/>
          <w:b/>
        </w:rPr>
        <w:t xml:space="preserve">public or private domestic </w:t>
      </w:r>
      <w:r w:rsidR="00A8193C" w:rsidRPr="00E37437">
        <w:rPr>
          <w:rFonts w:ascii="Bookman Old Style" w:hAnsi="Bookman Old Style"/>
          <w:b/>
        </w:rPr>
        <w:t xml:space="preserve">wastewater facility.  </w:t>
      </w:r>
    </w:p>
    <w:p w:rsidR="00A8193C" w:rsidRPr="00E37437" w:rsidRDefault="00A8193C" w:rsidP="00A8193C">
      <w:pPr>
        <w:ind w:left="360"/>
        <w:rPr>
          <w:rFonts w:ascii="Bookman Old Style" w:hAnsi="Bookman Old Style"/>
        </w:rPr>
      </w:pPr>
    </w:p>
    <w:p w:rsidR="00A8193C" w:rsidRPr="00E37437" w:rsidRDefault="00A8193C" w:rsidP="00A8193C">
      <w:pPr>
        <w:ind w:left="720"/>
        <w:rPr>
          <w:rFonts w:ascii="Bookman Old Style" w:hAnsi="Bookman Old Style"/>
        </w:rPr>
      </w:pPr>
      <w:r w:rsidRPr="00E37437">
        <w:rPr>
          <w:rFonts w:ascii="Bookman Old Style" w:hAnsi="Bookman Old Style"/>
        </w:rPr>
        <w:lastRenderedPageBreak/>
        <w:t>It is possible for</w:t>
      </w:r>
      <w:r w:rsidR="00A13568" w:rsidRPr="00E37437">
        <w:rPr>
          <w:rFonts w:ascii="Bookman Old Style" w:hAnsi="Bookman Old Style"/>
        </w:rPr>
        <w:t xml:space="preserve"> </w:t>
      </w:r>
      <w:r w:rsidRPr="00E37437">
        <w:rPr>
          <w:rFonts w:ascii="Bookman Old Style" w:hAnsi="Bookman Old Style"/>
        </w:rPr>
        <w:t xml:space="preserve">mixing zones to become spawning areas even though spawning was not occurring when the mixing zone was first authorized.  DFG has discovered fish spawning in a mixing zone previously authorized for </w:t>
      </w:r>
      <w:r w:rsidR="00A13568" w:rsidRPr="00E37437">
        <w:rPr>
          <w:rFonts w:ascii="Bookman Old Style" w:hAnsi="Bookman Old Style"/>
        </w:rPr>
        <w:t xml:space="preserve">wastewater from </w:t>
      </w:r>
      <w:r w:rsidRPr="00E37437">
        <w:rPr>
          <w:rFonts w:ascii="Bookman Old Style" w:hAnsi="Bookman Old Style"/>
        </w:rPr>
        <w:t xml:space="preserve">a drinking water utility, and in some cases for domestic wastewater facilities.  Allowing mixing zones in areas that have become successful spawning areas should be allowed for any facility type, not just </w:t>
      </w:r>
      <w:r w:rsidR="000235C1">
        <w:rPr>
          <w:rFonts w:ascii="Bookman Old Style" w:hAnsi="Bookman Old Style"/>
        </w:rPr>
        <w:t>domestic</w:t>
      </w:r>
      <w:r w:rsidRPr="00E37437">
        <w:rPr>
          <w:rFonts w:ascii="Bookman Old Style" w:hAnsi="Bookman Old Style"/>
        </w:rPr>
        <w:t xml:space="preserve"> wastewater facilities.  Businesses and communities should no</w:t>
      </w:r>
      <w:r w:rsidR="00A13568" w:rsidRPr="00E37437">
        <w:rPr>
          <w:rFonts w:ascii="Bookman Old Style" w:hAnsi="Bookman Old Style"/>
        </w:rPr>
        <w:t xml:space="preserve">t lose their mixing zone authorizations just because </w:t>
      </w:r>
      <w:r w:rsidRPr="00E37437">
        <w:rPr>
          <w:rFonts w:ascii="Bookman Old Style" w:hAnsi="Bookman Old Style"/>
        </w:rPr>
        <w:t xml:space="preserve">fish </w:t>
      </w:r>
      <w:r w:rsidR="00A13568" w:rsidRPr="00E37437">
        <w:rPr>
          <w:rFonts w:ascii="Bookman Old Style" w:hAnsi="Bookman Old Style"/>
        </w:rPr>
        <w:t>have started</w:t>
      </w:r>
      <w:r w:rsidRPr="00E37437">
        <w:rPr>
          <w:rFonts w:ascii="Bookman Old Style" w:hAnsi="Bookman Old Style"/>
        </w:rPr>
        <w:t xml:space="preserve"> spawning in them. </w:t>
      </w:r>
    </w:p>
    <w:p w:rsidR="00D044DE" w:rsidRDefault="00D044DE" w:rsidP="00D044DE">
      <w:pPr>
        <w:autoSpaceDE w:val="0"/>
        <w:autoSpaceDN w:val="0"/>
        <w:adjustRightInd w:val="0"/>
        <w:ind w:left="720"/>
        <w:rPr>
          <w:rFonts w:ascii="Bookman Old Style" w:eastAsiaTheme="minorHAnsi" w:hAnsi="Bookman Old Style"/>
        </w:rPr>
      </w:pPr>
    </w:p>
    <w:p w:rsidR="00A8193C" w:rsidRPr="00A67673" w:rsidRDefault="00A13568" w:rsidP="00A67673">
      <w:pPr>
        <w:pStyle w:val="ListParagraph"/>
        <w:numPr>
          <w:ilvl w:val="0"/>
          <w:numId w:val="5"/>
        </w:numPr>
        <w:autoSpaceDE w:val="0"/>
        <w:autoSpaceDN w:val="0"/>
        <w:adjustRightInd w:val="0"/>
        <w:rPr>
          <w:rFonts w:ascii="Bookman Old Style" w:eastAsiaTheme="minorHAnsi" w:hAnsi="Bookman Old Style"/>
        </w:rPr>
      </w:pPr>
      <w:r w:rsidRPr="00A67673">
        <w:rPr>
          <w:rFonts w:ascii="Bookman Old Style" w:hAnsi="Bookman Old Style"/>
          <w:b/>
        </w:rPr>
        <w:t xml:space="preserve">HB </w:t>
      </w:r>
      <w:r w:rsidR="000235C1">
        <w:rPr>
          <w:rFonts w:ascii="Bookman Old Style" w:hAnsi="Bookman Old Style"/>
          <w:b/>
        </w:rPr>
        <w:t>85</w:t>
      </w:r>
      <w:r w:rsidRPr="00A67673">
        <w:rPr>
          <w:rFonts w:ascii="Bookman Old Style" w:hAnsi="Bookman Old Style"/>
          <w:b/>
        </w:rPr>
        <w:t xml:space="preserve"> </w:t>
      </w:r>
      <w:r w:rsidR="00A8193C" w:rsidRPr="00A67673">
        <w:rPr>
          <w:rFonts w:ascii="Bookman Old Style" w:hAnsi="Bookman Old Style"/>
          <w:b/>
        </w:rPr>
        <w:t xml:space="preserve"> includes a definition of “area” that is counter to both past and current practices by the Departments of Fish </w:t>
      </w:r>
      <w:r w:rsidRPr="00A67673">
        <w:rPr>
          <w:rFonts w:ascii="Bookman Old Style" w:hAnsi="Bookman Old Style"/>
          <w:b/>
        </w:rPr>
        <w:t xml:space="preserve">and Game and Natural Resources </w:t>
      </w:r>
      <w:r w:rsidR="00A8193C" w:rsidRPr="00A67673">
        <w:rPr>
          <w:rFonts w:ascii="Bookman Old Style" w:hAnsi="Bookman Old Style"/>
          <w:b/>
        </w:rPr>
        <w:t>when determining spawning areas on both a spatial and temporal basis.</w:t>
      </w:r>
    </w:p>
    <w:p w:rsidR="00A8193C" w:rsidRPr="00E37437" w:rsidRDefault="00A8193C" w:rsidP="00A8193C">
      <w:pPr>
        <w:ind w:left="720"/>
        <w:rPr>
          <w:rFonts w:ascii="Bookman Old Style" w:hAnsi="Bookman Old Style"/>
        </w:rPr>
      </w:pPr>
    </w:p>
    <w:p w:rsidR="001A2E56" w:rsidRPr="00E37437" w:rsidRDefault="00A8193C" w:rsidP="001A2E56">
      <w:pPr>
        <w:ind w:left="720"/>
        <w:rPr>
          <w:rFonts w:ascii="Bookman Old Style" w:hAnsi="Bookman Old Style"/>
        </w:rPr>
      </w:pPr>
      <w:r w:rsidRPr="00E37437">
        <w:rPr>
          <w:rFonts w:ascii="Bookman Old Style" w:hAnsi="Bookman Old Style"/>
        </w:rPr>
        <w:t xml:space="preserve">The relative sensitivity of Alaska’s fish resources is seasonal.  Impacts from responsible community and resource development can be avoided by limiting uses and activities to times of the year when the fish resources are not there or other seasonal conditions eliminate adverse impacts to the fish resources.  Alaska’s resource agencies have traditionally employed “seasonal restrictions” to control development impacts to the environment. </w:t>
      </w:r>
    </w:p>
    <w:p w:rsidR="001A2E56" w:rsidRPr="00E37437" w:rsidRDefault="001A2E56" w:rsidP="001A2E56">
      <w:pPr>
        <w:ind w:left="720"/>
        <w:rPr>
          <w:rFonts w:ascii="Bookman Old Style" w:hAnsi="Bookman Old Style"/>
        </w:rPr>
      </w:pPr>
    </w:p>
    <w:p w:rsidR="001A2E56" w:rsidRPr="00E37437" w:rsidRDefault="001A2E56" w:rsidP="001A2E56">
      <w:pPr>
        <w:ind w:left="720"/>
        <w:rPr>
          <w:rFonts w:ascii="Bookman Old Style" w:hAnsi="Bookman Old Style"/>
        </w:rPr>
      </w:pPr>
      <w:r w:rsidRPr="00F022F6">
        <w:rPr>
          <w:rFonts w:ascii="Bookman Old Style" w:hAnsi="Bookman Old Style"/>
        </w:rPr>
        <w:t xml:space="preserve">Facilities that currently have an authorized mixing zone that relies upon timing restrictions to avoid spawning impacts (except </w:t>
      </w:r>
      <w:proofErr w:type="gramStart"/>
      <w:r w:rsidRPr="00F022F6">
        <w:rPr>
          <w:rFonts w:ascii="Bookman Old Style" w:hAnsi="Bookman Old Style"/>
        </w:rPr>
        <w:t>those</w:t>
      </w:r>
      <w:proofErr w:type="gramEnd"/>
      <w:r w:rsidRPr="00F022F6">
        <w:rPr>
          <w:rFonts w:ascii="Bookman Old Style" w:hAnsi="Bookman Old Style"/>
        </w:rPr>
        <w:t xml:space="preserve"> placer mines specifically addressed in HB </w:t>
      </w:r>
      <w:r w:rsidR="000235C1">
        <w:rPr>
          <w:rFonts w:ascii="Bookman Old Style" w:hAnsi="Bookman Old Style"/>
        </w:rPr>
        <w:t>85</w:t>
      </w:r>
      <w:r w:rsidRPr="00F022F6">
        <w:rPr>
          <w:rFonts w:ascii="Bookman Old Style" w:hAnsi="Bookman Old Style"/>
        </w:rPr>
        <w:t xml:space="preserve">) could not be re-authorized under HB </w:t>
      </w:r>
      <w:r w:rsidR="000235C1">
        <w:rPr>
          <w:rFonts w:ascii="Bookman Old Style" w:hAnsi="Bookman Old Style"/>
        </w:rPr>
        <w:t>85</w:t>
      </w:r>
      <w:r w:rsidRPr="00F022F6">
        <w:rPr>
          <w:rFonts w:ascii="Bookman Old Style" w:hAnsi="Bookman Old Style"/>
        </w:rPr>
        <w:t>.</w:t>
      </w:r>
      <w:r w:rsidRPr="00E37437">
        <w:rPr>
          <w:rFonts w:ascii="Bookman Old Style" w:hAnsi="Bookman Old Style"/>
        </w:rPr>
        <w:t xml:space="preserve">  These facilities’ mixing zone authorizations are limited to times when spawning is not occurring.  While HB </w:t>
      </w:r>
      <w:r w:rsidR="000235C1">
        <w:rPr>
          <w:rFonts w:ascii="Bookman Old Style" w:hAnsi="Bookman Old Style"/>
        </w:rPr>
        <w:t>85</w:t>
      </w:r>
      <w:r w:rsidRPr="00E37437">
        <w:rPr>
          <w:rFonts w:ascii="Bookman Old Style" w:hAnsi="Bookman Old Style"/>
        </w:rPr>
        <w:t xml:space="preserve"> allows for timing restrictions for mixing zones for placer mines, it does not address other facilities that currently rely on timing restrictions to avoid spawning times.  Examples of such facilities include:</w:t>
      </w:r>
    </w:p>
    <w:p w:rsidR="001A2E56" w:rsidRPr="00E37437" w:rsidRDefault="001A2E56" w:rsidP="001A2E56">
      <w:pPr>
        <w:ind w:left="420"/>
        <w:rPr>
          <w:rFonts w:ascii="Bookman Old Style" w:hAnsi="Bookman Old Style"/>
        </w:rPr>
      </w:pPr>
    </w:p>
    <w:p w:rsidR="009A20F2" w:rsidRDefault="001A2E56" w:rsidP="009A20F2">
      <w:pPr>
        <w:numPr>
          <w:ilvl w:val="0"/>
          <w:numId w:val="2"/>
        </w:numPr>
        <w:rPr>
          <w:rFonts w:ascii="Bookman Old Style" w:hAnsi="Bookman Old Style"/>
        </w:rPr>
      </w:pPr>
      <w:r w:rsidRPr="00E37437">
        <w:rPr>
          <w:rFonts w:ascii="Bookman Old Style" w:hAnsi="Bookman Old Style"/>
        </w:rPr>
        <w:t xml:space="preserve">Village domestic wastewater lagoons that have a current permit and mixing zone authorization to discharge to a river when fish are not spawning will not qualify for the “grandfather” clause of HB </w:t>
      </w:r>
      <w:r w:rsidR="000235C1">
        <w:rPr>
          <w:rFonts w:ascii="Bookman Old Style" w:hAnsi="Bookman Old Style"/>
        </w:rPr>
        <w:t>85</w:t>
      </w:r>
      <w:r w:rsidRPr="00E37437">
        <w:rPr>
          <w:rFonts w:ascii="Bookman Old Style" w:hAnsi="Bookman Old Style"/>
        </w:rPr>
        <w:t xml:space="preserve">, Section </w:t>
      </w:r>
      <w:r w:rsidR="00E37437" w:rsidRPr="00E37437">
        <w:rPr>
          <w:rFonts w:ascii="Bookman Old Style" w:hAnsi="Bookman Old Style"/>
        </w:rPr>
        <w:t>2</w:t>
      </w:r>
      <w:r w:rsidRPr="00E37437">
        <w:rPr>
          <w:rFonts w:ascii="Bookman Old Style" w:hAnsi="Bookman Old Style"/>
        </w:rPr>
        <w:t xml:space="preserve">, AS </w:t>
      </w:r>
      <w:r w:rsidR="000235C1">
        <w:rPr>
          <w:rFonts w:ascii="Bookman Old Style" w:hAnsi="Bookman Old Style"/>
        </w:rPr>
        <w:t>46</w:t>
      </w:r>
      <w:r w:rsidRPr="00E37437">
        <w:rPr>
          <w:rFonts w:ascii="Bookman Old Style" w:hAnsi="Bookman Old Style"/>
        </w:rPr>
        <w:t xml:space="preserve">.03.065(b).  The “grandfather” clause is dependent upon an “area where spawning was not ongoing at the time of the initial authorization and the mixing zone became a spawning area after the date of the initial authorization”.  These facilities </w:t>
      </w:r>
      <w:r w:rsidR="00E37437" w:rsidRPr="00E37437">
        <w:rPr>
          <w:rFonts w:ascii="Bookman Old Style" w:hAnsi="Bookman Old Style"/>
        </w:rPr>
        <w:t>may have been</w:t>
      </w:r>
      <w:r w:rsidRPr="00E37437">
        <w:rPr>
          <w:rFonts w:ascii="Bookman Old Style" w:hAnsi="Bookman Old Style"/>
        </w:rPr>
        <w:t xml:space="preserve"> initially authorized to discharge to an “area” that was already a spawning “area” (defined by HB </w:t>
      </w:r>
      <w:r w:rsidR="000235C1">
        <w:rPr>
          <w:rFonts w:ascii="Bookman Old Style" w:hAnsi="Bookman Old Style"/>
        </w:rPr>
        <w:t>85</w:t>
      </w:r>
      <w:r w:rsidRPr="00E37437">
        <w:rPr>
          <w:rFonts w:ascii="Bookman Old Style" w:hAnsi="Bookman Old Style"/>
        </w:rPr>
        <w:t xml:space="preserve"> as a physical location) when the mixing zone was authorized.   As such, they do not qualify for the “grandfather” provision in section (b) of the bill.</w:t>
      </w:r>
      <w:r w:rsidR="00E37437" w:rsidRPr="00E37437">
        <w:rPr>
          <w:rFonts w:ascii="Bookman Old Style" w:hAnsi="Bookman Old Style"/>
        </w:rPr>
        <w:t xml:space="preserve"> HB </w:t>
      </w:r>
      <w:r w:rsidR="000235C1">
        <w:rPr>
          <w:rFonts w:ascii="Bookman Old Style" w:hAnsi="Bookman Old Style"/>
        </w:rPr>
        <w:t>85</w:t>
      </w:r>
      <w:r w:rsidR="00A8193C" w:rsidRPr="00E37437">
        <w:rPr>
          <w:rFonts w:ascii="Bookman Old Style" w:hAnsi="Bookman Old Style"/>
        </w:rPr>
        <w:t xml:space="preserve"> would require the Department to cancel those permits and limit future permitting in similar situations without any net environmental benefit to the fish.</w:t>
      </w:r>
    </w:p>
    <w:p w:rsidR="00F022F6" w:rsidRDefault="00F022F6" w:rsidP="00F022F6">
      <w:pPr>
        <w:rPr>
          <w:rFonts w:ascii="Bookman Old Style" w:hAnsi="Bookman Old Style"/>
        </w:rPr>
      </w:pPr>
    </w:p>
    <w:p w:rsidR="00F022F6" w:rsidRDefault="00F022F6" w:rsidP="00F022F6">
      <w:pPr>
        <w:autoSpaceDE w:val="0"/>
        <w:autoSpaceDN w:val="0"/>
        <w:adjustRightInd w:val="0"/>
        <w:ind w:left="1080"/>
        <w:rPr>
          <w:rFonts w:ascii="Bookman Old Style" w:eastAsiaTheme="minorHAnsi" w:hAnsi="Bookman Old Style"/>
        </w:rPr>
      </w:pPr>
      <w:r w:rsidRPr="00E37437">
        <w:rPr>
          <w:rFonts w:ascii="Bookman Old Style" w:eastAsiaTheme="minorHAnsi" w:hAnsi="Bookman Old Style"/>
        </w:rPr>
        <w:t>The alternative of</w:t>
      </w:r>
      <w:r>
        <w:rPr>
          <w:rFonts w:ascii="Bookman Old Style" w:eastAsiaTheme="minorHAnsi" w:hAnsi="Bookman Old Style"/>
        </w:rPr>
        <w:t xml:space="preserve"> </w:t>
      </w:r>
      <w:r w:rsidRPr="00E37437">
        <w:rPr>
          <w:rFonts w:ascii="Bookman Old Style" w:eastAsiaTheme="minorHAnsi" w:hAnsi="Bookman Old Style"/>
        </w:rPr>
        <w:t xml:space="preserve">treating sewage from villages to </w:t>
      </w:r>
      <w:r>
        <w:rPr>
          <w:rFonts w:ascii="Bookman Old Style" w:eastAsiaTheme="minorHAnsi" w:hAnsi="Bookman Old Style"/>
        </w:rPr>
        <w:t>meet the water quality standards at the point of discharge</w:t>
      </w:r>
      <w:r w:rsidRPr="00E37437">
        <w:rPr>
          <w:rFonts w:ascii="Bookman Old Style" w:eastAsiaTheme="minorHAnsi" w:hAnsi="Bookman Old Style"/>
        </w:rPr>
        <w:t xml:space="preserve"> would</w:t>
      </w:r>
      <w:r>
        <w:rPr>
          <w:rFonts w:ascii="Bookman Old Style" w:eastAsiaTheme="minorHAnsi" w:hAnsi="Bookman Old Style"/>
        </w:rPr>
        <w:t xml:space="preserve"> </w:t>
      </w:r>
      <w:r w:rsidRPr="00E37437">
        <w:rPr>
          <w:rFonts w:ascii="Bookman Old Style" w:eastAsiaTheme="minorHAnsi" w:hAnsi="Bookman Old Style"/>
        </w:rPr>
        <w:t xml:space="preserve">involve exorbitant </w:t>
      </w:r>
      <w:r>
        <w:rPr>
          <w:rFonts w:ascii="Bookman Old Style" w:eastAsiaTheme="minorHAnsi" w:hAnsi="Bookman Old Style"/>
        </w:rPr>
        <w:t xml:space="preserve">construction and operation and maintenance </w:t>
      </w:r>
      <w:r w:rsidRPr="00E37437">
        <w:rPr>
          <w:rFonts w:ascii="Bookman Old Style" w:eastAsiaTheme="minorHAnsi" w:hAnsi="Bookman Old Style"/>
        </w:rPr>
        <w:t xml:space="preserve">costs </w:t>
      </w:r>
      <w:r>
        <w:rPr>
          <w:rFonts w:ascii="Bookman Old Style" w:eastAsiaTheme="minorHAnsi" w:hAnsi="Bookman Old Style"/>
        </w:rPr>
        <w:t>that cannot be borne by the community.</w:t>
      </w:r>
    </w:p>
    <w:p w:rsidR="009A20F2" w:rsidRDefault="009A20F2" w:rsidP="00F022F6">
      <w:pPr>
        <w:rPr>
          <w:rFonts w:ascii="Bookman Old Style" w:hAnsi="Bookman Old Style"/>
        </w:rPr>
      </w:pPr>
    </w:p>
    <w:p w:rsidR="00D044DE" w:rsidRPr="00F022F6" w:rsidRDefault="00C6241D" w:rsidP="00F022F6">
      <w:pPr>
        <w:numPr>
          <w:ilvl w:val="0"/>
          <w:numId w:val="2"/>
        </w:numPr>
        <w:rPr>
          <w:rFonts w:ascii="Bookman Old Style" w:hAnsi="Bookman Old Style"/>
        </w:rPr>
      </w:pPr>
      <w:r>
        <w:rPr>
          <w:rFonts w:ascii="Bookman Old Style" w:hAnsi="Bookman Old Style"/>
        </w:rPr>
        <w:t>Section 4, line 1</w:t>
      </w:r>
      <w:r w:rsidR="000235C1">
        <w:rPr>
          <w:rFonts w:ascii="Bookman Old Style" w:hAnsi="Bookman Old Style"/>
        </w:rPr>
        <w:t>5</w:t>
      </w:r>
      <w:r>
        <w:rPr>
          <w:rFonts w:ascii="Bookman Old Style" w:hAnsi="Bookman Old Style"/>
        </w:rPr>
        <w:t xml:space="preserve">, (b) of the bill will allow a </w:t>
      </w:r>
      <w:r w:rsidR="006D5F01">
        <w:rPr>
          <w:rFonts w:ascii="Bookman Old Style" w:hAnsi="Bookman Old Style"/>
        </w:rPr>
        <w:t>never-</w:t>
      </w:r>
      <w:r>
        <w:rPr>
          <w:rFonts w:ascii="Bookman Old Style" w:hAnsi="Bookman Old Style"/>
        </w:rPr>
        <w:t xml:space="preserve">permitted domestic discharge to obtain a mixing zone authorization if it can be documented that spawning was not occurring when the facility began initial operation.  It is unlikely that a facility that has never been permitted would have this type of documentation.  </w:t>
      </w:r>
    </w:p>
    <w:p w:rsidR="00D044DE" w:rsidRDefault="00D044DE" w:rsidP="00C6241D">
      <w:pPr>
        <w:pStyle w:val="ListParagraph"/>
        <w:rPr>
          <w:rFonts w:ascii="Bookman Old Style" w:hAnsi="Bookman Old Style"/>
        </w:rPr>
      </w:pPr>
    </w:p>
    <w:p w:rsidR="00A8193C" w:rsidRPr="00E37437" w:rsidRDefault="009A13AA" w:rsidP="00A67673">
      <w:pPr>
        <w:numPr>
          <w:ilvl w:val="0"/>
          <w:numId w:val="5"/>
        </w:numPr>
        <w:rPr>
          <w:rFonts w:ascii="Bookman Old Style" w:hAnsi="Bookman Old Style"/>
          <w:b/>
        </w:rPr>
      </w:pPr>
      <w:r>
        <w:rPr>
          <w:rFonts w:ascii="Bookman Old Style" w:hAnsi="Bookman Old Style"/>
          <w:b/>
        </w:rPr>
        <w:t xml:space="preserve">HB </w:t>
      </w:r>
      <w:r w:rsidR="000235C1">
        <w:rPr>
          <w:rFonts w:ascii="Bookman Old Style" w:hAnsi="Bookman Old Style"/>
          <w:b/>
        </w:rPr>
        <w:t>85</w:t>
      </w:r>
      <w:r w:rsidR="00A8193C" w:rsidRPr="00E37437">
        <w:rPr>
          <w:rFonts w:ascii="Bookman Old Style" w:hAnsi="Bookman Old Style"/>
          <w:b/>
        </w:rPr>
        <w:t xml:space="preserve"> relies upon a new term, “useful life” when referring to renewal of a mixing zone authorization for a municipal wastewater facility.</w:t>
      </w:r>
    </w:p>
    <w:p w:rsidR="00A8193C" w:rsidRPr="00E37437" w:rsidRDefault="00A8193C" w:rsidP="00A8193C">
      <w:pPr>
        <w:ind w:left="360"/>
        <w:rPr>
          <w:rFonts w:ascii="Bookman Old Style" w:hAnsi="Bookman Old Style"/>
        </w:rPr>
      </w:pPr>
      <w:r w:rsidRPr="00E37437">
        <w:rPr>
          <w:rFonts w:ascii="Bookman Old Style" w:hAnsi="Bookman Old Style"/>
        </w:rPr>
        <w:t xml:space="preserve"> </w:t>
      </w:r>
    </w:p>
    <w:p w:rsidR="00A8193C" w:rsidRPr="00E37437" w:rsidRDefault="00A8193C" w:rsidP="009A13AA">
      <w:pPr>
        <w:ind w:left="720"/>
        <w:rPr>
          <w:rFonts w:ascii="Bookman Old Style" w:hAnsi="Bookman Old Style"/>
        </w:rPr>
      </w:pPr>
      <w:r w:rsidRPr="00E37437">
        <w:rPr>
          <w:rFonts w:ascii="Bookman Old Style" w:hAnsi="Bookman Old Style"/>
        </w:rPr>
        <w:t xml:space="preserve">As many facilities age, they are upgraded to varying degrees from minor modifications to almost complete reconstruction.  </w:t>
      </w:r>
      <w:r w:rsidR="00024491">
        <w:rPr>
          <w:rFonts w:ascii="Bookman Old Style" w:hAnsi="Bookman Old Style"/>
        </w:rPr>
        <w:t xml:space="preserve">While “useful life” is used in multiple state statutes in a variety of contexts, </w:t>
      </w:r>
      <w:r w:rsidRPr="00E37437">
        <w:rPr>
          <w:rFonts w:ascii="Bookman Old Style" w:hAnsi="Bookman Old Style"/>
        </w:rPr>
        <w:t xml:space="preserve">DEC knows of no standard or criteria for determining a facility’s “useful life.”  </w:t>
      </w:r>
      <w:r w:rsidR="00024491" w:rsidRPr="00E37437">
        <w:rPr>
          <w:rFonts w:ascii="Bookman Old Style" w:hAnsi="Bookman Old Style"/>
        </w:rPr>
        <w:t xml:space="preserve">While not an insurmountable issue, the Department would need to </w:t>
      </w:r>
      <w:r w:rsidR="00E17FC6">
        <w:rPr>
          <w:rFonts w:ascii="Bookman Old Style" w:hAnsi="Bookman Old Style"/>
        </w:rPr>
        <w:t xml:space="preserve">further </w:t>
      </w:r>
      <w:r w:rsidR="00024491" w:rsidRPr="00E37437">
        <w:rPr>
          <w:rFonts w:ascii="Bookman Old Style" w:hAnsi="Bookman Old Style"/>
        </w:rPr>
        <w:t xml:space="preserve">define the term in practice or in regulation in order to consistently apply it to the mixing zone requirements.  While complete facility abandonment is clear cut, DEC would need to evaluate whether any of a wide range of facility modifications represents the end of the “useful life” of the facility and it is now considered a new facility that no longer meets the “grandfather” clause of HB </w:t>
      </w:r>
      <w:r w:rsidR="000235C1">
        <w:rPr>
          <w:rFonts w:ascii="Bookman Old Style" w:hAnsi="Bookman Old Style"/>
        </w:rPr>
        <w:t>85</w:t>
      </w:r>
      <w:r w:rsidR="00024491" w:rsidRPr="00E37437">
        <w:rPr>
          <w:rFonts w:ascii="Bookman Old Style" w:hAnsi="Bookman Old Style"/>
        </w:rPr>
        <w:t xml:space="preserve">.  Examples include changes that increase or decrease the volume of discharge; decrease the toxicity of the effluent; increase the concentration of effluent; treat the wastewater using different treatment technologies; and facility maintenance and upgrades.  </w:t>
      </w:r>
    </w:p>
    <w:p w:rsidR="00A8193C" w:rsidRPr="00E37437" w:rsidRDefault="00A8193C" w:rsidP="00A8193C">
      <w:pPr>
        <w:ind w:left="720"/>
        <w:rPr>
          <w:rFonts w:ascii="Bookman Old Style" w:hAnsi="Bookman Old Style"/>
        </w:rPr>
      </w:pPr>
    </w:p>
    <w:p w:rsidR="00A8193C" w:rsidRPr="00E37437" w:rsidRDefault="00A8193C" w:rsidP="00A8193C">
      <w:pPr>
        <w:ind w:left="720"/>
        <w:rPr>
          <w:rFonts w:ascii="Bookman Old Style" w:hAnsi="Bookman Old Style"/>
        </w:rPr>
      </w:pPr>
      <w:r w:rsidRPr="00E37437">
        <w:rPr>
          <w:rFonts w:ascii="Bookman Old Style" w:hAnsi="Bookman Old Style"/>
        </w:rPr>
        <w:t>The “useful life” of a facility is also irrelevant to the properties and effects of a mixing zone or the methods necessary to protect fish.</w:t>
      </w:r>
    </w:p>
    <w:p w:rsidR="00024491" w:rsidRDefault="00024491" w:rsidP="00A8193C">
      <w:pPr>
        <w:rPr>
          <w:rFonts w:ascii="Bookman Old Style" w:hAnsi="Bookman Old Style"/>
        </w:rPr>
      </w:pPr>
    </w:p>
    <w:p w:rsidR="00407CA1" w:rsidRPr="00407CA1" w:rsidRDefault="00407CA1" w:rsidP="00A67673">
      <w:pPr>
        <w:pStyle w:val="ListParagraph"/>
        <w:numPr>
          <w:ilvl w:val="0"/>
          <w:numId w:val="5"/>
        </w:numPr>
        <w:rPr>
          <w:rFonts w:ascii="Bookman Old Style" w:hAnsi="Bookman Old Style"/>
          <w:b/>
        </w:rPr>
      </w:pPr>
      <w:r w:rsidRPr="00407CA1">
        <w:rPr>
          <w:rFonts w:ascii="Bookman Old Style" w:hAnsi="Bookman Old Style"/>
          <w:b/>
        </w:rPr>
        <w:t xml:space="preserve">There is no need for Section 3 of HB </w:t>
      </w:r>
      <w:r w:rsidR="000235C1">
        <w:rPr>
          <w:rFonts w:ascii="Bookman Old Style" w:hAnsi="Bookman Old Style"/>
          <w:b/>
        </w:rPr>
        <w:t>85</w:t>
      </w:r>
      <w:r w:rsidRPr="00407CA1">
        <w:rPr>
          <w:rFonts w:ascii="Bookman Old Style" w:hAnsi="Bookman Old Style"/>
          <w:b/>
        </w:rPr>
        <w:t xml:space="preserve"> that requires public notice of specific permit modifications.</w:t>
      </w:r>
    </w:p>
    <w:p w:rsidR="00407CA1" w:rsidRDefault="00407CA1" w:rsidP="00407CA1">
      <w:pPr>
        <w:rPr>
          <w:rFonts w:ascii="Bookman Old Style" w:hAnsi="Bookman Old Style"/>
        </w:rPr>
      </w:pPr>
    </w:p>
    <w:p w:rsidR="00024491" w:rsidRDefault="00407CA1" w:rsidP="00A67673">
      <w:pPr>
        <w:ind w:left="720"/>
        <w:rPr>
          <w:rFonts w:ascii="Bookman Old Style" w:hAnsi="Bookman Old Style"/>
        </w:rPr>
      </w:pPr>
      <w:r>
        <w:rPr>
          <w:rFonts w:ascii="Bookman Old Style" w:hAnsi="Bookman Old Style"/>
        </w:rPr>
        <w:t xml:space="preserve">HB </w:t>
      </w:r>
      <w:r w:rsidR="000235C1">
        <w:rPr>
          <w:rFonts w:ascii="Bookman Old Style" w:hAnsi="Bookman Old Style"/>
        </w:rPr>
        <w:t>85</w:t>
      </w:r>
      <w:r>
        <w:rPr>
          <w:rFonts w:ascii="Bookman Old Style" w:hAnsi="Bookman Old Style"/>
        </w:rPr>
        <w:t xml:space="preserve"> includes public notice requirements for amendments to permits for sewage system or treatment works.  Current state law at AS </w:t>
      </w:r>
      <w:r w:rsidR="00E17FC6">
        <w:rPr>
          <w:rFonts w:ascii="Bookman Old Style" w:hAnsi="Bookman Old Style"/>
        </w:rPr>
        <w:t>46</w:t>
      </w:r>
      <w:r>
        <w:rPr>
          <w:rFonts w:ascii="Bookman Old Style" w:hAnsi="Bookman Old Style"/>
        </w:rPr>
        <w:t>.03.110 and 18 AAC 15 already requires public notice of permits and permits that involve expansion or other changes in a facility that might result in increased discharges</w:t>
      </w:r>
      <w:r w:rsidR="00E17FC6">
        <w:rPr>
          <w:rFonts w:ascii="Bookman Old Style" w:hAnsi="Bookman Old Style"/>
        </w:rPr>
        <w:t xml:space="preserve"> to surface waters</w:t>
      </w:r>
      <w:r>
        <w:rPr>
          <w:rFonts w:ascii="Bookman Old Style" w:hAnsi="Bookman Old Style"/>
        </w:rPr>
        <w:t xml:space="preserve"> or might cause other environmental impacts.  </w:t>
      </w:r>
    </w:p>
    <w:p w:rsidR="005D47E1" w:rsidRPr="00E37437" w:rsidRDefault="005D47E1" w:rsidP="00A8193C">
      <w:pPr>
        <w:rPr>
          <w:rFonts w:ascii="Bookman Old Style" w:hAnsi="Bookman Old Style"/>
        </w:rPr>
      </w:pPr>
    </w:p>
    <w:p w:rsidR="00A8193C" w:rsidRPr="00E37437" w:rsidRDefault="0070716C" w:rsidP="00A67673">
      <w:pPr>
        <w:numPr>
          <w:ilvl w:val="0"/>
          <w:numId w:val="5"/>
        </w:numPr>
        <w:rPr>
          <w:rFonts w:ascii="Bookman Old Style" w:hAnsi="Bookman Old Style"/>
          <w:b/>
        </w:rPr>
      </w:pPr>
      <w:r>
        <w:rPr>
          <w:rFonts w:ascii="Bookman Old Style" w:hAnsi="Bookman Old Style"/>
          <w:b/>
        </w:rPr>
        <w:lastRenderedPageBreak/>
        <w:t xml:space="preserve">HB </w:t>
      </w:r>
      <w:r w:rsidR="000235C1">
        <w:rPr>
          <w:rFonts w:ascii="Bookman Old Style" w:hAnsi="Bookman Old Style"/>
          <w:b/>
        </w:rPr>
        <w:t>85</w:t>
      </w:r>
      <w:r w:rsidR="00A8193C" w:rsidRPr="00E37437">
        <w:rPr>
          <w:rFonts w:ascii="Bookman Old Style" w:hAnsi="Bookman Old Style"/>
          <w:b/>
        </w:rPr>
        <w:t xml:space="preserve"> is inconsistent with the current statute for protection of fish and game (AS 41.14.870), interference with salmon spawning streams and waters (AS 16.10.010), or submission of plans and specifications (AS 16.20.060).</w:t>
      </w:r>
    </w:p>
    <w:p w:rsidR="00A8193C" w:rsidRPr="00E37437" w:rsidRDefault="00A8193C" w:rsidP="00A8193C">
      <w:pPr>
        <w:ind w:left="360"/>
        <w:rPr>
          <w:rFonts w:ascii="Bookman Old Style" w:hAnsi="Bookman Old Style"/>
        </w:rPr>
      </w:pPr>
    </w:p>
    <w:p w:rsidR="00A8193C" w:rsidRPr="00E37437" w:rsidRDefault="00A8193C" w:rsidP="00A8193C">
      <w:pPr>
        <w:ind w:left="720"/>
        <w:rPr>
          <w:rFonts w:ascii="Bookman Old Style" w:hAnsi="Bookman Old Style"/>
          <w:color w:val="000000"/>
        </w:rPr>
      </w:pPr>
      <w:r w:rsidRPr="00E37437">
        <w:rPr>
          <w:rFonts w:ascii="Bookman Old Style" w:hAnsi="Bookman Old Style"/>
          <w:color w:val="000000"/>
        </w:rPr>
        <w:t>Alaska’s legislature has enacted a protective legal framework for all waters important to fish with additional protections for rivers, lakes and streams that are important for salmon spawning, rearing, or migration.  State approval must be received from DEC, DNR, or DFG prior to the construction in, or use of waters important to fish spawning, rearing or migration.</w:t>
      </w:r>
    </w:p>
    <w:p w:rsidR="00A8193C" w:rsidRPr="00E37437" w:rsidRDefault="00A8193C" w:rsidP="00A8193C">
      <w:pPr>
        <w:ind w:left="720"/>
        <w:rPr>
          <w:rFonts w:ascii="Bookman Old Style" w:hAnsi="Bookman Old Style"/>
          <w:color w:val="000000"/>
        </w:rPr>
      </w:pPr>
    </w:p>
    <w:p w:rsidR="00A8193C" w:rsidRPr="00E37437" w:rsidRDefault="0070716C" w:rsidP="00A8193C">
      <w:pPr>
        <w:ind w:left="720"/>
        <w:rPr>
          <w:rFonts w:ascii="Bookman Old Style" w:hAnsi="Bookman Old Style"/>
        </w:rPr>
      </w:pPr>
      <w:r>
        <w:rPr>
          <w:rFonts w:ascii="Bookman Old Style" w:hAnsi="Bookman Old Style"/>
          <w:color w:val="000000"/>
        </w:rPr>
        <w:t xml:space="preserve">HB </w:t>
      </w:r>
      <w:r w:rsidR="000235C1">
        <w:rPr>
          <w:rFonts w:ascii="Bookman Old Style" w:hAnsi="Bookman Old Style"/>
          <w:color w:val="000000"/>
        </w:rPr>
        <w:t>85</w:t>
      </w:r>
      <w:r w:rsidR="00A8193C" w:rsidRPr="00E37437">
        <w:rPr>
          <w:rFonts w:ascii="Bookman Old Style" w:hAnsi="Bookman Old Style"/>
          <w:color w:val="000000"/>
        </w:rPr>
        <w:t xml:space="preserve"> prohibits all mixing zones in all </w:t>
      </w:r>
      <w:proofErr w:type="spellStart"/>
      <w:r w:rsidR="00A8193C" w:rsidRPr="00E37437">
        <w:rPr>
          <w:rFonts w:ascii="Bookman Old Style" w:hAnsi="Bookman Old Style"/>
          <w:color w:val="000000"/>
        </w:rPr>
        <w:t>anadromous</w:t>
      </w:r>
      <w:proofErr w:type="spellEnd"/>
      <w:r w:rsidR="00A8193C" w:rsidRPr="00E37437">
        <w:rPr>
          <w:rFonts w:ascii="Bookman Old Style" w:hAnsi="Bookman Old Style"/>
          <w:color w:val="000000"/>
        </w:rPr>
        <w:t xml:space="preserve"> fish and other specifically listed fish spawning areas.  However,</w:t>
      </w:r>
      <w:r>
        <w:rPr>
          <w:rFonts w:ascii="Bookman Old Style" w:hAnsi="Bookman Old Style"/>
          <w:color w:val="000000"/>
        </w:rPr>
        <w:t xml:space="preserve"> HB </w:t>
      </w:r>
      <w:r w:rsidR="000235C1">
        <w:rPr>
          <w:rFonts w:ascii="Bookman Old Style" w:hAnsi="Bookman Old Style"/>
          <w:color w:val="000000"/>
        </w:rPr>
        <w:t>85</w:t>
      </w:r>
      <w:r w:rsidR="00A8193C" w:rsidRPr="00E37437">
        <w:rPr>
          <w:rFonts w:ascii="Bookman Old Style" w:hAnsi="Bookman Old Style"/>
          <w:color w:val="000000"/>
        </w:rPr>
        <w:t xml:space="preserve"> does not amend or repeal the provisions in other state law that permit the use of fish spawning areas if there are no adverse impacts from that use.  </w:t>
      </w:r>
      <w:r>
        <w:rPr>
          <w:rFonts w:ascii="Bookman Old Style" w:hAnsi="Bookman Old Style"/>
          <w:color w:val="000000"/>
        </w:rPr>
        <w:t xml:space="preserve">HB </w:t>
      </w:r>
      <w:r w:rsidR="000235C1">
        <w:rPr>
          <w:rFonts w:ascii="Bookman Old Style" w:hAnsi="Bookman Old Style"/>
          <w:color w:val="000000"/>
        </w:rPr>
        <w:t>85</w:t>
      </w:r>
      <w:r w:rsidR="00A8193C" w:rsidRPr="00E37437">
        <w:rPr>
          <w:rFonts w:ascii="Bookman Old Style" w:hAnsi="Bookman Old Style"/>
          <w:color w:val="000000"/>
        </w:rPr>
        <w:t xml:space="preserve"> conflicts with current legislative policy not specifically amended or repealed by </w:t>
      </w:r>
      <w:r>
        <w:rPr>
          <w:rFonts w:ascii="Bookman Old Style" w:hAnsi="Bookman Old Style"/>
          <w:color w:val="000000"/>
        </w:rPr>
        <w:t xml:space="preserve">HB </w:t>
      </w:r>
      <w:r w:rsidR="000235C1">
        <w:rPr>
          <w:rFonts w:ascii="Bookman Old Style" w:hAnsi="Bookman Old Style"/>
          <w:color w:val="000000"/>
        </w:rPr>
        <w:t>85</w:t>
      </w:r>
      <w:r w:rsidR="00A8193C" w:rsidRPr="00E37437">
        <w:rPr>
          <w:rFonts w:ascii="Bookman Old Style" w:hAnsi="Bookman Old Style"/>
          <w:color w:val="000000"/>
        </w:rPr>
        <w:t xml:space="preserve">.     </w:t>
      </w:r>
    </w:p>
    <w:p w:rsidR="00A8193C" w:rsidRPr="00E37437" w:rsidRDefault="00A8193C" w:rsidP="00A8193C">
      <w:pPr>
        <w:ind w:left="1080"/>
        <w:rPr>
          <w:rFonts w:ascii="Bookman Old Style" w:hAnsi="Bookman Old Style"/>
        </w:rPr>
      </w:pPr>
    </w:p>
    <w:p w:rsidR="00A8193C" w:rsidRPr="00E37437" w:rsidRDefault="00A8193C" w:rsidP="00A67673">
      <w:pPr>
        <w:numPr>
          <w:ilvl w:val="0"/>
          <w:numId w:val="5"/>
        </w:numPr>
        <w:rPr>
          <w:rFonts w:ascii="Bookman Old Style" w:hAnsi="Bookman Old Style"/>
          <w:b/>
        </w:rPr>
      </w:pPr>
      <w:r w:rsidRPr="00E37437">
        <w:rPr>
          <w:rFonts w:ascii="Bookman Old Style" w:hAnsi="Bookman Old Style"/>
          <w:b/>
        </w:rPr>
        <w:t>DEC is responsible for, and must be accountable for, setting and enforcing standards for environmental protection.</w:t>
      </w:r>
    </w:p>
    <w:p w:rsidR="00A8193C" w:rsidRPr="00E37437" w:rsidRDefault="00A8193C" w:rsidP="00A8193C">
      <w:pPr>
        <w:ind w:left="360"/>
        <w:rPr>
          <w:rFonts w:ascii="Bookman Old Style" w:hAnsi="Bookman Old Style"/>
        </w:rPr>
      </w:pPr>
    </w:p>
    <w:p w:rsidR="00A8193C" w:rsidRPr="00E37437" w:rsidRDefault="00A8193C" w:rsidP="00A8193C">
      <w:pPr>
        <w:ind w:left="720"/>
        <w:rPr>
          <w:rFonts w:ascii="Bookman Old Style" w:hAnsi="Bookman Old Style"/>
        </w:rPr>
      </w:pPr>
      <w:r w:rsidRPr="00E37437">
        <w:rPr>
          <w:rFonts w:ascii="Bookman Old Style" w:hAnsi="Bookman Old Style"/>
        </w:rPr>
        <w:t xml:space="preserve">DEC has a duty under state statute to set and enforce standards for the prevention of pollution and protection of Alaska’s environment (AS 44.46.020).  The legislature has also directed DEC to “determine what qualities and properties of water indicate a polluted condition actually or potentially deleterious, harmful, detrimental, or injurious to . . . aquatic life or their growth and propagation” (AS 46.03.070).  </w:t>
      </w:r>
    </w:p>
    <w:p w:rsidR="00A8193C" w:rsidRPr="00E37437" w:rsidRDefault="00A8193C" w:rsidP="00A8193C">
      <w:pPr>
        <w:ind w:left="720"/>
        <w:rPr>
          <w:rFonts w:ascii="Bookman Old Style" w:hAnsi="Bookman Old Style"/>
        </w:rPr>
      </w:pPr>
    </w:p>
    <w:p w:rsidR="00A8193C" w:rsidRPr="00E37437" w:rsidRDefault="00A8193C" w:rsidP="00A8193C">
      <w:pPr>
        <w:ind w:left="720"/>
        <w:rPr>
          <w:rFonts w:ascii="Bookman Old Style" w:hAnsi="Bookman Old Style"/>
        </w:rPr>
      </w:pPr>
      <w:r w:rsidRPr="00E37437">
        <w:rPr>
          <w:rFonts w:ascii="Bookman Old Style" w:hAnsi="Bookman Old Style"/>
        </w:rPr>
        <w:t xml:space="preserve">It is appropriate that the legislature hold DEC accountable for carrying out the duties and responsibilities spelled out in statute.  However, we do not believe it is appropriate for the legislature to assume responsibility for carrying out the duties and responsibilities assigned to the executive branch by statute.    </w:t>
      </w:r>
    </w:p>
    <w:p w:rsidR="002C2888" w:rsidRPr="00E37437" w:rsidRDefault="002C2888">
      <w:pPr>
        <w:rPr>
          <w:rFonts w:ascii="Bookman Old Style" w:hAnsi="Bookman Old Style"/>
        </w:rPr>
      </w:pPr>
    </w:p>
    <w:p w:rsidR="00407CA1" w:rsidRPr="00407CA1" w:rsidRDefault="00407CA1">
      <w:pPr>
        <w:rPr>
          <w:rFonts w:ascii="Bookman Old Style" w:hAnsi="Bookman Old Style"/>
          <w:b/>
        </w:rPr>
      </w:pPr>
      <w:r w:rsidRPr="00407CA1">
        <w:rPr>
          <w:rFonts w:ascii="Bookman Old Style" w:hAnsi="Bookman Old Style"/>
          <w:b/>
        </w:rPr>
        <w:t>Fiscal Impact</w:t>
      </w:r>
    </w:p>
    <w:p w:rsidR="00407CA1" w:rsidRDefault="00407CA1">
      <w:pPr>
        <w:rPr>
          <w:rFonts w:ascii="Bookman Old Style" w:hAnsi="Bookman Old Style"/>
        </w:rPr>
      </w:pPr>
    </w:p>
    <w:p w:rsidR="00407CA1" w:rsidRDefault="00407CA1">
      <w:pPr>
        <w:rPr>
          <w:rFonts w:ascii="Bookman Old Style" w:hAnsi="Bookman Old Style"/>
        </w:rPr>
      </w:pPr>
      <w:r>
        <w:rPr>
          <w:rFonts w:ascii="Bookman Old Style" w:hAnsi="Bookman Old Style"/>
        </w:rPr>
        <w:t xml:space="preserve">There is a </w:t>
      </w:r>
      <w:r w:rsidR="00FE4868">
        <w:rPr>
          <w:rFonts w:ascii="Bookman Old Style" w:hAnsi="Bookman Old Style"/>
        </w:rPr>
        <w:t xml:space="preserve">fiscal impact associated with HB </w:t>
      </w:r>
      <w:r w:rsidR="000235C1">
        <w:rPr>
          <w:rFonts w:ascii="Bookman Old Style" w:hAnsi="Bookman Old Style"/>
        </w:rPr>
        <w:t>85</w:t>
      </w:r>
      <w:r w:rsidR="00FE4868">
        <w:rPr>
          <w:rFonts w:ascii="Bookman Old Style" w:hAnsi="Bookman Old Style"/>
        </w:rPr>
        <w:t xml:space="preserve">.  The Department will need to develop regulations to implement the new </w:t>
      </w:r>
      <w:proofErr w:type="spellStart"/>
      <w:r w:rsidR="00FE4868">
        <w:rPr>
          <w:rFonts w:ascii="Bookman Old Style" w:hAnsi="Bookman Old Style"/>
        </w:rPr>
        <w:t>permittee</w:t>
      </w:r>
      <w:proofErr w:type="spellEnd"/>
      <w:r w:rsidR="00FE4868">
        <w:rPr>
          <w:rFonts w:ascii="Bookman Old Style" w:hAnsi="Bookman Old Style"/>
        </w:rPr>
        <w:t xml:space="preserve"> reporting requirements; make changes to our permit data system; and produce a new annual report for posting on the web.</w:t>
      </w:r>
    </w:p>
    <w:p w:rsidR="00FE4868" w:rsidRDefault="00FE4868">
      <w:pPr>
        <w:spacing w:after="200" w:line="276" w:lineRule="auto"/>
        <w:rPr>
          <w:rFonts w:ascii="Bookman Old Style" w:hAnsi="Bookman Old Style"/>
        </w:rPr>
      </w:pPr>
    </w:p>
    <w:sectPr w:rsidR="00FE4868" w:rsidSect="00C646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altName w:val="Georgia"/>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6441"/>
    <w:multiLevelType w:val="hybridMultilevel"/>
    <w:tmpl w:val="4B58CE66"/>
    <w:lvl w:ilvl="0" w:tplc="06820ED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6B5C8A"/>
    <w:multiLevelType w:val="hybridMultilevel"/>
    <w:tmpl w:val="1B947F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E823ED8"/>
    <w:multiLevelType w:val="hybridMultilevel"/>
    <w:tmpl w:val="4EFC8BC4"/>
    <w:lvl w:ilvl="0" w:tplc="8B4C7270">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C288E"/>
    <w:multiLevelType w:val="hybridMultilevel"/>
    <w:tmpl w:val="A82E8D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2EE658A"/>
    <w:multiLevelType w:val="hybridMultilevel"/>
    <w:tmpl w:val="5F440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102BBD"/>
    <w:multiLevelType w:val="hybridMultilevel"/>
    <w:tmpl w:val="5CCC8E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AB244FF"/>
    <w:multiLevelType w:val="hybridMultilevel"/>
    <w:tmpl w:val="5F70A7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DFF7AB6"/>
    <w:multiLevelType w:val="hybridMultilevel"/>
    <w:tmpl w:val="DD000AC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3725D1"/>
    <w:multiLevelType w:val="hybridMultilevel"/>
    <w:tmpl w:val="5FB2CF0E"/>
    <w:lvl w:ilvl="0" w:tplc="D1CE80CA">
      <w:start w:val="7"/>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3C647A"/>
    <w:multiLevelType w:val="hybridMultilevel"/>
    <w:tmpl w:val="CD20F54E"/>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0">
    <w:nsid w:val="2238024B"/>
    <w:multiLevelType w:val="hybridMultilevel"/>
    <w:tmpl w:val="654685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58C6700"/>
    <w:multiLevelType w:val="hybridMultilevel"/>
    <w:tmpl w:val="03927A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EC956BF"/>
    <w:multiLevelType w:val="hybridMultilevel"/>
    <w:tmpl w:val="E662D8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153291F"/>
    <w:multiLevelType w:val="hybridMultilevel"/>
    <w:tmpl w:val="297E30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FD1FBC"/>
    <w:multiLevelType w:val="hybridMultilevel"/>
    <w:tmpl w:val="5874AC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6D86DB5"/>
    <w:multiLevelType w:val="hybridMultilevel"/>
    <w:tmpl w:val="FA461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AB2FA8"/>
    <w:multiLevelType w:val="hybridMultilevel"/>
    <w:tmpl w:val="A9B89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EDE473E"/>
    <w:multiLevelType w:val="hybridMultilevel"/>
    <w:tmpl w:val="B66844D6"/>
    <w:lvl w:ilvl="0" w:tplc="8B4C7270">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065D6E"/>
    <w:multiLevelType w:val="hybridMultilevel"/>
    <w:tmpl w:val="9FBC80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87A70C2"/>
    <w:multiLevelType w:val="hybridMultilevel"/>
    <w:tmpl w:val="2FEE3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9F65168"/>
    <w:multiLevelType w:val="hybridMultilevel"/>
    <w:tmpl w:val="AFC6C0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59A77FE"/>
    <w:multiLevelType w:val="hybridMultilevel"/>
    <w:tmpl w:val="1932D85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A0110B"/>
    <w:multiLevelType w:val="hybridMultilevel"/>
    <w:tmpl w:val="C00AEA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
  </w:num>
  <w:num w:numId="3">
    <w:abstractNumId w:val="22"/>
  </w:num>
  <w:num w:numId="4">
    <w:abstractNumId w:val="0"/>
  </w:num>
  <w:num w:numId="5">
    <w:abstractNumId w:val="7"/>
  </w:num>
  <w:num w:numId="6">
    <w:abstractNumId w:val="4"/>
  </w:num>
  <w:num w:numId="7">
    <w:abstractNumId w:val="19"/>
  </w:num>
  <w:num w:numId="8">
    <w:abstractNumId w:val="5"/>
  </w:num>
  <w:num w:numId="9">
    <w:abstractNumId w:val="12"/>
  </w:num>
  <w:num w:numId="10">
    <w:abstractNumId w:val="10"/>
  </w:num>
  <w:num w:numId="11">
    <w:abstractNumId w:val="11"/>
  </w:num>
  <w:num w:numId="12">
    <w:abstractNumId w:val="3"/>
  </w:num>
  <w:num w:numId="13">
    <w:abstractNumId w:val="6"/>
  </w:num>
  <w:num w:numId="14">
    <w:abstractNumId w:val="20"/>
  </w:num>
  <w:num w:numId="15">
    <w:abstractNumId w:val="9"/>
  </w:num>
  <w:num w:numId="16">
    <w:abstractNumId w:val="16"/>
  </w:num>
  <w:num w:numId="17">
    <w:abstractNumId w:val="14"/>
  </w:num>
  <w:num w:numId="18">
    <w:abstractNumId w:val="21"/>
  </w:num>
  <w:num w:numId="19">
    <w:abstractNumId w:val="18"/>
  </w:num>
  <w:num w:numId="20">
    <w:abstractNumId w:val="15"/>
  </w:num>
  <w:num w:numId="21">
    <w:abstractNumId w:val="13"/>
  </w:num>
  <w:num w:numId="22">
    <w:abstractNumId w:val="2"/>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characterSpacingControl w:val="doNotCompress"/>
  <w:compat/>
  <w:rsids>
    <w:rsidRoot w:val="002C2888"/>
    <w:rsid w:val="000068C2"/>
    <w:rsid w:val="000235C1"/>
    <w:rsid w:val="00024491"/>
    <w:rsid w:val="000720DE"/>
    <w:rsid w:val="000855BB"/>
    <w:rsid w:val="00094141"/>
    <w:rsid w:val="000C79D1"/>
    <w:rsid w:val="000F2512"/>
    <w:rsid w:val="001530BD"/>
    <w:rsid w:val="00160ECF"/>
    <w:rsid w:val="001A2E56"/>
    <w:rsid w:val="00201A68"/>
    <w:rsid w:val="00294031"/>
    <w:rsid w:val="002C2888"/>
    <w:rsid w:val="002F4820"/>
    <w:rsid w:val="002F5036"/>
    <w:rsid w:val="00346AAB"/>
    <w:rsid w:val="00352ABA"/>
    <w:rsid w:val="00407CA1"/>
    <w:rsid w:val="00442593"/>
    <w:rsid w:val="00444F1C"/>
    <w:rsid w:val="004B6C50"/>
    <w:rsid w:val="00512D8F"/>
    <w:rsid w:val="00594687"/>
    <w:rsid w:val="005D47E1"/>
    <w:rsid w:val="00660145"/>
    <w:rsid w:val="006D5F01"/>
    <w:rsid w:val="0070716C"/>
    <w:rsid w:val="007320BD"/>
    <w:rsid w:val="0082038B"/>
    <w:rsid w:val="00903C65"/>
    <w:rsid w:val="00964607"/>
    <w:rsid w:val="009A13AA"/>
    <w:rsid w:val="009A20F2"/>
    <w:rsid w:val="00A13568"/>
    <w:rsid w:val="00A566F5"/>
    <w:rsid w:val="00A67673"/>
    <w:rsid w:val="00A8193C"/>
    <w:rsid w:val="00A92B73"/>
    <w:rsid w:val="00B31F2B"/>
    <w:rsid w:val="00C6241D"/>
    <w:rsid w:val="00C64683"/>
    <w:rsid w:val="00D044DE"/>
    <w:rsid w:val="00D77D26"/>
    <w:rsid w:val="00E17FC6"/>
    <w:rsid w:val="00E37437"/>
    <w:rsid w:val="00E57106"/>
    <w:rsid w:val="00EC0B62"/>
    <w:rsid w:val="00F022F6"/>
    <w:rsid w:val="00F6414D"/>
    <w:rsid w:val="00F86A04"/>
    <w:rsid w:val="00FB1E8F"/>
    <w:rsid w:val="00FE48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888"/>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888"/>
    <w:pPr>
      <w:ind w:left="720"/>
      <w:contextualSpacing/>
    </w:pPr>
  </w:style>
  <w:style w:type="paragraph" w:styleId="BalloonText">
    <w:name w:val="Balloon Text"/>
    <w:basedOn w:val="Normal"/>
    <w:link w:val="BalloonTextChar"/>
    <w:uiPriority w:val="99"/>
    <w:semiHidden/>
    <w:unhideWhenUsed/>
    <w:rsid w:val="00A67673"/>
    <w:rPr>
      <w:rFonts w:ascii="Tahoma" w:hAnsi="Tahoma" w:cs="Tahoma"/>
      <w:sz w:val="16"/>
      <w:szCs w:val="16"/>
    </w:rPr>
  </w:style>
  <w:style w:type="character" w:customStyle="1" w:styleId="BalloonTextChar">
    <w:name w:val="Balloon Text Char"/>
    <w:basedOn w:val="DefaultParagraphFont"/>
    <w:link w:val="BalloonText"/>
    <w:uiPriority w:val="99"/>
    <w:semiHidden/>
    <w:rsid w:val="00A6767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C2B2F-CC74-454F-BDFC-7816BE09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5580</TotalTime>
  <Pages>5</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ltk</dc:creator>
  <cp:keywords/>
  <dc:description/>
  <cp:lastModifiedBy>lkent</cp:lastModifiedBy>
  <cp:revision>6</cp:revision>
  <cp:lastPrinted>2009-03-27T22:24:00Z</cp:lastPrinted>
  <dcterms:created xsi:type="dcterms:W3CDTF">2011-01-19T23:16:00Z</dcterms:created>
  <dcterms:modified xsi:type="dcterms:W3CDTF">2011-03-28T21:22:00Z</dcterms:modified>
</cp:coreProperties>
</file>