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333" w:rsidRPr="00FB2548" w:rsidRDefault="00FB2548" w:rsidP="009F13C2">
      <w:pPr>
        <w:jc w:val="center"/>
        <w:rPr>
          <w:b/>
          <w:sz w:val="28"/>
          <w:szCs w:val="28"/>
        </w:rPr>
      </w:pPr>
      <w:r w:rsidRPr="00FB2548">
        <w:rPr>
          <w:b/>
          <w:sz w:val="28"/>
          <w:szCs w:val="28"/>
        </w:rPr>
        <w:t>HB 106 WorkDraft Version B Bullet P</w:t>
      </w:r>
      <w:r w:rsidR="00773421" w:rsidRPr="00FB2548">
        <w:rPr>
          <w:b/>
          <w:sz w:val="28"/>
          <w:szCs w:val="28"/>
        </w:rPr>
        <w:t>oints</w:t>
      </w:r>
    </w:p>
    <w:p w:rsidR="000C1921" w:rsidRDefault="000C1921" w:rsidP="005D6E03">
      <w:pPr>
        <w:pStyle w:val="ListParagraph"/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5D6E03">
        <w:rPr>
          <w:sz w:val="28"/>
          <w:szCs w:val="28"/>
        </w:rPr>
        <w:t>Extends ACMP sunset date to 2017</w:t>
      </w:r>
      <w:r w:rsidR="00773421" w:rsidRPr="005D6E03">
        <w:rPr>
          <w:sz w:val="28"/>
          <w:szCs w:val="28"/>
        </w:rPr>
        <w:t xml:space="preserve"> </w:t>
      </w:r>
    </w:p>
    <w:p w:rsidR="005D6E03" w:rsidRPr="005D6E03" w:rsidRDefault="005D6E03" w:rsidP="005D6E03">
      <w:pPr>
        <w:pStyle w:val="ListParagraph"/>
        <w:spacing w:line="240" w:lineRule="auto"/>
        <w:rPr>
          <w:sz w:val="28"/>
          <w:szCs w:val="28"/>
        </w:rPr>
      </w:pPr>
    </w:p>
    <w:p w:rsidR="005D6E03" w:rsidRDefault="00773421" w:rsidP="006C2E7E">
      <w:pPr>
        <w:pStyle w:val="ListParagraph"/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5D6E03">
        <w:rPr>
          <w:sz w:val="28"/>
          <w:szCs w:val="28"/>
        </w:rPr>
        <w:t xml:space="preserve">Establishes the Alaska Coastal Policy and Appeals Board to resolve differences between DNR and a Coastal District, </w:t>
      </w:r>
      <w:r w:rsidR="00A518FD">
        <w:rPr>
          <w:sz w:val="28"/>
          <w:szCs w:val="28"/>
        </w:rPr>
        <w:t>r</w:t>
      </w:r>
      <w:r w:rsidRPr="005D6E03">
        <w:rPr>
          <w:sz w:val="28"/>
          <w:szCs w:val="28"/>
        </w:rPr>
        <w:t xml:space="preserve">eview </w:t>
      </w:r>
      <w:r w:rsidR="00A518FD">
        <w:rPr>
          <w:sz w:val="28"/>
          <w:szCs w:val="28"/>
        </w:rPr>
        <w:t xml:space="preserve">elevations of </w:t>
      </w:r>
      <w:r w:rsidRPr="005D6E03">
        <w:rPr>
          <w:sz w:val="28"/>
          <w:szCs w:val="28"/>
        </w:rPr>
        <w:t xml:space="preserve">proposed consistency determinations, and jointly adopt ACMP regulations with DNR </w:t>
      </w:r>
    </w:p>
    <w:p w:rsidR="006C2E7E" w:rsidRPr="006C2E7E" w:rsidRDefault="006C2E7E" w:rsidP="006C2E7E">
      <w:pPr>
        <w:pStyle w:val="ListParagraph"/>
        <w:rPr>
          <w:sz w:val="28"/>
          <w:szCs w:val="28"/>
        </w:rPr>
      </w:pPr>
    </w:p>
    <w:p w:rsidR="006C2E7E" w:rsidRPr="006C2E7E" w:rsidRDefault="006C2E7E" w:rsidP="006C2E7E">
      <w:pPr>
        <w:pStyle w:val="ListParagraph"/>
        <w:spacing w:line="240" w:lineRule="auto"/>
        <w:rPr>
          <w:sz w:val="28"/>
          <w:szCs w:val="28"/>
        </w:rPr>
      </w:pPr>
    </w:p>
    <w:p w:rsidR="005D6E03" w:rsidRDefault="005D6E03" w:rsidP="005D6E03">
      <w:pPr>
        <w:pStyle w:val="ListParagraph"/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5D6E03">
        <w:rPr>
          <w:sz w:val="28"/>
          <w:szCs w:val="28"/>
        </w:rPr>
        <w:t>Repeals Designated Area Requirement</w:t>
      </w:r>
    </w:p>
    <w:p w:rsidR="005D6E03" w:rsidRPr="005D6E03" w:rsidRDefault="005D6E03" w:rsidP="005D6E03">
      <w:pPr>
        <w:pStyle w:val="ListParagraph"/>
        <w:spacing w:line="240" w:lineRule="auto"/>
        <w:rPr>
          <w:sz w:val="28"/>
          <w:szCs w:val="28"/>
        </w:rPr>
      </w:pPr>
    </w:p>
    <w:p w:rsidR="000C1921" w:rsidRDefault="005639A8" w:rsidP="005D6E03">
      <w:pPr>
        <w:pStyle w:val="ListParagraph"/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5D6E03">
        <w:rPr>
          <w:sz w:val="28"/>
          <w:szCs w:val="28"/>
        </w:rPr>
        <w:t>Clarifies that district enforceable policies apply to all land and wat</w:t>
      </w:r>
      <w:r w:rsidR="005D6E03" w:rsidRPr="005D6E03">
        <w:rPr>
          <w:sz w:val="28"/>
          <w:szCs w:val="28"/>
        </w:rPr>
        <w:t>er issues subject to the plan.  R</w:t>
      </w:r>
      <w:r w:rsidRPr="005D6E03">
        <w:rPr>
          <w:sz w:val="28"/>
          <w:szCs w:val="28"/>
        </w:rPr>
        <w:t>equires</w:t>
      </w:r>
      <w:r w:rsidR="00773421" w:rsidRPr="005D6E03">
        <w:rPr>
          <w:sz w:val="28"/>
          <w:szCs w:val="28"/>
        </w:rPr>
        <w:t xml:space="preserve"> </w:t>
      </w:r>
      <w:r w:rsidR="005D6E03" w:rsidRPr="005D6E03">
        <w:rPr>
          <w:sz w:val="28"/>
          <w:szCs w:val="28"/>
        </w:rPr>
        <w:t xml:space="preserve">Coastal district </w:t>
      </w:r>
      <w:r w:rsidR="00773421" w:rsidRPr="005D6E03">
        <w:rPr>
          <w:sz w:val="28"/>
          <w:szCs w:val="28"/>
        </w:rPr>
        <w:t>plans</w:t>
      </w:r>
      <w:r w:rsidRPr="005D6E03">
        <w:rPr>
          <w:sz w:val="28"/>
          <w:szCs w:val="28"/>
        </w:rPr>
        <w:t xml:space="preserve"> to be clear and concise, prescriptive or performance-based, </w:t>
      </w:r>
      <w:r w:rsidR="00950052" w:rsidRPr="005D6E03">
        <w:rPr>
          <w:sz w:val="28"/>
          <w:szCs w:val="28"/>
        </w:rPr>
        <w:t xml:space="preserve">necessary given local conditions, </w:t>
      </w:r>
      <w:r w:rsidRPr="005D6E03">
        <w:rPr>
          <w:sz w:val="28"/>
          <w:szCs w:val="28"/>
        </w:rPr>
        <w:t xml:space="preserve">and supported by evidence </w:t>
      </w:r>
      <w:r w:rsidR="00950052" w:rsidRPr="005D6E03">
        <w:rPr>
          <w:sz w:val="28"/>
          <w:szCs w:val="28"/>
        </w:rPr>
        <w:t xml:space="preserve">including scientific or local knowledge </w:t>
      </w:r>
      <w:r w:rsidRPr="005D6E03">
        <w:rPr>
          <w:sz w:val="28"/>
          <w:szCs w:val="28"/>
        </w:rPr>
        <w:t xml:space="preserve">if more specific than state or federal statues or regulations.  </w:t>
      </w:r>
    </w:p>
    <w:p w:rsidR="005D6E03" w:rsidRPr="005D6E03" w:rsidRDefault="005D6E03" w:rsidP="005D6E03">
      <w:pPr>
        <w:pStyle w:val="ListParagraph"/>
        <w:rPr>
          <w:sz w:val="28"/>
          <w:szCs w:val="28"/>
        </w:rPr>
      </w:pPr>
    </w:p>
    <w:p w:rsidR="005D6E03" w:rsidRPr="005D6E03" w:rsidRDefault="005D6E03" w:rsidP="005D6E03">
      <w:pPr>
        <w:pStyle w:val="ListParagraph"/>
        <w:spacing w:line="240" w:lineRule="auto"/>
        <w:rPr>
          <w:sz w:val="28"/>
          <w:szCs w:val="28"/>
        </w:rPr>
      </w:pPr>
    </w:p>
    <w:p w:rsidR="005D6E03" w:rsidRDefault="00D57CBC" w:rsidP="005D6E03">
      <w:pPr>
        <w:pStyle w:val="ListParagraph"/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5D6E03">
        <w:rPr>
          <w:sz w:val="28"/>
          <w:szCs w:val="28"/>
        </w:rPr>
        <w:t xml:space="preserve">Repeals the “Adequately Addressed” standard.  Establishes that DNR shall </w:t>
      </w:r>
      <w:r w:rsidR="00773421" w:rsidRPr="005D6E03">
        <w:rPr>
          <w:sz w:val="28"/>
          <w:szCs w:val="28"/>
        </w:rPr>
        <w:t xml:space="preserve">approve </w:t>
      </w:r>
      <w:r w:rsidRPr="005D6E03">
        <w:rPr>
          <w:sz w:val="28"/>
          <w:szCs w:val="28"/>
        </w:rPr>
        <w:t xml:space="preserve">a Coastal District Plan if the plan’s enforceable policies </w:t>
      </w:r>
      <w:r w:rsidR="00773421" w:rsidRPr="005D6E03">
        <w:rPr>
          <w:sz w:val="28"/>
          <w:szCs w:val="28"/>
        </w:rPr>
        <w:t xml:space="preserve">do </w:t>
      </w:r>
      <w:r w:rsidRPr="005D6E03">
        <w:rPr>
          <w:sz w:val="28"/>
          <w:szCs w:val="28"/>
        </w:rPr>
        <w:t>not duplicate, restate, or incorporate by reference state or federal statutes or regulations; are not preempted by federal or state law; and do not arbitrarily or unreasonably restrict a use of state concern.  Clarifies how an enforceable policy is preempted.</w:t>
      </w:r>
    </w:p>
    <w:p w:rsidR="000C1921" w:rsidRPr="005D6E03" w:rsidRDefault="00D57CBC" w:rsidP="005D6E03">
      <w:pPr>
        <w:pStyle w:val="ListParagraph"/>
        <w:spacing w:line="240" w:lineRule="auto"/>
        <w:rPr>
          <w:sz w:val="28"/>
          <w:szCs w:val="28"/>
        </w:rPr>
      </w:pPr>
      <w:r w:rsidRPr="005D6E03">
        <w:rPr>
          <w:sz w:val="28"/>
          <w:szCs w:val="28"/>
        </w:rPr>
        <w:t xml:space="preserve"> </w:t>
      </w:r>
    </w:p>
    <w:p w:rsidR="000C1921" w:rsidRDefault="00773421" w:rsidP="005D6E03">
      <w:pPr>
        <w:pStyle w:val="ListParagraph"/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5D6E03">
        <w:rPr>
          <w:sz w:val="28"/>
          <w:szCs w:val="28"/>
        </w:rPr>
        <w:t xml:space="preserve">Deletes </w:t>
      </w:r>
      <w:r w:rsidR="009F13C2" w:rsidRPr="005D6E03">
        <w:rPr>
          <w:sz w:val="28"/>
          <w:szCs w:val="28"/>
        </w:rPr>
        <w:t xml:space="preserve">the “DEC Carve-out”.  States that the necessity of a completed </w:t>
      </w:r>
      <w:r w:rsidR="006C2E7E">
        <w:rPr>
          <w:sz w:val="28"/>
          <w:szCs w:val="28"/>
        </w:rPr>
        <w:t xml:space="preserve">application for a </w:t>
      </w:r>
      <w:r w:rsidR="009F13C2" w:rsidRPr="005D6E03">
        <w:rPr>
          <w:sz w:val="28"/>
          <w:szCs w:val="28"/>
        </w:rPr>
        <w:t xml:space="preserve">“prevention of significant deterioration” DEC Air Quality Permit is not necessary </w:t>
      </w:r>
      <w:r w:rsidR="00A518FD">
        <w:rPr>
          <w:sz w:val="28"/>
          <w:szCs w:val="28"/>
        </w:rPr>
        <w:t>to initiate</w:t>
      </w:r>
      <w:r w:rsidR="006C2E7E">
        <w:rPr>
          <w:sz w:val="28"/>
          <w:szCs w:val="28"/>
        </w:rPr>
        <w:t xml:space="preserve"> a consistency review</w:t>
      </w:r>
      <w:r w:rsidR="005D6E03">
        <w:rPr>
          <w:sz w:val="28"/>
          <w:szCs w:val="28"/>
        </w:rPr>
        <w:t>.</w:t>
      </w:r>
    </w:p>
    <w:p w:rsidR="005D6E03" w:rsidRPr="005D6E03" w:rsidRDefault="005D6E03" w:rsidP="005D6E03">
      <w:pPr>
        <w:pStyle w:val="ListParagraph"/>
        <w:rPr>
          <w:sz w:val="28"/>
          <w:szCs w:val="28"/>
        </w:rPr>
      </w:pPr>
    </w:p>
    <w:p w:rsidR="005D6E03" w:rsidRPr="005D6E03" w:rsidRDefault="005D6E03" w:rsidP="005D6E03">
      <w:pPr>
        <w:pStyle w:val="ListParagraph"/>
        <w:spacing w:line="240" w:lineRule="auto"/>
        <w:rPr>
          <w:sz w:val="28"/>
          <w:szCs w:val="28"/>
        </w:rPr>
      </w:pPr>
    </w:p>
    <w:p w:rsidR="000C1921" w:rsidRPr="005D6E03" w:rsidRDefault="009F13C2" w:rsidP="005D6E03">
      <w:pPr>
        <w:pStyle w:val="ListParagraph"/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5D6E03">
        <w:rPr>
          <w:sz w:val="28"/>
          <w:szCs w:val="28"/>
        </w:rPr>
        <w:t xml:space="preserve">Exempts projects requiring an Environmental Impact Statement from 90-day consistency review time limit </w:t>
      </w:r>
    </w:p>
    <w:p w:rsidR="000C1921" w:rsidRPr="00E96C7E" w:rsidRDefault="000C1921" w:rsidP="005D6E03">
      <w:pPr>
        <w:spacing w:line="240" w:lineRule="auto"/>
        <w:rPr>
          <w:sz w:val="28"/>
          <w:szCs w:val="28"/>
        </w:rPr>
      </w:pPr>
    </w:p>
    <w:p w:rsidR="005D6E03" w:rsidRPr="00E96C7E" w:rsidRDefault="005D6E03">
      <w:pPr>
        <w:spacing w:line="240" w:lineRule="auto"/>
        <w:rPr>
          <w:sz w:val="28"/>
          <w:szCs w:val="28"/>
        </w:rPr>
      </w:pPr>
    </w:p>
    <w:sectPr w:rsidR="005D6E03" w:rsidRPr="00E96C7E" w:rsidSect="001363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55D14"/>
    <w:multiLevelType w:val="hybridMultilevel"/>
    <w:tmpl w:val="0704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620D17"/>
    <w:multiLevelType w:val="hybridMultilevel"/>
    <w:tmpl w:val="57B081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compat/>
  <w:rsids>
    <w:rsidRoot w:val="000C1921"/>
    <w:rsid w:val="0001357A"/>
    <w:rsid w:val="000C1921"/>
    <w:rsid w:val="00136333"/>
    <w:rsid w:val="001E3184"/>
    <w:rsid w:val="003E5ED2"/>
    <w:rsid w:val="005639A8"/>
    <w:rsid w:val="005D6E03"/>
    <w:rsid w:val="00617AAB"/>
    <w:rsid w:val="006C2E7E"/>
    <w:rsid w:val="00773421"/>
    <w:rsid w:val="008641EF"/>
    <w:rsid w:val="0087137F"/>
    <w:rsid w:val="008E3B4C"/>
    <w:rsid w:val="008E47EE"/>
    <w:rsid w:val="008E69E6"/>
    <w:rsid w:val="00937922"/>
    <w:rsid w:val="00950052"/>
    <w:rsid w:val="009F13C2"/>
    <w:rsid w:val="00A518FD"/>
    <w:rsid w:val="00B63A2B"/>
    <w:rsid w:val="00CB14D1"/>
    <w:rsid w:val="00D57CBC"/>
    <w:rsid w:val="00E96C7E"/>
    <w:rsid w:val="00F73BFD"/>
    <w:rsid w:val="00FB2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3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69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2011-03-17T01:01:00Z</cp:lastPrinted>
  <dcterms:created xsi:type="dcterms:W3CDTF">2011-03-17T23:15:00Z</dcterms:created>
  <dcterms:modified xsi:type="dcterms:W3CDTF">2011-03-17T23:15:00Z</dcterms:modified>
</cp:coreProperties>
</file>