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2A7" w:rsidRPr="00F76A56" w:rsidRDefault="009A3EDD">
      <w:r w:rsidRPr="00F76A56">
        <w:t xml:space="preserve"> </w:t>
      </w:r>
    </w:p>
    <w:tbl>
      <w:tblPr>
        <w:tblW w:w="5000" w:type="pct"/>
        <w:tblLayout w:type="fixed"/>
        <w:tblLook w:val="0000"/>
      </w:tblPr>
      <w:tblGrid>
        <w:gridCol w:w="925"/>
        <w:gridCol w:w="66"/>
        <w:gridCol w:w="3887"/>
        <w:gridCol w:w="904"/>
        <w:gridCol w:w="991"/>
        <w:gridCol w:w="3883"/>
      </w:tblGrid>
      <w:tr w:rsidR="00902ABB" w:rsidRPr="00F76A56" w:rsidTr="00F76A56">
        <w:trPr>
          <w:trHeight w:val="447"/>
        </w:trPr>
        <w:tc>
          <w:tcPr>
            <w:tcW w:w="434" w:type="pct"/>
          </w:tcPr>
          <w:p w:rsidR="00FF57D3" w:rsidRPr="00F76A56" w:rsidRDefault="00FF57D3" w:rsidP="00FF57D3">
            <w:pPr>
              <w:tabs>
                <w:tab w:val="right" w:pos="706"/>
                <w:tab w:val="left" w:pos="979"/>
              </w:tabs>
              <w:spacing w:line="280" w:lineRule="exact"/>
              <w:ind w:hanging="18"/>
              <w:jc w:val="right"/>
              <w:rPr>
                <w:rFonts w:ascii="Garamond" w:hAnsi="Garamond"/>
              </w:rPr>
            </w:pPr>
            <w:r w:rsidRPr="00F76A56">
              <w:rPr>
                <w:rFonts w:ascii="Garamond" w:hAnsi="Garamond"/>
              </w:rPr>
              <w:t>TO:</w:t>
            </w:r>
          </w:p>
        </w:tc>
        <w:tc>
          <w:tcPr>
            <w:tcW w:w="2279" w:type="pct"/>
            <w:gridSpan w:val="3"/>
          </w:tcPr>
          <w:p w:rsidR="00E9219E" w:rsidRPr="00F76A56" w:rsidRDefault="00FF57D3" w:rsidP="0014549F">
            <w:pPr>
              <w:tabs>
                <w:tab w:val="right" w:pos="706"/>
                <w:tab w:val="left" w:pos="979"/>
              </w:tabs>
              <w:spacing w:line="280" w:lineRule="exact"/>
              <w:ind w:hanging="18"/>
              <w:rPr>
                <w:rFonts w:ascii="Garamond" w:hAnsi="Garamond"/>
              </w:rPr>
            </w:pPr>
            <w:bookmarkStart w:id="0" w:name="Text1"/>
            <w:r w:rsidRPr="00F76A56">
              <w:rPr>
                <w:rFonts w:ascii="Garamond" w:hAnsi="Garamond"/>
              </w:rPr>
              <w:tab/>
            </w:r>
            <w:bookmarkEnd w:id="0"/>
            <w:r w:rsidR="0014549F" w:rsidRPr="00F76A56">
              <w:rPr>
                <w:rFonts w:ascii="Garamond" w:hAnsi="Garamond"/>
              </w:rPr>
              <w:t xml:space="preserve"> </w:t>
            </w:r>
            <w:r w:rsidR="001B288A" w:rsidRPr="00F76A56">
              <w:rPr>
                <w:rFonts w:ascii="Garamond" w:hAnsi="Garamond"/>
              </w:rPr>
              <w:t>Senator Stedman</w:t>
            </w:r>
          </w:p>
          <w:p w:rsidR="00402145" w:rsidRPr="00F76A56" w:rsidRDefault="00402145" w:rsidP="0014549F">
            <w:pPr>
              <w:tabs>
                <w:tab w:val="right" w:pos="706"/>
                <w:tab w:val="left" w:pos="979"/>
              </w:tabs>
              <w:spacing w:line="280" w:lineRule="exact"/>
              <w:ind w:hanging="18"/>
              <w:rPr>
                <w:rFonts w:ascii="Garamond" w:hAnsi="Garamond"/>
              </w:rPr>
            </w:pPr>
          </w:p>
        </w:tc>
        <w:tc>
          <w:tcPr>
            <w:tcW w:w="465" w:type="pct"/>
          </w:tcPr>
          <w:p w:rsidR="00FF57D3" w:rsidRPr="00F76A56" w:rsidRDefault="00FF57D3" w:rsidP="00902ABB">
            <w:pPr>
              <w:tabs>
                <w:tab w:val="right" w:pos="749"/>
                <w:tab w:val="left" w:pos="882"/>
              </w:tabs>
              <w:spacing w:line="280" w:lineRule="exact"/>
              <w:jc w:val="right"/>
              <w:rPr>
                <w:rFonts w:ascii="Garamond" w:hAnsi="Garamond"/>
              </w:rPr>
            </w:pPr>
            <w:r w:rsidRPr="00F76A56">
              <w:rPr>
                <w:rFonts w:ascii="Garamond" w:hAnsi="Garamond"/>
              </w:rPr>
              <w:tab/>
            </w:r>
            <w:r w:rsidR="00902ABB" w:rsidRPr="00F76A56">
              <w:rPr>
                <w:rFonts w:ascii="Garamond" w:hAnsi="Garamond"/>
              </w:rPr>
              <w:t xml:space="preserve"> </w:t>
            </w:r>
            <w:r w:rsidRPr="00F76A56">
              <w:rPr>
                <w:rFonts w:ascii="Garamond" w:hAnsi="Garamond"/>
              </w:rPr>
              <w:t>DATE:</w:t>
            </w:r>
            <w:r w:rsidRPr="00F76A56">
              <w:rPr>
                <w:rFonts w:ascii="Garamond" w:hAnsi="Garamond"/>
              </w:rPr>
              <w:tab/>
            </w:r>
          </w:p>
        </w:tc>
        <w:tc>
          <w:tcPr>
            <w:tcW w:w="1823" w:type="pct"/>
          </w:tcPr>
          <w:p w:rsidR="00FF57D3" w:rsidRPr="00F76A56" w:rsidRDefault="00FF57D3" w:rsidP="00FF57D3">
            <w:pPr>
              <w:tabs>
                <w:tab w:val="right" w:pos="749"/>
                <w:tab w:val="left" w:pos="979"/>
              </w:tabs>
              <w:spacing w:line="280" w:lineRule="exact"/>
              <w:rPr>
                <w:rFonts w:ascii="Garamond" w:hAnsi="Garamond"/>
              </w:rPr>
            </w:pPr>
            <w:r w:rsidRPr="00F76A56">
              <w:rPr>
                <w:rFonts w:ascii="Garamond" w:hAnsi="Garamond"/>
              </w:rPr>
              <w:tab/>
            </w:r>
            <w:r w:rsidR="00C573AD" w:rsidRPr="00F76A56">
              <w:rPr>
                <w:rFonts w:ascii="Garamond" w:hAnsi="Garamond"/>
              </w:rPr>
              <w:fldChar w:fldCharType="begin"/>
            </w:r>
            <w:r w:rsidRPr="00F76A56">
              <w:rPr>
                <w:rFonts w:ascii="Garamond" w:hAnsi="Garamond"/>
              </w:rPr>
              <w:instrText xml:space="preserve"> DATE  \@ "dddd, MMMM dd, yyyy"  \* MERGEFORMAT </w:instrText>
            </w:r>
            <w:r w:rsidR="00C573AD" w:rsidRPr="00F76A56">
              <w:rPr>
                <w:rFonts w:ascii="Garamond" w:hAnsi="Garamond"/>
              </w:rPr>
              <w:fldChar w:fldCharType="separate"/>
            </w:r>
            <w:r w:rsidR="00875E58">
              <w:rPr>
                <w:rFonts w:ascii="Garamond" w:hAnsi="Garamond"/>
                <w:noProof/>
              </w:rPr>
              <w:t>Tuesday, March 15, 2011</w:t>
            </w:r>
            <w:r w:rsidR="00C573AD" w:rsidRPr="00F76A56">
              <w:rPr>
                <w:rFonts w:ascii="Garamond" w:hAnsi="Garamond"/>
              </w:rPr>
              <w:fldChar w:fldCharType="end"/>
            </w:r>
          </w:p>
        </w:tc>
      </w:tr>
      <w:tr w:rsidR="00302CDC" w:rsidRPr="00F76A56" w:rsidTr="0014549F">
        <w:trPr>
          <w:gridAfter w:val="3"/>
          <w:wAfter w:w="2711" w:type="pct"/>
          <w:trHeight w:val="456"/>
        </w:trPr>
        <w:tc>
          <w:tcPr>
            <w:tcW w:w="465" w:type="pct"/>
            <w:gridSpan w:val="2"/>
          </w:tcPr>
          <w:p w:rsidR="00302CDC" w:rsidRPr="00F76A56" w:rsidRDefault="00302CDC" w:rsidP="00302CDC">
            <w:pPr>
              <w:tabs>
                <w:tab w:val="right" w:pos="749"/>
                <w:tab w:val="left" w:pos="979"/>
              </w:tabs>
              <w:spacing w:line="280" w:lineRule="exact"/>
              <w:ind w:left="972" w:hanging="972"/>
              <w:jc w:val="center"/>
              <w:rPr>
                <w:rFonts w:ascii="Garamond" w:hAnsi="Garamond"/>
              </w:rPr>
            </w:pPr>
            <w:r w:rsidRPr="00F76A56">
              <w:rPr>
                <w:rFonts w:ascii="Garamond" w:hAnsi="Garamond"/>
              </w:rPr>
              <w:t>FROM:</w:t>
            </w:r>
          </w:p>
        </w:tc>
        <w:tc>
          <w:tcPr>
            <w:tcW w:w="1824" w:type="pct"/>
          </w:tcPr>
          <w:p w:rsidR="00302CDC" w:rsidRPr="00F76A56" w:rsidRDefault="004E2D14" w:rsidP="00FB3727">
            <w:pPr>
              <w:tabs>
                <w:tab w:val="right" w:pos="749"/>
                <w:tab w:val="left" w:pos="979"/>
              </w:tabs>
              <w:spacing w:line="280" w:lineRule="exact"/>
              <w:jc w:val="both"/>
              <w:rPr>
                <w:rFonts w:ascii="Garamond" w:hAnsi="Garamond"/>
              </w:rPr>
            </w:pPr>
            <w:r w:rsidRPr="00F76A56">
              <w:rPr>
                <w:rFonts w:ascii="Garamond" w:hAnsi="Garamond"/>
              </w:rPr>
              <w:t>Wanetta Ayers</w:t>
            </w:r>
          </w:p>
          <w:p w:rsidR="00402145" w:rsidRPr="00F76A56" w:rsidRDefault="00402145" w:rsidP="00FB3727">
            <w:pPr>
              <w:tabs>
                <w:tab w:val="right" w:pos="749"/>
                <w:tab w:val="left" w:pos="979"/>
              </w:tabs>
              <w:spacing w:line="280" w:lineRule="exact"/>
              <w:jc w:val="both"/>
              <w:rPr>
                <w:rFonts w:ascii="Garamond" w:hAnsi="Garamond"/>
              </w:rPr>
            </w:pPr>
          </w:p>
        </w:tc>
      </w:tr>
      <w:tr w:rsidR="00302CDC" w:rsidRPr="00F76A56" w:rsidTr="0014549F">
        <w:trPr>
          <w:gridAfter w:val="3"/>
          <w:wAfter w:w="2711" w:type="pct"/>
          <w:trHeight w:val="447"/>
        </w:trPr>
        <w:tc>
          <w:tcPr>
            <w:tcW w:w="465" w:type="pct"/>
            <w:gridSpan w:val="2"/>
          </w:tcPr>
          <w:p w:rsidR="00302CDC" w:rsidRPr="00F76A56" w:rsidRDefault="0014549F" w:rsidP="00302CDC">
            <w:pPr>
              <w:tabs>
                <w:tab w:val="right" w:pos="749"/>
                <w:tab w:val="left" w:pos="979"/>
              </w:tabs>
              <w:spacing w:line="280" w:lineRule="exact"/>
              <w:ind w:left="972" w:hanging="972"/>
              <w:jc w:val="center"/>
              <w:rPr>
                <w:rFonts w:ascii="Garamond" w:hAnsi="Garamond"/>
              </w:rPr>
            </w:pPr>
            <w:r w:rsidRPr="00F76A56">
              <w:rPr>
                <w:rFonts w:ascii="Garamond" w:hAnsi="Garamond"/>
              </w:rPr>
              <w:t xml:space="preserve">      </w:t>
            </w:r>
            <w:r w:rsidR="00302CDC" w:rsidRPr="00F76A56">
              <w:rPr>
                <w:rFonts w:ascii="Garamond" w:hAnsi="Garamond"/>
              </w:rPr>
              <w:t>RE:</w:t>
            </w:r>
          </w:p>
        </w:tc>
        <w:tc>
          <w:tcPr>
            <w:tcW w:w="1824" w:type="pct"/>
          </w:tcPr>
          <w:p w:rsidR="00302CDC" w:rsidRPr="00F76A56" w:rsidRDefault="001B288A" w:rsidP="00FB3727">
            <w:pPr>
              <w:tabs>
                <w:tab w:val="right" w:pos="749"/>
                <w:tab w:val="left" w:pos="979"/>
              </w:tabs>
              <w:spacing w:line="280" w:lineRule="exact"/>
              <w:jc w:val="both"/>
              <w:rPr>
                <w:rFonts w:ascii="Garamond" w:hAnsi="Garamond"/>
              </w:rPr>
            </w:pPr>
            <w:r w:rsidRPr="00F76A56">
              <w:rPr>
                <w:rFonts w:ascii="Garamond" w:hAnsi="Garamond"/>
              </w:rPr>
              <w:t>Follow-up Questions on SB34</w:t>
            </w:r>
          </w:p>
        </w:tc>
      </w:tr>
    </w:tbl>
    <w:p w:rsidR="00945F11" w:rsidRPr="00F76A56" w:rsidRDefault="00945F11">
      <w:pPr>
        <w:ind w:left="180"/>
        <w:rPr>
          <w:rFonts w:ascii="Garamond" w:hAnsi="Garamond"/>
        </w:rPr>
        <w:sectPr w:rsidR="00945F11" w:rsidRPr="00F76A56">
          <w:headerReference w:type="default" r:id="rId8"/>
          <w:pgSz w:w="12240" w:h="15840" w:code="1"/>
          <w:pgMar w:top="435" w:right="900" w:bottom="1440" w:left="900" w:header="450" w:footer="232" w:gutter="0"/>
          <w:cols w:space="720"/>
        </w:sectPr>
      </w:pPr>
    </w:p>
    <w:p w:rsidR="00945F11" w:rsidRPr="00F76A56" w:rsidRDefault="0014549F">
      <w:pPr>
        <w:ind w:left="180"/>
        <w:rPr>
          <w:rFonts w:ascii="Garamond" w:hAnsi="Garamond"/>
        </w:rPr>
      </w:pPr>
      <w:r w:rsidRPr="00F76A56">
        <w:rPr>
          <w:rFonts w:ascii="Garamond" w:hAnsi="Garamond"/>
        </w:rPr>
        <w:lastRenderedPageBreak/>
        <w:t>____________________________________________________________________________________________</w:t>
      </w:r>
    </w:p>
    <w:p w:rsidR="0014549F" w:rsidRPr="00F76A56" w:rsidRDefault="0014549F">
      <w:pPr>
        <w:ind w:left="180"/>
        <w:rPr>
          <w:rFonts w:ascii="Garamond" w:hAnsi="Garamond"/>
        </w:rPr>
      </w:pPr>
    </w:p>
    <w:p w:rsidR="001B288A" w:rsidRPr="00E054BC" w:rsidRDefault="001B288A" w:rsidP="0014549F">
      <w:pPr>
        <w:tabs>
          <w:tab w:val="right" w:pos="1620"/>
          <w:tab w:val="left" w:pos="1980"/>
        </w:tabs>
        <w:ind w:left="187"/>
        <w:rPr>
          <w:rFonts w:ascii="Garamond" w:hAnsi="Garamond"/>
        </w:rPr>
      </w:pPr>
      <w:r w:rsidRPr="00F76A56">
        <w:rPr>
          <w:rFonts w:ascii="Garamond" w:hAnsi="Garamond"/>
        </w:rPr>
        <w:t>Thank you for the opportunity to respond to questions that arose during the March 10</w:t>
      </w:r>
      <w:r w:rsidRPr="00F76A56">
        <w:rPr>
          <w:rFonts w:ascii="Garamond" w:hAnsi="Garamond"/>
          <w:vertAlign w:val="superscript"/>
        </w:rPr>
        <w:t>th</w:t>
      </w:r>
      <w:r w:rsidRPr="00F76A56">
        <w:rPr>
          <w:rFonts w:ascii="Garamond" w:hAnsi="Garamond"/>
        </w:rPr>
        <w:t xml:space="preserve"> meeting of the Senate Finance Committee </w:t>
      </w:r>
      <w:r w:rsidR="00F76A56" w:rsidRPr="00E054BC">
        <w:rPr>
          <w:rFonts w:ascii="Garamond" w:hAnsi="Garamond"/>
        </w:rPr>
        <w:t>during the hearing on SB34.</w:t>
      </w:r>
    </w:p>
    <w:p w:rsidR="001B288A" w:rsidRPr="00E054BC" w:rsidRDefault="001B288A" w:rsidP="0014549F">
      <w:pPr>
        <w:tabs>
          <w:tab w:val="right" w:pos="1620"/>
          <w:tab w:val="left" w:pos="1980"/>
        </w:tabs>
        <w:ind w:left="187"/>
        <w:rPr>
          <w:rFonts w:ascii="Garamond" w:hAnsi="Garamond"/>
        </w:rPr>
      </w:pPr>
    </w:p>
    <w:p w:rsidR="001B288A" w:rsidRPr="00E054BC" w:rsidRDefault="001B288A" w:rsidP="0014549F">
      <w:pPr>
        <w:tabs>
          <w:tab w:val="right" w:pos="1620"/>
          <w:tab w:val="left" w:pos="1980"/>
        </w:tabs>
        <w:ind w:left="187"/>
        <w:rPr>
          <w:rFonts w:ascii="Garamond" w:hAnsi="Garamond"/>
          <w:b/>
        </w:rPr>
      </w:pPr>
      <w:r w:rsidRPr="00E054BC">
        <w:rPr>
          <w:rFonts w:ascii="Garamond" w:hAnsi="Garamond"/>
          <w:b/>
        </w:rPr>
        <w:t>Can loans made under SB34 be stacked?</w:t>
      </w:r>
    </w:p>
    <w:p w:rsidR="005E0596" w:rsidRPr="00E054BC" w:rsidRDefault="001B288A" w:rsidP="0014549F">
      <w:pPr>
        <w:tabs>
          <w:tab w:val="right" w:pos="1620"/>
          <w:tab w:val="left" w:pos="1980"/>
        </w:tabs>
        <w:ind w:left="187"/>
        <w:rPr>
          <w:rFonts w:ascii="Garamond" w:hAnsi="Garamond"/>
        </w:rPr>
      </w:pPr>
      <w:r w:rsidRPr="00E054BC">
        <w:rPr>
          <w:rFonts w:ascii="Garamond" w:hAnsi="Garamond"/>
        </w:rPr>
        <w:t>Yes. SB34 refers to loans in the plural, so multiple loans up to the maximum loan amount are allowable as long as the borrower meets the additional collateral requirements to secure any subsequent loans.</w:t>
      </w:r>
    </w:p>
    <w:p w:rsidR="001B288A" w:rsidRPr="00E054BC" w:rsidRDefault="001B288A" w:rsidP="0014549F">
      <w:pPr>
        <w:tabs>
          <w:tab w:val="right" w:pos="1620"/>
          <w:tab w:val="left" w:pos="1980"/>
        </w:tabs>
        <w:ind w:left="187"/>
        <w:rPr>
          <w:rFonts w:ascii="Garamond" w:hAnsi="Garamond"/>
        </w:rPr>
      </w:pPr>
    </w:p>
    <w:p w:rsidR="001B288A" w:rsidRPr="00E054BC" w:rsidRDefault="001B288A" w:rsidP="0014549F">
      <w:pPr>
        <w:tabs>
          <w:tab w:val="right" w:pos="1620"/>
          <w:tab w:val="left" w:pos="1980"/>
        </w:tabs>
        <w:ind w:left="187"/>
        <w:rPr>
          <w:rFonts w:ascii="Garamond" w:hAnsi="Garamond"/>
          <w:b/>
        </w:rPr>
      </w:pPr>
      <w:r w:rsidRPr="00E054BC">
        <w:rPr>
          <w:rFonts w:ascii="Garamond" w:hAnsi="Garamond"/>
          <w:b/>
        </w:rPr>
        <w:t>Are loans under SB34 recourse or non-recourse loans?</w:t>
      </w:r>
    </w:p>
    <w:p w:rsidR="001B288A" w:rsidRPr="00E054BC" w:rsidRDefault="00DA0257" w:rsidP="0014549F">
      <w:pPr>
        <w:tabs>
          <w:tab w:val="right" w:pos="1620"/>
          <w:tab w:val="left" w:pos="1980"/>
        </w:tabs>
        <w:ind w:left="187"/>
        <w:rPr>
          <w:rFonts w:ascii="Garamond" w:hAnsi="Garamond"/>
        </w:rPr>
      </w:pPr>
      <w:r w:rsidRPr="00E054BC">
        <w:rPr>
          <w:rFonts w:ascii="Garamond" w:hAnsi="Garamond"/>
        </w:rPr>
        <w:t xml:space="preserve">All of the loans issued by the Division are recourse loans. However, the Division works diligently with borrowers to avoid foreclosure. </w:t>
      </w:r>
      <w:r w:rsidR="00F76A56" w:rsidRPr="00E054BC">
        <w:rPr>
          <w:rFonts w:ascii="Garamond" w:hAnsi="Garamond"/>
        </w:rPr>
        <w:t>The Collections staff is very adept at achieving work outs that satisfy the loan requirements and leave the borrower whole.</w:t>
      </w:r>
    </w:p>
    <w:p w:rsidR="0055574E" w:rsidRPr="00E054BC" w:rsidRDefault="0055574E" w:rsidP="0014549F">
      <w:pPr>
        <w:tabs>
          <w:tab w:val="right" w:pos="1620"/>
          <w:tab w:val="left" w:pos="1980"/>
        </w:tabs>
        <w:ind w:left="187"/>
        <w:rPr>
          <w:rFonts w:ascii="Garamond" w:hAnsi="Garamond"/>
        </w:rPr>
      </w:pPr>
    </w:p>
    <w:p w:rsidR="0055574E" w:rsidRPr="00E054BC" w:rsidRDefault="0055574E" w:rsidP="0014549F">
      <w:pPr>
        <w:tabs>
          <w:tab w:val="right" w:pos="1620"/>
          <w:tab w:val="left" w:pos="1980"/>
        </w:tabs>
        <w:ind w:left="187"/>
        <w:rPr>
          <w:rFonts w:ascii="Garamond" w:hAnsi="Garamond"/>
          <w:b/>
        </w:rPr>
      </w:pPr>
      <w:r w:rsidRPr="00E054BC">
        <w:rPr>
          <w:rFonts w:ascii="Garamond" w:hAnsi="Garamond"/>
          <w:b/>
        </w:rPr>
        <w:t>What would be considered acceptable collateral and how has this been determined in the past?</w:t>
      </w:r>
    </w:p>
    <w:p w:rsidR="0055574E" w:rsidRPr="00E054BC" w:rsidRDefault="0055574E" w:rsidP="0014549F">
      <w:pPr>
        <w:tabs>
          <w:tab w:val="right" w:pos="1620"/>
          <w:tab w:val="left" w:pos="1980"/>
        </w:tabs>
        <w:ind w:left="187"/>
        <w:rPr>
          <w:rFonts w:ascii="Garamond" w:hAnsi="Garamond"/>
        </w:rPr>
      </w:pPr>
      <w:r w:rsidRPr="00E054BC">
        <w:rPr>
          <w:rFonts w:ascii="Garamond" w:hAnsi="Garamond"/>
        </w:rPr>
        <w:t xml:space="preserve">Page 4, line 11 is standard language with regard to collateral requirements. Collateral is determined to be acceptable if it </w:t>
      </w:r>
      <w:r w:rsidR="00235A80" w:rsidRPr="00E054BC">
        <w:rPr>
          <w:rFonts w:ascii="Garamond" w:hAnsi="Garamond"/>
        </w:rPr>
        <w:t>is in acceptable condition, has a determined market value</w:t>
      </w:r>
      <w:r w:rsidRPr="00E054BC">
        <w:rPr>
          <w:rFonts w:ascii="Garamond" w:hAnsi="Garamond"/>
        </w:rPr>
        <w:t xml:space="preserve">, lien perfection is achievable, and there are no limiting factors. Limiting factors could be considerations regarding its location, possible environmental concerns, flood plain status, and similar concerns. The most common types of collateral accepted include real estate, aircraft, vessels, equipment, gear and inventory. </w:t>
      </w:r>
      <w:r w:rsidR="00235A80" w:rsidRPr="00E054BC">
        <w:rPr>
          <w:rFonts w:ascii="Garamond" w:hAnsi="Garamond"/>
        </w:rPr>
        <w:t xml:space="preserve">The Division assigns a ratio to mitigate any of the limitation or risk factors associated with a particular type of collateral. Inventory is generally assigned a very low ratio of 25%, if it is accepted at all. The nature of the inventory will be taken into consideration. All of the foregoing is part of the due diligence that the lending staff regularly undertakes to determine if/how a loan application should advance to a credit decision. </w:t>
      </w:r>
    </w:p>
    <w:p w:rsidR="00235A80" w:rsidRPr="00E054BC" w:rsidRDefault="00235A80" w:rsidP="0014549F">
      <w:pPr>
        <w:tabs>
          <w:tab w:val="right" w:pos="1620"/>
          <w:tab w:val="left" w:pos="1980"/>
        </w:tabs>
        <w:ind w:left="187"/>
        <w:rPr>
          <w:rFonts w:ascii="Garamond" w:hAnsi="Garamond"/>
        </w:rPr>
      </w:pPr>
    </w:p>
    <w:p w:rsidR="00771493" w:rsidRPr="00E054BC" w:rsidRDefault="00771493" w:rsidP="0014549F">
      <w:pPr>
        <w:tabs>
          <w:tab w:val="right" w:pos="1620"/>
          <w:tab w:val="left" w:pos="1980"/>
        </w:tabs>
        <w:ind w:left="187"/>
        <w:rPr>
          <w:rFonts w:ascii="Garamond" w:hAnsi="Garamond"/>
          <w:b/>
        </w:rPr>
      </w:pPr>
      <w:r w:rsidRPr="00E054BC">
        <w:rPr>
          <w:rFonts w:ascii="Garamond" w:hAnsi="Garamond"/>
          <w:b/>
        </w:rPr>
        <w:t>Why was the loan fund summary discontinued and what was does the department need to continue this service?</w:t>
      </w:r>
    </w:p>
    <w:p w:rsidR="00235A80" w:rsidRPr="00E054BC" w:rsidRDefault="00F76A56" w:rsidP="0014549F">
      <w:pPr>
        <w:tabs>
          <w:tab w:val="right" w:pos="1620"/>
          <w:tab w:val="left" w:pos="1980"/>
        </w:tabs>
        <w:ind w:left="187"/>
        <w:rPr>
          <w:rFonts w:ascii="Garamond" w:hAnsi="Garamond"/>
        </w:rPr>
      </w:pPr>
      <w:r w:rsidRPr="00E054BC">
        <w:rPr>
          <w:rFonts w:ascii="Garamond" w:hAnsi="Garamond"/>
        </w:rPr>
        <w:t xml:space="preserve">In the past, this information was provided as part of a Division budget overview. </w:t>
      </w:r>
      <w:r w:rsidR="00AB4EC8" w:rsidRPr="00E054BC">
        <w:rPr>
          <w:rFonts w:ascii="Garamond" w:hAnsi="Garamond"/>
        </w:rPr>
        <w:t xml:space="preserve">The budget overview presentation was revised and submitted on a Department-wide basis. The Division will provide an update for yearend FY10 and year-to-date for FY11 no later than March 21. I believe the committee has a summary spreadsheet that provides some, but not all of this historical information. </w:t>
      </w:r>
    </w:p>
    <w:p w:rsidR="00AB4EC8" w:rsidRPr="00E054BC" w:rsidRDefault="00AB4EC8" w:rsidP="0014549F">
      <w:pPr>
        <w:tabs>
          <w:tab w:val="right" w:pos="1620"/>
          <w:tab w:val="left" w:pos="1980"/>
        </w:tabs>
        <w:ind w:left="187"/>
        <w:rPr>
          <w:rFonts w:ascii="Garamond" w:hAnsi="Garamond"/>
        </w:rPr>
      </w:pPr>
    </w:p>
    <w:p w:rsidR="00AB4EC8" w:rsidRPr="00E054BC" w:rsidRDefault="00AB4EC8" w:rsidP="0014549F">
      <w:pPr>
        <w:tabs>
          <w:tab w:val="right" w:pos="1620"/>
          <w:tab w:val="left" w:pos="1980"/>
        </w:tabs>
        <w:ind w:left="187"/>
        <w:rPr>
          <w:rFonts w:ascii="Garamond" w:hAnsi="Garamond"/>
          <w:b/>
        </w:rPr>
      </w:pPr>
      <w:r w:rsidRPr="00E054BC">
        <w:rPr>
          <w:rFonts w:ascii="Garamond" w:hAnsi="Garamond"/>
          <w:b/>
        </w:rPr>
        <w:t>Additional Information Based on Comments</w:t>
      </w:r>
    </w:p>
    <w:p w:rsidR="00AB4EC8" w:rsidRPr="00E054BC" w:rsidRDefault="00AB4EC8" w:rsidP="0014549F">
      <w:pPr>
        <w:tabs>
          <w:tab w:val="right" w:pos="1620"/>
          <w:tab w:val="left" w:pos="1980"/>
        </w:tabs>
        <w:ind w:left="187"/>
        <w:rPr>
          <w:rFonts w:ascii="Garamond" w:hAnsi="Garamond"/>
        </w:rPr>
      </w:pPr>
    </w:p>
    <w:p w:rsidR="00AB4EC8" w:rsidRPr="00E054BC" w:rsidRDefault="00AB4EC8" w:rsidP="0014549F">
      <w:pPr>
        <w:tabs>
          <w:tab w:val="right" w:pos="1620"/>
          <w:tab w:val="left" w:pos="1980"/>
        </w:tabs>
        <w:ind w:left="187"/>
        <w:rPr>
          <w:rFonts w:ascii="Garamond" w:hAnsi="Garamond"/>
          <w:b/>
        </w:rPr>
      </w:pPr>
      <w:r w:rsidRPr="00E054BC">
        <w:rPr>
          <w:rFonts w:ascii="Garamond" w:hAnsi="Garamond"/>
          <w:b/>
        </w:rPr>
        <w:t>Typical Default Rates</w:t>
      </w:r>
    </w:p>
    <w:p w:rsidR="00771493" w:rsidRPr="00E054BC" w:rsidRDefault="009E7DF2" w:rsidP="00AB4EC8">
      <w:pPr>
        <w:tabs>
          <w:tab w:val="right" w:pos="1620"/>
          <w:tab w:val="left" w:pos="1980"/>
        </w:tabs>
        <w:ind w:left="187"/>
        <w:rPr>
          <w:rFonts w:ascii="Garamond" w:hAnsi="Garamond" w:cs="Courier New"/>
        </w:rPr>
      </w:pPr>
      <w:r w:rsidRPr="00E054BC">
        <w:rPr>
          <w:rFonts w:ascii="Garamond" w:hAnsi="Garamond"/>
        </w:rPr>
        <w:t xml:space="preserve">The Division has achieved an outstanding track record with regard to minimizing loan defaults and delinquencies. </w:t>
      </w:r>
      <w:r w:rsidR="00F76A56" w:rsidRPr="00E054BC">
        <w:rPr>
          <w:rFonts w:ascii="Garamond" w:hAnsi="Garamond"/>
        </w:rPr>
        <w:t>With regard to comparative default rates, a</w:t>
      </w:r>
      <w:r w:rsidR="00AB4EC8" w:rsidRPr="00E054BC">
        <w:rPr>
          <w:rFonts w:ascii="Garamond" w:hAnsi="Garamond"/>
        </w:rPr>
        <w:t xml:space="preserve"> number of sources cite 4% as an average (Businessweek, WSJ). The SBA microloan program has a reported a 5 to 12 % rate, depending on the state. </w:t>
      </w:r>
      <w:r w:rsidRPr="00E054BC">
        <w:rPr>
          <w:rFonts w:ascii="Garamond" w:hAnsi="Garamond"/>
        </w:rPr>
        <w:t xml:space="preserve">In </w:t>
      </w:r>
      <w:r w:rsidRPr="00E054BC">
        <w:rPr>
          <w:rFonts w:ascii="Garamond" w:hAnsi="Garamond" w:cs="Courier New"/>
        </w:rPr>
        <w:t>Wisconsin, t</w:t>
      </w:r>
      <w:r w:rsidR="00771493" w:rsidRPr="00771493">
        <w:rPr>
          <w:rFonts w:ascii="Garamond" w:hAnsi="Garamond" w:cs="Courier New"/>
        </w:rPr>
        <w:t>he average default</w:t>
      </w:r>
      <w:r w:rsidR="00771493" w:rsidRPr="00E054BC">
        <w:rPr>
          <w:rFonts w:ascii="Garamond" w:hAnsi="Garamond" w:cs="Courier New"/>
        </w:rPr>
        <w:t xml:space="preserve"> </w:t>
      </w:r>
      <w:r w:rsidR="00771493" w:rsidRPr="00771493">
        <w:rPr>
          <w:rFonts w:ascii="Garamond" w:hAnsi="Garamond" w:cs="Courier New"/>
        </w:rPr>
        <w:t>rate was 9.26% and the median default rate was 5.58%</w:t>
      </w:r>
      <w:r w:rsidRPr="00E054BC">
        <w:rPr>
          <w:rFonts w:ascii="Garamond" w:hAnsi="Garamond" w:cs="Courier New"/>
        </w:rPr>
        <w:t xml:space="preserve"> (multiple loans administered by many agencies and NGOs)</w:t>
      </w:r>
      <w:r w:rsidR="00771493" w:rsidRPr="00771493">
        <w:rPr>
          <w:rFonts w:ascii="Garamond" w:hAnsi="Garamond" w:cs="Courier New"/>
        </w:rPr>
        <w:t xml:space="preserve">. </w:t>
      </w:r>
      <w:r w:rsidRPr="00E054BC">
        <w:rPr>
          <w:rFonts w:ascii="Garamond" w:hAnsi="Garamond" w:cs="Courier New"/>
        </w:rPr>
        <w:t xml:space="preserve">According to the </w:t>
      </w:r>
      <w:r w:rsidR="00771493" w:rsidRPr="00E054BC">
        <w:rPr>
          <w:rFonts w:ascii="Garamond" w:hAnsi="Garamond" w:cs="Courier New"/>
        </w:rPr>
        <w:t>Micro Capital Monitor</w:t>
      </w:r>
      <w:r w:rsidRPr="00E054BC">
        <w:rPr>
          <w:rFonts w:ascii="Garamond" w:hAnsi="Garamond" w:cs="Courier New"/>
        </w:rPr>
        <w:t xml:space="preserve">, the </w:t>
      </w:r>
      <w:r w:rsidR="00771493" w:rsidRPr="00E054BC">
        <w:rPr>
          <w:rFonts w:ascii="Garamond" w:hAnsi="Garamond" w:cs="Courier New"/>
        </w:rPr>
        <w:t>2006 average</w:t>
      </w:r>
      <w:r w:rsidRPr="00E054BC">
        <w:rPr>
          <w:rFonts w:ascii="Garamond" w:hAnsi="Garamond" w:cs="Courier New"/>
        </w:rPr>
        <w:t xml:space="preserve"> was </w:t>
      </w:r>
      <w:r w:rsidR="00771493" w:rsidRPr="00E054BC">
        <w:rPr>
          <w:rFonts w:ascii="Garamond" w:hAnsi="Garamond" w:cs="Courier New"/>
        </w:rPr>
        <w:t>4.76%</w:t>
      </w:r>
      <w:r w:rsidRPr="00E054BC">
        <w:rPr>
          <w:rFonts w:ascii="Garamond" w:hAnsi="Garamond" w:cs="Courier New"/>
        </w:rPr>
        <w:t xml:space="preserve"> for U.S. micro lending. It is, perhaps, worth noting that according to 13 CFR 307.16 (d) an EDA funded RLF may have a default rate of 20% before a fund review is conducted and no specific action is mandated until the rate meets or exceeds 30%. </w:t>
      </w:r>
    </w:p>
    <w:p w:rsidR="009E7DF2" w:rsidRPr="00E054BC" w:rsidRDefault="009E7DF2" w:rsidP="00AB4EC8">
      <w:pPr>
        <w:tabs>
          <w:tab w:val="right" w:pos="1620"/>
          <w:tab w:val="left" w:pos="1980"/>
        </w:tabs>
        <w:ind w:left="187"/>
        <w:rPr>
          <w:rFonts w:ascii="Garamond" w:hAnsi="Garamond" w:cs="Courier New"/>
        </w:rPr>
      </w:pPr>
    </w:p>
    <w:p w:rsidR="009E7DF2" w:rsidRPr="00E054BC" w:rsidRDefault="009E7DF2" w:rsidP="00AB4EC8">
      <w:pPr>
        <w:tabs>
          <w:tab w:val="right" w:pos="1620"/>
          <w:tab w:val="left" w:pos="1980"/>
        </w:tabs>
        <w:ind w:left="187"/>
        <w:rPr>
          <w:rFonts w:ascii="Garamond" w:hAnsi="Garamond" w:cs="Courier New"/>
          <w:b/>
        </w:rPr>
      </w:pPr>
      <w:r w:rsidRPr="00E054BC">
        <w:rPr>
          <w:rFonts w:ascii="Garamond" w:hAnsi="Garamond" w:cs="Courier New"/>
          <w:b/>
        </w:rPr>
        <w:t>Clean-up of Inactive Loan Funds</w:t>
      </w:r>
    </w:p>
    <w:p w:rsidR="00771493" w:rsidRPr="00E054BC" w:rsidRDefault="009E7DF2" w:rsidP="0014549F">
      <w:pPr>
        <w:tabs>
          <w:tab w:val="right" w:pos="1620"/>
          <w:tab w:val="left" w:pos="1980"/>
        </w:tabs>
        <w:ind w:left="187"/>
        <w:rPr>
          <w:rFonts w:ascii="Garamond" w:hAnsi="Garamond" w:cs="Courier New"/>
        </w:rPr>
      </w:pPr>
      <w:r w:rsidRPr="00E054BC">
        <w:rPr>
          <w:rFonts w:ascii="Garamond" w:hAnsi="Garamond" w:cs="Courier New"/>
        </w:rPr>
        <w:t xml:space="preserve">The Division has historically continued to carry loan funds on its reports if there is any likelihood of a payment or other transaction. Loan Servicing reports include funds for which no active lending has occurred for many years, but some payment or interagency transaction may have occurred in the prior year. We welcome the discussion of streamlining this presentation of loan fund activity to focus on only those funds where active lending is occurring. </w:t>
      </w:r>
    </w:p>
    <w:p w:rsidR="00E054BC" w:rsidRPr="00E054BC" w:rsidRDefault="00E054BC" w:rsidP="0014549F">
      <w:pPr>
        <w:tabs>
          <w:tab w:val="right" w:pos="1620"/>
          <w:tab w:val="left" w:pos="1980"/>
        </w:tabs>
        <w:ind w:left="187"/>
        <w:rPr>
          <w:rFonts w:ascii="Garamond" w:hAnsi="Garamond" w:cs="Courier New"/>
        </w:rPr>
      </w:pPr>
    </w:p>
    <w:p w:rsidR="00E054BC" w:rsidRPr="00E054BC" w:rsidRDefault="00E054BC" w:rsidP="0014549F">
      <w:pPr>
        <w:tabs>
          <w:tab w:val="right" w:pos="1620"/>
          <w:tab w:val="left" w:pos="1980"/>
        </w:tabs>
        <w:ind w:left="187"/>
        <w:rPr>
          <w:rFonts w:ascii="Garamond" w:hAnsi="Garamond"/>
        </w:rPr>
      </w:pPr>
      <w:r w:rsidRPr="00E054BC">
        <w:rPr>
          <w:rFonts w:ascii="Garamond" w:hAnsi="Garamond" w:cs="Courier New"/>
        </w:rPr>
        <w:t xml:space="preserve">If I can provide any additional information, please let me know. </w:t>
      </w:r>
    </w:p>
    <w:sectPr w:rsidR="00E054BC" w:rsidRPr="00E054BC" w:rsidSect="0014549F">
      <w:headerReference w:type="default" r:id="rId9"/>
      <w:footerReference w:type="default" r:id="rId10"/>
      <w:type w:val="continuous"/>
      <w:pgSz w:w="12240" w:h="15840" w:code="1"/>
      <w:pgMar w:top="432" w:right="907" w:bottom="1440" w:left="907" w:header="446" w:footer="23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EA4" w:rsidRDefault="00DF7EA4">
      <w:r>
        <w:separator/>
      </w:r>
    </w:p>
  </w:endnote>
  <w:endnote w:type="continuationSeparator" w:id="0">
    <w:p w:rsidR="00DF7EA4" w:rsidRDefault="00DF7E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ITC Avant Garde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20A" w:rsidRDefault="00B462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EA4" w:rsidRDefault="00DF7EA4">
      <w:r>
        <w:separator/>
      </w:r>
    </w:p>
  </w:footnote>
  <w:footnote w:type="continuationSeparator" w:id="0">
    <w:p w:rsidR="00DF7EA4" w:rsidRDefault="00DF7E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20A" w:rsidRPr="00203ECE" w:rsidRDefault="00C573AD" w:rsidP="00203ECE">
    <w:pPr>
      <w:pStyle w:val="Header"/>
      <w:tabs>
        <w:tab w:val="clear" w:pos="4320"/>
        <w:tab w:val="clear" w:pos="8640"/>
      </w:tabs>
      <w:rPr>
        <w:rFonts w:ascii="ITC Avant Garde Gothic" w:hAnsi="ITC Avant Garde Gothic"/>
        <w:sz w:val="18"/>
      </w:rPr>
    </w:pPr>
    <w:r w:rsidRPr="00C573AD">
      <w:rPr>
        <w:noProof/>
      </w:rPr>
      <w:pict>
        <v:shapetype id="_x0000_t202" coordsize="21600,21600" o:spt="202" path="m,l,21600r21600,l21600,xe">
          <v:stroke joinstyle="miter"/>
          <v:path gradientshapeok="t" o:connecttype="rect"/>
        </v:shapetype>
        <v:shape id="_x0000_s2053" type="#_x0000_t202" style="position:absolute;margin-left:86.9pt;margin-top:57.15pt;width:168.4pt;height:21.1pt;z-index:251655679" stroked="f">
          <v:textbox style="mso-next-textbox:#_x0000_s2053">
            <w:txbxContent>
              <w:p w:rsidR="00302CDC" w:rsidRPr="00302CDC" w:rsidRDefault="00302CDC">
                <w:pPr>
                  <w:rPr>
                    <w:rFonts w:ascii="Garamond" w:hAnsi="Garamond"/>
                    <w:i/>
                  </w:rPr>
                </w:pPr>
                <w:r w:rsidRPr="00302CDC">
                  <w:rPr>
                    <w:rFonts w:ascii="Garamond" w:hAnsi="Garamond"/>
                    <w:i/>
                  </w:rPr>
                  <w:t>Division of Economic Development</w:t>
                </w:r>
              </w:p>
            </w:txbxContent>
          </v:textbox>
        </v:shape>
      </w:pict>
    </w:r>
    <w:r w:rsidRPr="00C573AD">
      <w:rPr>
        <w:noProof/>
      </w:rPr>
      <w:pict>
        <v:shape id="_x0000_s2050" type="#_x0000_t202" style="position:absolute;margin-left:373.05pt;margin-top:20.05pt;width:153pt;height:48.85pt;z-index:251657728" filled="f" stroked="f">
          <v:textbox style="mso-next-textbox:#_x0000_s2050">
            <w:txbxContent>
              <w:p w:rsidR="00B4620A" w:rsidRPr="00BD3632" w:rsidRDefault="00B4620A" w:rsidP="00203ECE">
                <w:pPr>
                  <w:pStyle w:val="Header"/>
                  <w:tabs>
                    <w:tab w:val="clear" w:pos="4320"/>
                    <w:tab w:val="clear" w:pos="8640"/>
                    <w:tab w:val="center" w:pos="1260"/>
                    <w:tab w:val="center" w:pos="5490"/>
                    <w:tab w:val="center" w:pos="9630"/>
                  </w:tabs>
                  <w:jc w:val="right"/>
                  <w:rPr>
                    <w:rFonts w:ascii="Garamond" w:hAnsi="Garamond"/>
                    <w:b/>
                  </w:rPr>
                </w:pPr>
                <w:r>
                  <w:rPr>
                    <w:rFonts w:ascii="Garamond" w:hAnsi="Garamond"/>
                    <w:i/>
                  </w:rPr>
                  <w:t>Sean Parnell</w:t>
                </w:r>
                <w:r w:rsidRPr="00BD3632">
                  <w:rPr>
                    <w:rFonts w:ascii="Garamond" w:hAnsi="Garamond"/>
                    <w:i/>
                  </w:rPr>
                  <w:t>, Governor</w:t>
                </w:r>
                <w:r w:rsidRPr="00BD3632">
                  <w:rPr>
                    <w:rFonts w:ascii="Garamond" w:hAnsi="Garamond"/>
                    <w:i/>
                  </w:rPr>
                  <w:t> </w:t>
                </w:r>
                <w:r w:rsidRPr="00BD3632">
                  <w:rPr>
                    <w:rFonts w:ascii="Garamond" w:hAnsi="Garamond"/>
                    <w:i/>
                  </w:rPr>
                  <w:t> </w:t>
                </w:r>
              </w:p>
              <w:p w:rsidR="00302CDC" w:rsidRDefault="00B4620A" w:rsidP="008168C1">
                <w:pPr>
                  <w:pStyle w:val="Header"/>
                  <w:tabs>
                    <w:tab w:val="center" w:pos="1260"/>
                    <w:tab w:val="center" w:pos="5490"/>
                    <w:tab w:val="center" w:pos="9810"/>
                  </w:tabs>
                  <w:jc w:val="right"/>
                  <w:rPr>
                    <w:rFonts w:ascii="Garamond" w:hAnsi="Garamond"/>
                    <w:i/>
                  </w:rPr>
                </w:pPr>
                <w:r>
                  <w:rPr>
                    <w:rFonts w:ascii="Garamond" w:hAnsi="Garamond"/>
                    <w:i/>
                  </w:rPr>
                  <w:t>Susan K. Bell</w:t>
                </w:r>
                <w:r w:rsidRPr="00BD3632">
                  <w:rPr>
                    <w:rFonts w:ascii="Garamond" w:hAnsi="Garamond"/>
                    <w:i/>
                  </w:rPr>
                  <w:t>, Commissioner</w:t>
                </w:r>
              </w:p>
              <w:p w:rsidR="00B4620A" w:rsidRPr="00FD0D2B" w:rsidRDefault="00302CDC" w:rsidP="008168C1">
                <w:pPr>
                  <w:pStyle w:val="Header"/>
                  <w:tabs>
                    <w:tab w:val="center" w:pos="1260"/>
                    <w:tab w:val="center" w:pos="5490"/>
                    <w:tab w:val="center" w:pos="9810"/>
                  </w:tabs>
                  <w:jc w:val="right"/>
                  <w:rPr>
                    <w:rFonts w:ascii="Garamond" w:hAnsi="Garamond"/>
                    <w:i/>
                  </w:rPr>
                </w:pPr>
                <w:r>
                  <w:rPr>
                    <w:rFonts w:ascii="Garamond" w:hAnsi="Garamond"/>
                    <w:i/>
                  </w:rPr>
                  <w:t>Wanetta Ayers, Director</w:t>
                </w:r>
                <w:r w:rsidR="00B4620A" w:rsidRPr="00BD3632">
                  <w:rPr>
                    <w:rFonts w:ascii="Garamond" w:eastAsia="Arial Unicode MS" w:hAnsi="Arial Unicode MS" w:cs="Arial Unicode MS"/>
                    <w:i/>
                  </w:rPr>
                  <w:t> </w:t>
                </w:r>
                <w:r w:rsidR="00B4620A" w:rsidRPr="00BD3632">
                  <w:rPr>
                    <w:rFonts w:ascii="Garamond" w:eastAsia="Arial Unicode MS" w:hAnsi="Arial Unicode MS" w:cs="Arial Unicode MS"/>
                    <w:i/>
                  </w:rPr>
                  <w:t> </w:t>
                </w:r>
                <w:r w:rsidR="00B4620A" w:rsidRPr="00BD3632">
                  <w:rPr>
                    <w:rFonts w:ascii="Garamond" w:hAnsi="Garamond"/>
                    <w:i/>
                  </w:rPr>
                  <w:t> </w:t>
                </w:r>
                <w:r w:rsidR="00B4620A" w:rsidRPr="00BD3632">
                  <w:rPr>
                    <w:rFonts w:ascii="Garamond" w:hAnsi="Garamond"/>
                    <w:i/>
                  </w:rPr>
                  <w:t> </w:t>
                </w:r>
              </w:p>
              <w:p w:rsidR="00B4620A" w:rsidRPr="004D045E" w:rsidRDefault="00B4620A" w:rsidP="00203ECE"/>
            </w:txbxContent>
          </v:textbox>
          <w10:wrap type="square"/>
        </v:shape>
      </w:pict>
    </w:r>
    <w:r w:rsidRPr="00C573AD">
      <w:rPr>
        <w:rFonts w:ascii="Garamond" w:hAnsi="Garamond"/>
        <w:b/>
        <w:noProof/>
        <w:sz w:val="16"/>
      </w:rPr>
      <w:pict>
        <v:line id="_x0000_s2049" style="position:absolute;z-index:251656704" from="92.75pt,58.9pt" to="525.6pt,58.9pt" strokeweight=".5pt"/>
      </w:pict>
    </w:r>
    <w:r w:rsidRPr="00C573AD">
      <w:rPr>
        <w:rFonts w:ascii="Garamond" w:hAnsi="Garamond"/>
        <w:b/>
        <w:noProof/>
        <w:sz w:val="16"/>
      </w:rPr>
      <w:pict>
        <v:shape id="_x0000_s2051" type="#_x0000_t202" style="position:absolute;margin-left:84.6pt;margin-top:4.9pt;width:135pt;height:54.2pt;z-index:251658752" filled="f" stroked="f">
          <v:textbox style="mso-next-textbox:#_x0000_s2051">
            <w:txbxContent>
              <w:p w:rsidR="00B4620A" w:rsidRDefault="00B4620A" w:rsidP="00203ECE">
                <w:r>
                  <w:rPr>
                    <w:rFonts w:ascii="Garamond" w:hAnsi="Garamond"/>
                    <w:b/>
                    <w:noProof/>
                    <w:sz w:val="16"/>
                  </w:rPr>
                  <w:drawing>
                    <wp:inline distT="0" distB="0" distL="0" distR="0">
                      <wp:extent cx="1415415" cy="596265"/>
                      <wp:effectExtent l="19050" t="0" r="0" b="0"/>
                      <wp:docPr id="2" name="Picture 2" descr="dcced_TEXT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ed_TEXT_BLOCK"/>
                              <pic:cNvPicPr>
                                <a:picLocks noChangeAspect="1" noChangeArrowheads="1"/>
                              </pic:cNvPicPr>
                            </pic:nvPicPr>
                            <pic:blipFill>
                              <a:blip r:embed="rId1"/>
                              <a:srcRect/>
                              <a:stretch>
                                <a:fillRect/>
                              </a:stretch>
                            </pic:blipFill>
                            <pic:spPr bwMode="auto">
                              <a:xfrm>
                                <a:off x="0" y="0"/>
                                <a:ext cx="1415415" cy="596265"/>
                              </a:xfrm>
                              <a:prstGeom prst="rect">
                                <a:avLst/>
                              </a:prstGeom>
                              <a:noFill/>
                              <a:ln w="9525">
                                <a:noFill/>
                                <a:miter lim="800000"/>
                                <a:headEnd/>
                                <a:tailEnd/>
                              </a:ln>
                            </pic:spPr>
                          </pic:pic>
                        </a:graphicData>
                      </a:graphic>
                    </wp:inline>
                  </w:drawing>
                </w:r>
              </w:p>
            </w:txbxContent>
          </v:textbox>
        </v:shape>
      </w:pict>
    </w:r>
    <w:r w:rsidR="00B4620A">
      <w:rPr>
        <w:noProof/>
      </w:rPr>
      <w:drawing>
        <wp:inline distT="0" distB="0" distL="0" distR="0">
          <wp:extent cx="1057275" cy="1089025"/>
          <wp:effectExtent l="19050" t="0" r="9525" b="0"/>
          <wp:docPr id="1" name="Picture 1" descr="se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3"/>
                  <pic:cNvPicPr>
                    <a:picLocks noChangeAspect="1" noChangeArrowheads="1"/>
                  </pic:cNvPicPr>
                </pic:nvPicPr>
                <pic:blipFill>
                  <a:blip r:embed="rId2"/>
                  <a:srcRect/>
                  <a:stretch>
                    <a:fillRect/>
                  </a:stretch>
                </pic:blipFill>
                <pic:spPr bwMode="auto">
                  <a:xfrm>
                    <a:off x="0" y="0"/>
                    <a:ext cx="1057275" cy="108902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20A" w:rsidRPr="004D045E" w:rsidRDefault="00B4620A" w:rsidP="00945F11">
    <w:pPr>
      <w:pStyle w:val="Header"/>
      <w:tabs>
        <w:tab w:val="clear" w:pos="4320"/>
        <w:tab w:val="clear" w:pos="8640"/>
        <w:tab w:val="left" w:pos="10426"/>
      </w:tabs>
      <w:rPr>
        <w:rFonts w:ascii="Book Antiqua" w:hAnsi="Book Antiqua"/>
        <w:b/>
      </w:rPr>
    </w:pPr>
    <w:r w:rsidRPr="004D045E">
      <w:rPr>
        <w:rFonts w:ascii="Book Antiqua" w:hAnsi="Book Antiqua"/>
        <w:b/>
      </w:rPr>
      <w:t>Department of Commerce, Community and Economic Development</w:t>
    </w:r>
  </w:p>
  <w:p w:rsidR="00B4620A" w:rsidRPr="00F35F2E" w:rsidRDefault="00B4620A" w:rsidP="00F35F2E">
    <w:pPr>
      <w:pStyle w:val="Header"/>
      <w:tabs>
        <w:tab w:val="clear" w:pos="4320"/>
        <w:tab w:val="clear" w:pos="8640"/>
        <w:tab w:val="right" w:pos="10350"/>
      </w:tabs>
      <w:rPr>
        <w:rFonts w:ascii="Book Antiqua" w:hAnsi="Book Antiqua"/>
        <w:sz w:val="22"/>
        <w:szCs w:val="22"/>
      </w:rPr>
    </w:pPr>
    <w:r w:rsidRPr="004D045E">
      <w:rPr>
        <w:rFonts w:ascii="Book Antiqua" w:hAnsi="Book Antiqua"/>
        <w:sz w:val="22"/>
        <w:szCs w:val="22"/>
      </w:rPr>
      <w:t xml:space="preserve">State of </w:t>
    </w:r>
    <w:smartTag w:uri="urn:schemas-microsoft-com:office:smarttags" w:element="place">
      <w:smartTag w:uri="urn:schemas-microsoft-com:office:smarttags" w:element="State">
        <w:r w:rsidRPr="004D045E">
          <w:rPr>
            <w:rFonts w:ascii="Book Antiqua" w:hAnsi="Book Antiqua"/>
            <w:sz w:val="22"/>
            <w:szCs w:val="22"/>
          </w:rPr>
          <w:t>Alaska</w:t>
        </w:r>
      </w:smartTag>
    </w:smartTag>
    <w:r>
      <w:rPr>
        <w:rFonts w:ascii="Book Antiqua" w:hAnsi="Book Antiqua"/>
        <w:sz w:val="22"/>
        <w:szCs w:val="22"/>
      </w:rPr>
      <w:t xml:space="preserve"> </w:t>
    </w:r>
    <w:r>
      <w:rPr>
        <w:rFonts w:ascii="Book Antiqua" w:hAnsi="Book Antiqua"/>
        <w:sz w:val="22"/>
        <w:szCs w:val="22"/>
      </w:rPr>
      <w:tab/>
      <w:t>P</w:t>
    </w:r>
    <w:r>
      <w:t xml:space="preserve">age </w:t>
    </w:r>
    <w:fldSimple w:instr=" PAGE ">
      <w:r w:rsidR="00E054BC">
        <w:rPr>
          <w:noProof/>
        </w:rPr>
        <w:t>2</w:t>
      </w:r>
    </w:fldSimple>
    <w:r>
      <w:t xml:space="preserve"> </w:t>
    </w:r>
  </w:p>
  <w:p w:rsidR="00B4620A" w:rsidRPr="00AB013D" w:rsidRDefault="00B4620A" w:rsidP="00945F11">
    <w:pPr>
      <w:pStyle w:val="Header"/>
      <w:tabs>
        <w:tab w:val="clear" w:pos="4320"/>
        <w:tab w:val="clear" w:pos="8640"/>
        <w:tab w:val="center" w:pos="5400"/>
      </w:tabs>
    </w:pPr>
  </w:p>
  <w:p w:rsidR="00B4620A" w:rsidRPr="00945F11" w:rsidRDefault="00B4620A" w:rsidP="00945F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76AE706"/>
    <w:lvl w:ilvl="0">
      <w:start w:val="1"/>
      <w:numFmt w:val="decimal"/>
      <w:lvlText w:val="%1."/>
      <w:lvlJc w:val="left"/>
      <w:pPr>
        <w:tabs>
          <w:tab w:val="num" w:pos="1800"/>
        </w:tabs>
        <w:ind w:left="1800" w:hanging="360"/>
      </w:pPr>
    </w:lvl>
  </w:abstractNum>
  <w:abstractNum w:abstractNumId="1">
    <w:nsid w:val="FFFFFF7D"/>
    <w:multiLevelType w:val="singleLevel"/>
    <w:tmpl w:val="1666BB5C"/>
    <w:lvl w:ilvl="0">
      <w:start w:val="1"/>
      <w:numFmt w:val="decimal"/>
      <w:lvlText w:val="%1."/>
      <w:lvlJc w:val="left"/>
      <w:pPr>
        <w:tabs>
          <w:tab w:val="num" w:pos="1440"/>
        </w:tabs>
        <w:ind w:left="1440" w:hanging="360"/>
      </w:pPr>
    </w:lvl>
  </w:abstractNum>
  <w:abstractNum w:abstractNumId="2">
    <w:nsid w:val="FFFFFF7E"/>
    <w:multiLevelType w:val="singleLevel"/>
    <w:tmpl w:val="E2BE39AC"/>
    <w:lvl w:ilvl="0">
      <w:start w:val="1"/>
      <w:numFmt w:val="decimal"/>
      <w:lvlText w:val="%1."/>
      <w:lvlJc w:val="left"/>
      <w:pPr>
        <w:tabs>
          <w:tab w:val="num" w:pos="1080"/>
        </w:tabs>
        <w:ind w:left="1080" w:hanging="360"/>
      </w:pPr>
    </w:lvl>
  </w:abstractNum>
  <w:abstractNum w:abstractNumId="3">
    <w:nsid w:val="FFFFFF7F"/>
    <w:multiLevelType w:val="singleLevel"/>
    <w:tmpl w:val="3DA41E5C"/>
    <w:lvl w:ilvl="0">
      <w:start w:val="1"/>
      <w:numFmt w:val="decimal"/>
      <w:lvlText w:val="%1."/>
      <w:lvlJc w:val="left"/>
      <w:pPr>
        <w:tabs>
          <w:tab w:val="num" w:pos="720"/>
        </w:tabs>
        <w:ind w:left="720" w:hanging="360"/>
      </w:pPr>
    </w:lvl>
  </w:abstractNum>
  <w:abstractNum w:abstractNumId="4">
    <w:nsid w:val="FFFFFF80"/>
    <w:multiLevelType w:val="singleLevel"/>
    <w:tmpl w:val="4C7CA6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ABEE62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A8A0D6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64AEC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FEE6A52"/>
    <w:lvl w:ilvl="0">
      <w:start w:val="1"/>
      <w:numFmt w:val="decimal"/>
      <w:lvlText w:val="%1."/>
      <w:lvlJc w:val="left"/>
      <w:pPr>
        <w:tabs>
          <w:tab w:val="num" w:pos="360"/>
        </w:tabs>
        <w:ind w:left="360" w:hanging="360"/>
      </w:pPr>
    </w:lvl>
  </w:abstractNum>
  <w:abstractNum w:abstractNumId="9">
    <w:nsid w:val="FFFFFF89"/>
    <w:multiLevelType w:val="singleLevel"/>
    <w:tmpl w:val="D832778A"/>
    <w:lvl w:ilvl="0">
      <w:start w:val="1"/>
      <w:numFmt w:val="bullet"/>
      <w:lvlText w:val=""/>
      <w:lvlJc w:val="left"/>
      <w:pPr>
        <w:tabs>
          <w:tab w:val="num" w:pos="360"/>
        </w:tabs>
        <w:ind w:left="360" w:hanging="360"/>
      </w:pPr>
      <w:rPr>
        <w:rFonts w:ascii="Symbol" w:hAnsi="Symbol" w:hint="default"/>
      </w:rPr>
    </w:lvl>
  </w:abstractNum>
  <w:abstractNum w:abstractNumId="10">
    <w:nsid w:val="39105558"/>
    <w:multiLevelType w:val="hybridMultilevel"/>
    <w:tmpl w:val="C6426A50"/>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ocumentProtection w:edit="forms" w:formatting="1"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DA0257"/>
    <w:rsid w:val="000315F4"/>
    <w:rsid w:val="000332D7"/>
    <w:rsid w:val="000A1294"/>
    <w:rsid w:val="000A2D2A"/>
    <w:rsid w:val="0010259E"/>
    <w:rsid w:val="00117252"/>
    <w:rsid w:val="0013030F"/>
    <w:rsid w:val="0014549F"/>
    <w:rsid w:val="00157E39"/>
    <w:rsid w:val="00182524"/>
    <w:rsid w:val="00183743"/>
    <w:rsid w:val="001B288A"/>
    <w:rsid w:val="001F4534"/>
    <w:rsid w:val="00203ECE"/>
    <w:rsid w:val="00224C6C"/>
    <w:rsid w:val="00235A80"/>
    <w:rsid w:val="002E6ED0"/>
    <w:rsid w:val="002F320A"/>
    <w:rsid w:val="00302CDC"/>
    <w:rsid w:val="0030460D"/>
    <w:rsid w:val="00314963"/>
    <w:rsid w:val="0035213A"/>
    <w:rsid w:val="00373E34"/>
    <w:rsid w:val="003777CE"/>
    <w:rsid w:val="0037796B"/>
    <w:rsid w:val="003C6ECC"/>
    <w:rsid w:val="003E6BBF"/>
    <w:rsid w:val="00402145"/>
    <w:rsid w:val="00406FCA"/>
    <w:rsid w:val="004230E1"/>
    <w:rsid w:val="00434289"/>
    <w:rsid w:val="00453167"/>
    <w:rsid w:val="00494E6D"/>
    <w:rsid w:val="004A0643"/>
    <w:rsid w:val="004A7237"/>
    <w:rsid w:val="004B03D8"/>
    <w:rsid w:val="004E2D14"/>
    <w:rsid w:val="004E60F3"/>
    <w:rsid w:val="0052452F"/>
    <w:rsid w:val="00544F37"/>
    <w:rsid w:val="0055574E"/>
    <w:rsid w:val="00583044"/>
    <w:rsid w:val="00592C59"/>
    <w:rsid w:val="005E0596"/>
    <w:rsid w:val="0061165C"/>
    <w:rsid w:val="00611793"/>
    <w:rsid w:val="00673F36"/>
    <w:rsid w:val="0068300A"/>
    <w:rsid w:val="006B59D7"/>
    <w:rsid w:val="006C7629"/>
    <w:rsid w:val="006E5CC9"/>
    <w:rsid w:val="007449FE"/>
    <w:rsid w:val="00771493"/>
    <w:rsid w:val="00783A95"/>
    <w:rsid w:val="007F0653"/>
    <w:rsid w:val="007F3B97"/>
    <w:rsid w:val="008168C1"/>
    <w:rsid w:val="008204D9"/>
    <w:rsid w:val="00826D9E"/>
    <w:rsid w:val="00846F37"/>
    <w:rsid w:val="008519C2"/>
    <w:rsid w:val="00872318"/>
    <w:rsid w:val="00875E58"/>
    <w:rsid w:val="008816BF"/>
    <w:rsid w:val="008C72A7"/>
    <w:rsid w:val="008F6659"/>
    <w:rsid w:val="00902ABB"/>
    <w:rsid w:val="009066D9"/>
    <w:rsid w:val="00914024"/>
    <w:rsid w:val="00932779"/>
    <w:rsid w:val="00945F11"/>
    <w:rsid w:val="00946C5E"/>
    <w:rsid w:val="00972650"/>
    <w:rsid w:val="00972A33"/>
    <w:rsid w:val="00977832"/>
    <w:rsid w:val="00986B48"/>
    <w:rsid w:val="009A3EDD"/>
    <w:rsid w:val="009B2B4B"/>
    <w:rsid w:val="009C38B8"/>
    <w:rsid w:val="009E6FE3"/>
    <w:rsid w:val="009E7DF2"/>
    <w:rsid w:val="009F0699"/>
    <w:rsid w:val="009F0999"/>
    <w:rsid w:val="00A17E95"/>
    <w:rsid w:val="00A257EB"/>
    <w:rsid w:val="00A46D9C"/>
    <w:rsid w:val="00A54443"/>
    <w:rsid w:val="00A56F96"/>
    <w:rsid w:val="00AB4EC8"/>
    <w:rsid w:val="00AD1AB7"/>
    <w:rsid w:val="00B12091"/>
    <w:rsid w:val="00B12E7C"/>
    <w:rsid w:val="00B21955"/>
    <w:rsid w:val="00B4620A"/>
    <w:rsid w:val="00B470FE"/>
    <w:rsid w:val="00B6110F"/>
    <w:rsid w:val="00B640FC"/>
    <w:rsid w:val="00B67884"/>
    <w:rsid w:val="00B82C41"/>
    <w:rsid w:val="00B862AA"/>
    <w:rsid w:val="00BB02DA"/>
    <w:rsid w:val="00BC4700"/>
    <w:rsid w:val="00C07B75"/>
    <w:rsid w:val="00C17EE2"/>
    <w:rsid w:val="00C42164"/>
    <w:rsid w:val="00C573AD"/>
    <w:rsid w:val="00C611A0"/>
    <w:rsid w:val="00C8345A"/>
    <w:rsid w:val="00C9599D"/>
    <w:rsid w:val="00CB38A1"/>
    <w:rsid w:val="00CB4B8B"/>
    <w:rsid w:val="00CE2EED"/>
    <w:rsid w:val="00D25F46"/>
    <w:rsid w:val="00D724D7"/>
    <w:rsid w:val="00D740CF"/>
    <w:rsid w:val="00D8065F"/>
    <w:rsid w:val="00D82B8E"/>
    <w:rsid w:val="00D8349B"/>
    <w:rsid w:val="00D838AF"/>
    <w:rsid w:val="00DA0257"/>
    <w:rsid w:val="00DF5C98"/>
    <w:rsid w:val="00DF7EA4"/>
    <w:rsid w:val="00E01380"/>
    <w:rsid w:val="00E054BC"/>
    <w:rsid w:val="00E059CD"/>
    <w:rsid w:val="00E365E1"/>
    <w:rsid w:val="00E779AE"/>
    <w:rsid w:val="00E9219E"/>
    <w:rsid w:val="00ED3976"/>
    <w:rsid w:val="00EE443C"/>
    <w:rsid w:val="00F03F56"/>
    <w:rsid w:val="00F35F2E"/>
    <w:rsid w:val="00F76A56"/>
    <w:rsid w:val="00F92F67"/>
    <w:rsid w:val="00FB03D5"/>
    <w:rsid w:val="00FB3727"/>
    <w:rsid w:val="00FD0D2B"/>
    <w:rsid w:val="00FD4934"/>
    <w:rsid w:val="00FE524F"/>
    <w:rsid w:val="00FF57D3"/>
    <w:rsid w:val="00FF7E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2F67"/>
  </w:style>
  <w:style w:type="paragraph" w:styleId="Heading1">
    <w:name w:val="heading 1"/>
    <w:basedOn w:val="Normal"/>
    <w:next w:val="Normal"/>
    <w:qFormat/>
    <w:rsid w:val="00F92F67"/>
    <w:pPr>
      <w:keepNext/>
      <w:jc w:val="center"/>
      <w:outlineLvl w:val="0"/>
    </w:pPr>
    <w:rPr>
      <w:b/>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2F67"/>
    <w:pPr>
      <w:tabs>
        <w:tab w:val="center" w:pos="4320"/>
        <w:tab w:val="right" w:pos="8640"/>
      </w:tabs>
    </w:pPr>
  </w:style>
  <w:style w:type="paragraph" w:styleId="Footer">
    <w:name w:val="footer"/>
    <w:basedOn w:val="Normal"/>
    <w:rsid w:val="00F92F67"/>
    <w:pPr>
      <w:tabs>
        <w:tab w:val="center" w:pos="4320"/>
        <w:tab w:val="right" w:pos="8640"/>
      </w:tabs>
    </w:pPr>
  </w:style>
  <w:style w:type="character" w:styleId="Hyperlink">
    <w:name w:val="Hyperlink"/>
    <w:basedOn w:val="DefaultParagraphFont"/>
    <w:rsid w:val="00F92F67"/>
    <w:rPr>
      <w:color w:val="0000FF"/>
      <w:u w:val="single"/>
    </w:rPr>
  </w:style>
  <w:style w:type="paragraph" w:styleId="BalloonText">
    <w:name w:val="Balloon Text"/>
    <w:basedOn w:val="Normal"/>
    <w:link w:val="BalloonTextChar"/>
    <w:rsid w:val="009F0699"/>
    <w:rPr>
      <w:rFonts w:ascii="Tahoma" w:hAnsi="Tahoma" w:cs="Tahoma"/>
      <w:sz w:val="16"/>
      <w:szCs w:val="16"/>
    </w:rPr>
  </w:style>
  <w:style w:type="character" w:customStyle="1" w:styleId="BalloonTextChar">
    <w:name w:val="Balloon Text Char"/>
    <w:basedOn w:val="DefaultParagraphFont"/>
    <w:link w:val="BalloonText"/>
    <w:rsid w:val="009F0699"/>
    <w:rPr>
      <w:rFonts w:ascii="Tahoma" w:hAnsi="Tahoma" w:cs="Tahoma"/>
      <w:sz w:val="16"/>
      <w:szCs w:val="16"/>
    </w:rPr>
  </w:style>
  <w:style w:type="paragraph" w:styleId="NormalWeb">
    <w:name w:val="Normal (Web)"/>
    <w:basedOn w:val="Normal"/>
    <w:rsid w:val="000A1294"/>
    <w:pPr>
      <w:spacing w:before="100" w:beforeAutospacing="1" w:after="100" w:afterAutospacing="1"/>
    </w:pPr>
    <w:rPr>
      <w:sz w:val="24"/>
      <w:szCs w:val="24"/>
    </w:rPr>
  </w:style>
  <w:style w:type="paragraph" w:styleId="ListParagraph">
    <w:name w:val="List Paragraph"/>
    <w:basedOn w:val="Normal"/>
    <w:uiPriority w:val="34"/>
    <w:qFormat/>
    <w:rsid w:val="00771493"/>
    <w:pPr>
      <w:ind w:left="720"/>
    </w:pPr>
    <w:rPr>
      <w:rFonts w:ascii="Calibri" w:eastAsiaTheme="minorHAnsi" w:hAnsi="Calibri"/>
      <w:sz w:val="22"/>
      <w:szCs w:val="22"/>
    </w:rPr>
  </w:style>
  <w:style w:type="paragraph" w:styleId="HTMLPreformatted">
    <w:name w:val="HTML Preformatted"/>
    <w:basedOn w:val="Normal"/>
    <w:link w:val="HTMLPreformattedChar"/>
    <w:uiPriority w:val="99"/>
    <w:unhideWhenUsed/>
    <w:rsid w:val="00771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77149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544831755">
      <w:bodyDiv w:val="1"/>
      <w:marLeft w:val="0"/>
      <w:marRight w:val="0"/>
      <w:marTop w:val="0"/>
      <w:marBottom w:val="0"/>
      <w:divBdr>
        <w:top w:val="none" w:sz="0" w:space="0" w:color="auto"/>
        <w:left w:val="none" w:sz="0" w:space="0" w:color="auto"/>
        <w:bottom w:val="none" w:sz="0" w:space="0" w:color="auto"/>
        <w:right w:val="none" w:sz="0" w:space="0" w:color="auto"/>
      </w:divBdr>
    </w:div>
    <w:div w:id="937522392">
      <w:bodyDiv w:val="1"/>
      <w:marLeft w:val="0"/>
      <w:marRight w:val="0"/>
      <w:marTop w:val="0"/>
      <w:marBottom w:val="0"/>
      <w:divBdr>
        <w:top w:val="none" w:sz="0" w:space="0" w:color="auto"/>
        <w:left w:val="none" w:sz="0" w:space="0" w:color="auto"/>
        <w:bottom w:val="none" w:sz="0" w:space="0" w:color="auto"/>
        <w:right w:val="none" w:sz="0" w:space="0" w:color="auto"/>
      </w:divBdr>
    </w:div>
    <w:div w:id="114905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jayers.SOA\Application%20Data\Microsoft\Templates\DED_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91E59-5664-4136-9D86-46AD66191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DED_Memo</Template>
  <TotalTime>1</TotalTime>
  <Pages>1</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QQQ  F  A  X  QQQ	</vt:lpstr>
    </vt:vector>
  </TitlesOfParts>
  <Company>Department of Revenue</Company>
  <LinksUpToDate>false</LinksUpToDate>
  <CharactersWithSpaces>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QQQ  F  A  X  QQQ</dc:title>
  <dc:creator>wjayers</dc:creator>
  <cp:lastModifiedBy>Administrator</cp:lastModifiedBy>
  <cp:revision>4</cp:revision>
  <cp:lastPrinted>2011-03-15T16:44:00Z</cp:lastPrinted>
  <dcterms:created xsi:type="dcterms:W3CDTF">2011-03-15T01:41:00Z</dcterms:created>
  <dcterms:modified xsi:type="dcterms:W3CDTF">2011-03-15T16:44:00Z</dcterms:modified>
</cp:coreProperties>
</file>