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header4.xml" ContentType="application/vnd.openxmlformats-officedocument.wordprocessingml.header+xml"/>
  <Override PartName="/word/charts/chart1.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531FC5" w14:textId="77777777" w:rsidR="000627C7" w:rsidRPr="00031BAA" w:rsidRDefault="000627C7" w:rsidP="00AB168E">
      <w:pPr>
        <w:jc w:val="center"/>
        <w:rPr>
          <w:b/>
          <w:szCs w:val="22"/>
        </w:rPr>
      </w:pPr>
      <w:bookmarkStart w:id="0" w:name="_GoBack"/>
      <w:bookmarkEnd w:id="0"/>
      <w:r w:rsidRPr="00031BAA">
        <w:rPr>
          <w:rFonts w:ascii="Times New Roman Bold" w:hAnsi="Times New Roman Bold"/>
          <w:b/>
          <w:szCs w:val="22"/>
        </w:rPr>
        <w:t>Before</w:t>
      </w:r>
      <w:r w:rsidRPr="00031BAA">
        <w:rPr>
          <w:b/>
          <w:szCs w:val="22"/>
        </w:rPr>
        <w:t xml:space="preserve"> the</w:t>
      </w:r>
    </w:p>
    <w:p w14:paraId="4FF690CC" w14:textId="77777777" w:rsidR="000627C7" w:rsidRPr="00031BAA" w:rsidRDefault="000627C7" w:rsidP="00AB168E">
      <w:pPr>
        <w:jc w:val="center"/>
        <w:rPr>
          <w:rFonts w:ascii="Times New Roman Bold" w:hAnsi="Times New Roman Bold"/>
          <w:b/>
          <w:bCs/>
          <w:caps/>
          <w:szCs w:val="22"/>
        </w:rPr>
      </w:pPr>
      <w:r w:rsidRPr="00031BAA">
        <w:rPr>
          <w:rFonts w:ascii="Times New Roman Bold" w:hAnsi="Times New Roman Bold"/>
          <w:b/>
          <w:bCs/>
          <w:caps/>
          <w:szCs w:val="22"/>
        </w:rPr>
        <w:t>F</w:t>
      </w:r>
      <w:r w:rsidRPr="00031BAA">
        <w:rPr>
          <w:rFonts w:ascii="Times New Roman Bold" w:hAnsi="Times New Roman Bold"/>
          <w:b/>
          <w:bCs/>
          <w:szCs w:val="22"/>
        </w:rPr>
        <w:t>ederal Communications Commission</w:t>
      </w:r>
    </w:p>
    <w:p w14:paraId="411DBFD8" w14:textId="77777777" w:rsidR="000627C7" w:rsidRPr="00031BAA" w:rsidRDefault="000627C7" w:rsidP="00AB168E">
      <w:pPr>
        <w:jc w:val="center"/>
        <w:rPr>
          <w:rFonts w:ascii="Times New Roman Bold" w:hAnsi="Times New Roman Bold"/>
          <w:b/>
          <w:bCs/>
          <w:caps/>
          <w:szCs w:val="22"/>
        </w:rPr>
      </w:pPr>
      <w:r w:rsidRPr="00031BAA">
        <w:rPr>
          <w:rFonts w:ascii="Times New Roman Bold" w:hAnsi="Times New Roman Bold"/>
          <w:b/>
          <w:bCs/>
          <w:caps/>
          <w:szCs w:val="22"/>
        </w:rPr>
        <w:t>W</w:t>
      </w:r>
      <w:r w:rsidRPr="00031BAA">
        <w:rPr>
          <w:rFonts w:ascii="Times New Roman Bold" w:hAnsi="Times New Roman Bold"/>
          <w:b/>
          <w:bCs/>
          <w:szCs w:val="22"/>
        </w:rPr>
        <w:t>ashington</w:t>
      </w:r>
      <w:r w:rsidRPr="00031BAA">
        <w:rPr>
          <w:rFonts w:ascii="Times New Roman Bold" w:hAnsi="Times New Roman Bold"/>
          <w:b/>
          <w:bCs/>
          <w:caps/>
          <w:szCs w:val="22"/>
        </w:rPr>
        <w:t>, D.C. 20554</w:t>
      </w:r>
    </w:p>
    <w:p w14:paraId="2D55A43A" w14:textId="77777777" w:rsidR="000627C7" w:rsidRPr="00031BAA" w:rsidRDefault="000627C7" w:rsidP="00AB168E">
      <w:pPr>
        <w:rPr>
          <w:szCs w:val="22"/>
        </w:rPr>
      </w:pPr>
    </w:p>
    <w:tbl>
      <w:tblPr>
        <w:tblW w:w="0" w:type="auto"/>
        <w:tblLayout w:type="fixed"/>
        <w:tblLook w:val="0000" w:firstRow="0" w:lastRow="0" w:firstColumn="0" w:lastColumn="0" w:noHBand="0" w:noVBand="0"/>
      </w:tblPr>
      <w:tblGrid>
        <w:gridCol w:w="4698"/>
        <w:gridCol w:w="630"/>
        <w:gridCol w:w="4248"/>
      </w:tblGrid>
      <w:tr w:rsidR="000627C7" w:rsidRPr="00031BAA" w14:paraId="570C3AE8" w14:textId="77777777" w:rsidTr="004930D0">
        <w:tc>
          <w:tcPr>
            <w:tcW w:w="4698" w:type="dxa"/>
          </w:tcPr>
          <w:p w14:paraId="498A07FB" w14:textId="77777777" w:rsidR="000627C7" w:rsidRPr="00031BAA" w:rsidRDefault="000627C7" w:rsidP="00AB168E">
            <w:pPr>
              <w:tabs>
                <w:tab w:val="center" w:pos="4680"/>
              </w:tabs>
              <w:suppressAutoHyphens/>
              <w:rPr>
                <w:spacing w:val="-2"/>
                <w:szCs w:val="22"/>
              </w:rPr>
            </w:pPr>
            <w:r w:rsidRPr="00031BAA">
              <w:rPr>
                <w:spacing w:val="-2"/>
                <w:szCs w:val="22"/>
              </w:rPr>
              <w:t>In the Matter of</w:t>
            </w:r>
          </w:p>
          <w:p w14:paraId="4F6109E4" w14:textId="77777777" w:rsidR="000627C7" w:rsidRPr="00031BAA" w:rsidRDefault="000627C7" w:rsidP="00AB168E">
            <w:pPr>
              <w:tabs>
                <w:tab w:val="center" w:pos="4680"/>
              </w:tabs>
              <w:suppressAutoHyphens/>
              <w:rPr>
                <w:spacing w:val="-2"/>
                <w:szCs w:val="22"/>
              </w:rPr>
            </w:pPr>
          </w:p>
          <w:p w14:paraId="7BA5B3E3" w14:textId="77777777" w:rsidR="00457A2B" w:rsidRDefault="00457A2B">
            <w:pPr>
              <w:tabs>
                <w:tab w:val="center" w:pos="4680"/>
              </w:tabs>
              <w:suppressAutoHyphens/>
              <w:rPr>
                <w:spacing w:val="-2"/>
                <w:szCs w:val="22"/>
              </w:rPr>
            </w:pPr>
            <w:r>
              <w:rPr>
                <w:spacing w:val="-2"/>
                <w:szCs w:val="22"/>
              </w:rPr>
              <w:t xml:space="preserve">Modernizing the E-rate </w:t>
            </w:r>
          </w:p>
          <w:p w14:paraId="0E91EB0E" w14:textId="3F6A1D29" w:rsidR="00457A2B" w:rsidRPr="00031BAA" w:rsidRDefault="00457A2B">
            <w:pPr>
              <w:tabs>
                <w:tab w:val="center" w:pos="4680"/>
              </w:tabs>
              <w:suppressAutoHyphens/>
              <w:rPr>
                <w:spacing w:val="-2"/>
                <w:szCs w:val="22"/>
              </w:rPr>
            </w:pPr>
            <w:r>
              <w:rPr>
                <w:spacing w:val="-2"/>
                <w:szCs w:val="22"/>
              </w:rPr>
              <w:t>Program for Schools and Libraries</w:t>
            </w:r>
          </w:p>
        </w:tc>
        <w:tc>
          <w:tcPr>
            <w:tcW w:w="630" w:type="dxa"/>
          </w:tcPr>
          <w:p w14:paraId="0EF335D5" w14:textId="77777777" w:rsidR="000627C7" w:rsidRPr="00031BAA" w:rsidRDefault="000627C7" w:rsidP="00AB168E">
            <w:pPr>
              <w:tabs>
                <w:tab w:val="center" w:pos="4680"/>
              </w:tabs>
              <w:suppressAutoHyphens/>
              <w:rPr>
                <w:b/>
                <w:spacing w:val="-2"/>
                <w:szCs w:val="22"/>
              </w:rPr>
            </w:pPr>
            <w:r w:rsidRPr="00031BAA">
              <w:rPr>
                <w:b/>
                <w:spacing w:val="-2"/>
                <w:szCs w:val="22"/>
              </w:rPr>
              <w:t>)</w:t>
            </w:r>
          </w:p>
          <w:p w14:paraId="2364D345" w14:textId="77777777" w:rsidR="000627C7" w:rsidRPr="00031BAA" w:rsidRDefault="000627C7" w:rsidP="00AB168E">
            <w:pPr>
              <w:tabs>
                <w:tab w:val="center" w:pos="4680"/>
              </w:tabs>
              <w:suppressAutoHyphens/>
              <w:rPr>
                <w:b/>
                <w:spacing w:val="-2"/>
                <w:szCs w:val="22"/>
              </w:rPr>
            </w:pPr>
            <w:r w:rsidRPr="00031BAA">
              <w:rPr>
                <w:b/>
                <w:spacing w:val="-2"/>
                <w:szCs w:val="22"/>
              </w:rPr>
              <w:t>)</w:t>
            </w:r>
          </w:p>
          <w:p w14:paraId="6E09BBF4" w14:textId="77777777" w:rsidR="000627C7" w:rsidRPr="00031BAA" w:rsidRDefault="000627C7" w:rsidP="00AB168E">
            <w:pPr>
              <w:tabs>
                <w:tab w:val="center" w:pos="4680"/>
              </w:tabs>
              <w:suppressAutoHyphens/>
              <w:rPr>
                <w:b/>
                <w:spacing w:val="-2"/>
                <w:szCs w:val="22"/>
              </w:rPr>
            </w:pPr>
            <w:r w:rsidRPr="00031BAA">
              <w:rPr>
                <w:b/>
                <w:spacing w:val="-2"/>
                <w:szCs w:val="22"/>
              </w:rPr>
              <w:t>)</w:t>
            </w:r>
          </w:p>
          <w:p w14:paraId="067C8132" w14:textId="77777777" w:rsidR="000627C7" w:rsidRPr="00031BAA" w:rsidRDefault="000627C7" w:rsidP="00AB168E">
            <w:pPr>
              <w:tabs>
                <w:tab w:val="center" w:pos="4680"/>
              </w:tabs>
              <w:suppressAutoHyphens/>
              <w:rPr>
                <w:b/>
                <w:spacing w:val="-2"/>
                <w:szCs w:val="22"/>
              </w:rPr>
            </w:pPr>
            <w:r w:rsidRPr="00031BAA">
              <w:rPr>
                <w:b/>
                <w:spacing w:val="-2"/>
                <w:szCs w:val="22"/>
              </w:rPr>
              <w:t>)</w:t>
            </w:r>
          </w:p>
          <w:p w14:paraId="6328885C" w14:textId="037E33CD" w:rsidR="000627C7" w:rsidRPr="00031BAA" w:rsidRDefault="000627C7" w:rsidP="00AB168E">
            <w:pPr>
              <w:tabs>
                <w:tab w:val="center" w:pos="4680"/>
              </w:tabs>
              <w:suppressAutoHyphens/>
              <w:rPr>
                <w:b/>
                <w:spacing w:val="-2"/>
                <w:szCs w:val="22"/>
              </w:rPr>
            </w:pPr>
          </w:p>
        </w:tc>
        <w:tc>
          <w:tcPr>
            <w:tcW w:w="4248" w:type="dxa"/>
          </w:tcPr>
          <w:p w14:paraId="25040AE3" w14:textId="77777777" w:rsidR="000627C7" w:rsidRPr="00031BAA" w:rsidRDefault="000627C7" w:rsidP="00AB168E">
            <w:pPr>
              <w:tabs>
                <w:tab w:val="center" w:pos="4680"/>
              </w:tabs>
              <w:suppressAutoHyphens/>
              <w:rPr>
                <w:spacing w:val="-2"/>
                <w:szCs w:val="22"/>
                <w:lang w:val="sv-SE"/>
              </w:rPr>
            </w:pPr>
          </w:p>
          <w:p w14:paraId="27227BA9" w14:textId="77777777" w:rsidR="000627C7" w:rsidRPr="00031BAA" w:rsidRDefault="000627C7" w:rsidP="00AB168E">
            <w:pPr>
              <w:tabs>
                <w:tab w:val="center" w:pos="4680"/>
              </w:tabs>
              <w:suppressAutoHyphens/>
              <w:rPr>
                <w:spacing w:val="-2"/>
                <w:szCs w:val="22"/>
                <w:lang w:val="sv-SE"/>
              </w:rPr>
            </w:pPr>
          </w:p>
          <w:p w14:paraId="13C93AE6" w14:textId="37173FDE" w:rsidR="000627C7" w:rsidRPr="00031BAA" w:rsidRDefault="00990898" w:rsidP="00AB168E">
            <w:pPr>
              <w:tabs>
                <w:tab w:val="center" w:pos="4680"/>
              </w:tabs>
              <w:suppressAutoHyphens/>
              <w:rPr>
                <w:spacing w:val="-2"/>
                <w:szCs w:val="22"/>
                <w:lang w:val="sv-SE"/>
              </w:rPr>
            </w:pPr>
            <w:r>
              <w:rPr>
                <w:spacing w:val="-2"/>
                <w:szCs w:val="22"/>
                <w:lang w:val="sv-SE"/>
              </w:rPr>
              <w:t>WC Docket No. 13-184</w:t>
            </w:r>
          </w:p>
          <w:p w14:paraId="29E540A1" w14:textId="77777777" w:rsidR="000627C7" w:rsidRPr="00031BAA" w:rsidRDefault="000627C7" w:rsidP="00AB168E">
            <w:pPr>
              <w:tabs>
                <w:tab w:val="center" w:pos="4680"/>
              </w:tabs>
              <w:suppressAutoHyphens/>
              <w:rPr>
                <w:spacing w:val="-2"/>
                <w:szCs w:val="22"/>
                <w:lang w:val="sv-SE"/>
              </w:rPr>
            </w:pPr>
          </w:p>
          <w:p w14:paraId="5AED275E" w14:textId="718D9F91" w:rsidR="000627C7" w:rsidRPr="00031BAA" w:rsidRDefault="000627C7" w:rsidP="00AB168E">
            <w:pPr>
              <w:tabs>
                <w:tab w:val="center" w:pos="4680"/>
              </w:tabs>
              <w:suppressAutoHyphens/>
              <w:rPr>
                <w:spacing w:val="-2"/>
                <w:szCs w:val="22"/>
                <w:lang w:val="sv-SE"/>
              </w:rPr>
            </w:pPr>
          </w:p>
        </w:tc>
      </w:tr>
    </w:tbl>
    <w:p w14:paraId="55CDC8CF" w14:textId="77777777" w:rsidR="00F54676" w:rsidRDefault="00F54676" w:rsidP="00F54676">
      <w:pPr>
        <w:jc w:val="center"/>
        <w:rPr>
          <w:b/>
          <w:bCs/>
          <w:caps/>
          <w:szCs w:val="22"/>
        </w:rPr>
      </w:pPr>
    </w:p>
    <w:p w14:paraId="1D0B8D46" w14:textId="77777777" w:rsidR="00F54676" w:rsidRDefault="00F54676" w:rsidP="00F54676">
      <w:pPr>
        <w:jc w:val="center"/>
        <w:rPr>
          <w:b/>
          <w:bCs/>
          <w:caps/>
          <w:szCs w:val="22"/>
        </w:rPr>
      </w:pPr>
      <w:r>
        <w:rPr>
          <w:b/>
          <w:bCs/>
          <w:caps/>
          <w:szCs w:val="22"/>
        </w:rPr>
        <w:t>Notice of Proposed Rulemaking</w:t>
      </w:r>
    </w:p>
    <w:p w14:paraId="5F378B2C" w14:textId="77777777" w:rsidR="00F54676" w:rsidRDefault="00F54676" w:rsidP="00AB168E">
      <w:pPr>
        <w:tabs>
          <w:tab w:val="left" w:pos="-720"/>
        </w:tabs>
        <w:suppressAutoHyphens/>
        <w:spacing w:line="225" w:lineRule="auto"/>
        <w:rPr>
          <w:spacing w:val="-2"/>
          <w:szCs w:val="22"/>
        </w:rPr>
      </w:pPr>
    </w:p>
    <w:p w14:paraId="38663C55" w14:textId="3C20C6D5" w:rsidR="0029626B" w:rsidRDefault="0029626B" w:rsidP="0029626B">
      <w:pPr>
        <w:tabs>
          <w:tab w:val="left" w:pos="720"/>
          <w:tab w:val="left" w:pos="5760"/>
        </w:tabs>
        <w:suppressAutoHyphens/>
        <w:spacing w:line="227" w:lineRule="auto"/>
        <w:rPr>
          <w:spacing w:val="-2"/>
        </w:rPr>
      </w:pPr>
      <w:r>
        <w:rPr>
          <w:b/>
          <w:spacing w:val="-2"/>
        </w:rPr>
        <w:t xml:space="preserve">Adopted:  </w:t>
      </w:r>
      <w:r w:rsidR="00B753FA">
        <w:rPr>
          <w:b/>
          <w:spacing w:val="-2"/>
        </w:rPr>
        <w:t>July 19, 2013</w:t>
      </w:r>
      <w:r>
        <w:rPr>
          <w:b/>
          <w:spacing w:val="-2"/>
        </w:rPr>
        <w:tab/>
      </w:r>
      <w:r>
        <w:rPr>
          <w:b/>
          <w:spacing w:val="-2"/>
        </w:rPr>
        <w:tab/>
        <w:t xml:space="preserve">    </w:t>
      </w:r>
      <w:r w:rsidR="00721751">
        <w:rPr>
          <w:b/>
          <w:spacing w:val="-2"/>
        </w:rPr>
        <w:t xml:space="preserve">       </w:t>
      </w:r>
      <w:r>
        <w:rPr>
          <w:b/>
          <w:spacing w:val="-2"/>
        </w:rPr>
        <w:t xml:space="preserve"> Released:  </w:t>
      </w:r>
      <w:r w:rsidR="00F20B24">
        <w:rPr>
          <w:b/>
          <w:spacing w:val="-2"/>
        </w:rPr>
        <w:t>July 23, 2013</w:t>
      </w:r>
    </w:p>
    <w:p w14:paraId="45255B3A" w14:textId="77777777" w:rsidR="0029626B" w:rsidRDefault="0029626B" w:rsidP="0029626B"/>
    <w:p w14:paraId="45298B73" w14:textId="352F3C80" w:rsidR="0029626B" w:rsidRDefault="0029626B" w:rsidP="0029626B">
      <w:pPr>
        <w:rPr>
          <w:b/>
          <w:bCs/>
          <w:szCs w:val="22"/>
        </w:rPr>
      </w:pPr>
      <w:r>
        <w:rPr>
          <w:b/>
          <w:bCs/>
          <w:szCs w:val="22"/>
        </w:rPr>
        <w:t xml:space="preserve">Comment Date: </w:t>
      </w:r>
      <w:r w:rsidR="000777BF">
        <w:rPr>
          <w:b/>
          <w:bCs/>
          <w:szCs w:val="22"/>
        </w:rPr>
        <w:t>September 16, 2013</w:t>
      </w:r>
    </w:p>
    <w:p w14:paraId="65D78A46" w14:textId="1954F49D" w:rsidR="0029626B" w:rsidRDefault="0029626B" w:rsidP="0029626B">
      <w:pPr>
        <w:rPr>
          <w:rFonts w:ascii="Arial" w:hAnsi="Arial" w:cs="Arial"/>
          <w:sz w:val="20"/>
        </w:rPr>
      </w:pPr>
      <w:r>
        <w:rPr>
          <w:b/>
          <w:bCs/>
          <w:szCs w:val="22"/>
        </w:rPr>
        <w:t xml:space="preserve">Reply Comment Date: </w:t>
      </w:r>
      <w:r w:rsidR="000777BF">
        <w:rPr>
          <w:b/>
          <w:bCs/>
          <w:szCs w:val="22"/>
        </w:rPr>
        <w:t>October 16, 2013</w:t>
      </w:r>
    </w:p>
    <w:p w14:paraId="18E094EC" w14:textId="77777777" w:rsidR="0029626B" w:rsidRDefault="0029626B" w:rsidP="0029626B"/>
    <w:p w14:paraId="7ABDCE04" w14:textId="1B95F6FF" w:rsidR="0029626B" w:rsidRDefault="00B753FA" w:rsidP="0029626B">
      <w:pPr>
        <w:ind w:left="1980" w:hanging="1980"/>
        <w:rPr>
          <w:spacing w:val="-2"/>
        </w:rPr>
      </w:pPr>
      <w:r w:rsidRPr="00B753FA">
        <w:t>By the Commission:  Acting Chairwoman Clyburn and Commission</w:t>
      </w:r>
      <w:r w:rsidR="000D258F">
        <w:t xml:space="preserve">ers Rosenworcel and Pai </w:t>
      </w:r>
      <w:r>
        <w:t>issuing</w:t>
      </w:r>
      <w:r w:rsidR="000D258F">
        <w:t xml:space="preserve"> </w:t>
      </w:r>
      <w:r w:rsidRPr="00B753FA">
        <w:t>separate statements.</w:t>
      </w:r>
    </w:p>
    <w:p w14:paraId="1672C343" w14:textId="19D74C7E" w:rsidR="00F05D69" w:rsidRDefault="00302032" w:rsidP="00302032">
      <w:pPr>
        <w:pStyle w:val="TOCTitle"/>
      </w:pPr>
      <w:bookmarkStart w:id="1" w:name="TOChere"/>
      <w:bookmarkStart w:id="2" w:name="_Toc352078305"/>
      <w:bookmarkStart w:id="3" w:name="_Toc352078357"/>
      <w:bookmarkStart w:id="4" w:name="_Toc352078419"/>
      <w:bookmarkStart w:id="5" w:name="_Toc352079010"/>
      <w:bookmarkStart w:id="6" w:name="_Toc352080371"/>
      <w:bookmarkStart w:id="7" w:name="_Toc352139754"/>
      <w:bookmarkStart w:id="8" w:name="_Toc354478057"/>
      <w:bookmarkStart w:id="9" w:name="_Toc354478679"/>
      <w:bookmarkStart w:id="10" w:name="_Toc354660695"/>
      <w:bookmarkStart w:id="11" w:name="_Toc358208775"/>
      <w:bookmarkStart w:id="12" w:name="_Toc358210273"/>
      <w:bookmarkStart w:id="13" w:name="_Toc358210420"/>
      <w:bookmarkStart w:id="14" w:name="_Toc358210598"/>
      <w:bookmarkStart w:id="15" w:name="_Toc358210699"/>
      <w:bookmarkStart w:id="16" w:name="_Toc358213633"/>
      <w:bookmarkStart w:id="17" w:name="_Toc358213765"/>
      <w:bookmarkStart w:id="18" w:name="_Toc358301261"/>
      <w:bookmarkStart w:id="19" w:name="_Toc358720007"/>
      <w:bookmarkStart w:id="20" w:name="_Toc358971233"/>
      <w:bookmarkStart w:id="21" w:name="_Toc358974834"/>
      <w:bookmarkStart w:id="22" w:name="_Toc358975732"/>
      <w:bookmarkStart w:id="23" w:name="_Toc358975894"/>
      <w:bookmarkStart w:id="24" w:name="_Toc358976135"/>
      <w:bookmarkStart w:id="25" w:name="_Toc358980990"/>
      <w:bookmarkStart w:id="26" w:name="_Toc358981106"/>
      <w:bookmarkStart w:id="27" w:name="_Toc351647141"/>
      <w:bookmarkStart w:id="28" w:name="_Toc352064093"/>
      <w:bookmarkStart w:id="29" w:name="_Toc352064536"/>
      <w:r>
        <w:t>Table of Contents</w:t>
      </w:r>
    </w:p>
    <w:p w14:paraId="739E32D2" w14:textId="71EC27E6" w:rsidR="00302032" w:rsidRDefault="00302032" w:rsidP="00302032">
      <w:pPr>
        <w:pStyle w:val="Paratitle"/>
      </w:pPr>
      <w:r>
        <w:t>Heading</w:t>
      </w:r>
      <w:r>
        <w:tab/>
        <w:t>Paragraph #</w:t>
      </w:r>
      <w:bookmarkStart w:id="30" w:name="start_here"/>
      <w:bookmarkEnd w:id="30"/>
    </w:p>
    <w:p w14:paraId="6804E7F4" w14:textId="2BEC626A" w:rsidR="00302032" w:rsidRDefault="00302032" w:rsidP="00302032">
      <w:pPr>
        <w:pStyle w:val="TOC1"/>
        <w:rPr>
          <w:rFonts w:asciiTheme="minorHAnsi" w:eastAsiaTheme="minorEastAsia" w:hAnsiTheme="minorHAnsi" w:cstheme="minorBidi"/>
          <w:caps w:val="0"/>
          <w:szCs w:val="22"/>
        </w:rPr>
      </w:pPr>
      <w:r>
        <w:t>I.</w:t>
      </w:r>
      <w:r>
        <w:rPr>
          <w:rFonts w:asciiTheme="minorHAnsi" w:eastAsiaTheme="minorEastAsia" w:hAnsiTheme="minorHAnsi" w:cstheme="minorBidi"/>
          <w:caps w:val="0"/>
          <w:szCs w:val="22"/>
        </w:rPr>
        <w:tab/>
      </w:r>
      <w:r>
        <w:t>Introduction</w:t>
      </w:r>
      <w:r>
        <w:tab/>
        <w:t>1</w:t>
      </w:r>
    </w:p>
    <w:p w14:paraId="1F436A3D" w14:textId="4CABE637" w:rsidR="00302032" w:rsidRDefault="00302032" w:rsidP="00302032">
      <w:pPr>
        <w:pStyle w:val="TOC1"/>
        <w:rPr>
          <w:rFonts w:asciiTheme="minorHAnsi" w:eastAsiaTheme="minorEastAsia" w:hAnsiTheme="minorHAnsi" w:cstheme="minorBidi"/>
          <w:caps w:val="0"/>
          <w:szCs w:val="22"/>
        </w:rPr>
      </w:pPr>
      <w:r w:rsidRPr="000E12C6">
        <w:rPr>
          <w:rFonts w:cs="Arial"/>
        </w:rPr>
        <w:t>II.</w:t>
      </w:r>
      <w:r>
        <w:rPr>
          <w:rFonts w:asciiTheme="minorHAnsi" w:eastAsiaTheme="minorEastAsia" w:hAnsiTheme="minorHAnsi" w:cstheme="minorBidi"/>
          <w:caps w:val="0"/>
          <w:szCs w:val="22"/>
        </w:rPr>
        <w:tab/>
      </w:r>
      <w:r w:rsidRPr="000E12C6">
        <w:rPr>
          <w:rFonts w:cs="Arial"/>
        </w:rPr>
        <w:t>Goals and measures</w:t>
      </w:r>
      <w:r>
        <w:tab/>
        <w:t>13</w:t>
      </w:r>
    </w:p>
    <w:p w14:paraId="784F5D87" w14:textId="34F17624" w:rsidR="00302032" w:rsidRDefault="00302032" w:rsidP="00302032">
      <w:pPr>
        <w:pStyle w:val="TOC2"/>
        <w:tabs>
          <w:tab w:val="left" w:pos="360"/>
        </w:tabs>
        <w:rPr>
          <w:rFonts w:asciiTheme="minorHAnsi" w:eastAsiaTheme="minorEastAsia" w:hAnsiTheme="minorHAnsi" w:cstheme="minorBidi"/>
          <w:szCs w:val="22"/>
        </w:rPr>
      </w:pPr>
      <w:r>
        <w:t>A.</w:t>
      </w:r>
      <w:r>
        <w:rPr>
          <w:rFonts w:asciiTheme="minorHAnsi" w:eastAsiaTheme="minorEastAsia" w:hAnsiTheme="minorHAnsi" w:cstheme="minorBidi"/>
          <w:szCs w:val="22"/>
        </w:rPr>
        <w:tab/>
      </w:r>
      <w:r>
        <w:t>Background</w:t>
      </w:r>
      <w:r>
        <w:tab/>
        <w:t>13</w:t>
      </w:r>
    </w:p>
    <w:p w14:paraId="17C40D2A" w14:textId="288325A6" w:rsidR="00302032" w:rsidRDefault="00302032" w:rsidP="00302032">
      <w:pPr>
        <w:pStyle w:val="TOC2"/>
        <w:tabs>
          <w:tab w:val="left" w:pos="360"/>
        </w:tabs>
        <w:rPr>
          <w:rFonts w:asciiTheme="minorHAnsi" w:eastAsiaTheme="minorEastAsia" w:hAnsiTheme="minorHAnsi" w:cstheme="minorBidi"/>
          <w:szCs w:val="22"/>
        </w:rPr>
      </w:pPr>
      <w:r>
        <w:t>B.</w:t>
      </w:r>
      <w:r>
        <w:rPr>
          <w:rFonts w:asciiTheme="minorHAnsi" w:eastAsiaTheme="minorEastAsia" w:hAnsiTheme="minorHAnsi" w:cstheme="minorBidi"/>
          <w:szCs w:val="22"/>
        </w:rPr>
        <w:tab/>
      </w:r>
      <w:r>
        <w:t>Ensuring Schools and Libraries Have Affordable Access to 21</w:t>
      </w:r>
      <w:r w:rsidRPr="000E12C6">
        <w:rPr>
          <w:vertAlign w:val="superscript"/>
        </w:rPr>
        <w:t>st</w:t>
      </w:r>
      <w:r>
        <w:t xml:space="preserve"> Century Broadband </w:t>
      </w:r>
      <w:r w:rsidRPr="000E12C6">
        <w:rPr>
          <w:color w:val="000000"/>
        </w:rPr>
        <w:t>that Supports Digital Learning</w:t>
      </w:r>
      <w:r>
        <w:tab/>
        <w:t>17</w:t>
      </w:r>
    </w:p>
    <w:p w14:paraId="5739C72B" w14:textId="4A7E6333" w:rsidR="00302032" w:rsidRDefault="00302032" w:rsidP="00302032">
      <w:pPr>
        <w:pStyle w:val="TOC3"/>
        <w:tabs>
          <w:tab w:val="left" w:pos="360"/>
        </w:tabs>
        <w:rPr>
          <w:rFonts w:asciiTheme="minorHAnsi" w:eastAsiaTheme="minorEastAsia" w:hAnsiTheme="minorHAnsi" w:cstheme="minorBidi"/>
          <w:szCs w:val="22"/>
        </w:rPr>
      </w:pPr>
      <w:r>
        <w:t>1.</w:t>
      </w:r>
      <w:r>
        <w:rPr>
          <w:rFonts w:asciiTheme="minorHAnsi" w:eastAsiaTheme="minorEastAsia" w:hAnsiTheme="minorHAnsi" w:cstheme="minorBidi"/>
          <w:szCs w:val="22"/>
        </w:rPr>
        <w:tab/>
      </w:r>
      <w:r>
        <w:t>Proposed Goal</w:t>
      </w:r>
      <w:r>
        <w:tab/>
        <w:t>17</w:t>
      </w:r>
    </w:p>
    <w:p w14:paraId="5E9A9E53" w14:textId="2AE3C71E" w:rsidR="00302032" w:rsidRDefault="00302032" w:rsidP="00302032">
      <w:pPr>
        <w:pStyle w:val="TOC3"/>
        <w:tabs>
          <w:tab w:val="left" w:pos="360"/>
        </w:tabs>
        <w:rPr>
          <w:rFonts w:asciiTheme="minorHAnsi" w:eastAsiaTheme="minorEastAsia" w:hAnsiTheme="minorHAnsi" w:cstheme="minorBidi"/>
          <w:szCs w:val="22"/>
        </w:rPr>
      </w:pPr>
      <w:r>
        <w:t>2.</w:t>
      </w:r>
      <w:r>
        <w:rPr>
          <w:rFonts w:asciiTheme="minorHAnsi" w:eastAsiaTheme="minorEastAsia" w:hAnsiTheme="minorHAnsi" w:cstheme="minorBidi"/>
          <w:szCs w:val="22"/>
        </w:rPr>
        <w:tab/>
      </w:r>
      <w:r>
        <w:t>Proposed Measurements</w:t>
      </w:r>
      <w:r>
        <w:tab/>
        <w:t>20</w:t>
      </w:r>
    </w:p>
    <w:p w14:paraId="6CB8D0F5" w14:textId="7EA89AE9" w:rsidR="00302032" w:rsidRDefault="00302032" w:rsidP="00302032">
      <w:pPr>
        <w:pStyle w:val="TOC2"/>
        <w:tabs>
          <w:tab w:val="left" w:pos="360"/>
        </w:tabs>
        <w:rPr>
          <w:rFonts w:asciiTheme="minorHAnsi" w:eastAsiaTheme="minorEastAsia" w:hAnsiTheme="minorHAnsi" w:cstheme="minorBidi"/>
          <w:szCs w:val="22"/>
        </w:rPr>
      </w:pPr>
      <w:r>
        <w:t>C.</w:t>
      </w:r>
      <w:r>
        <w:rPr>
          <w:rFonts w:asciiTheme="minorHAnsi" w:eastAsiaTheme="minorEastAsia" w:hAnsiTheme="minorHAnsi" w:cstheme="minorBidi"/>
          <w:szCs w:val="22"/>
        </w:rPr>
        <w:tab/>
      </w:r>
      <w:r>
        <w:t>Maximizing the Cost-Effectiveness of E-rate Funds</w:t>
      </w:r>
      <w:r>
        <w:tab/>
        <w:t>41</w:t>
      </w:r>
    </w:p>
    <w:p w14:paraId="09353C0C" w14:textId="7FC5DEEC" w:rsidR="00302032" w:rsidRDefault="00302032" w:rsidP="00302032">
      <w:pPr>
        <w:pStyle w:val="TOC3"/>
        <w:tabs>
          <w:tab w:val="left" w:pos="360"/>
        </w:tabs>
        <w:rPr>
          <w:rFonts w:asciiTheme="minorHAnsi" w:eastAsiaTheme="minorEastAsia" w:hAnsiTheme="minorHAnsi" w:cstheme="minorBidi"/>
          <w:szCs w:val="22"/>
        </w:rPr>
      </w:pPr>
      <w:r>
        <w:t>1.</w:t>
      </w:r>
      <w:r>
        <w:rPr>
          <w:rFonts w:asciiTheme="minorHAnsi" w:eastAsiaTheme="minorEastAsia" w:hAnsiTheme="minorHAnsi" w:cstheme="minorBidi"/>
          <w:szCs w:val="22"/>
        </w:rPr>
        <w:tab/>
      </w:r>
      <w:r>
        <w:t>Proposed Goal</w:t>
      </w:r>
      <w:r>
        <w:tab/>
        <w:t>41</w:t>
      </w:r>
    </w:p>
    <w:p w14:paraId="5A4D4132" w14:textId="420B2880" w:rsidR="00302032" w:rsidRDefault="00302032" w:rsidP="00302032">
      <w:pPr>
        <w:pStyle w:val="TOC3"/>
        <w:tabs>
          <w:tab w:val="left" w:pos="360"/>
        </w:tabs>
        <w:rPr>
          <w:rFonts w:asciiTheme="minorHAnsi" w:eastAsiaTheme="minorEastAsia" w:hAnsiTheme="minorHAnsi" w:cstheme="minorBidi"/>
          <w:szCs w:val="22"/>
        </w:rPr>
      </w:pPr>
      <w:r>
        <w:t>2.</w:t>
      </w:r>
      <w:r>
        <w:rPr>
          <w:rFonts w:asciiTheme="minorHAnsi" w:eastAsiaTheme="minorEastAsia" w:hAnsiTheme="minorHAnsi" w:cstheme="minorBidi"/>
          <w:szCs w:val="22"/>
        </w:rPr>
        <w:tab/>
      </w:r>
      <w:r>
        <w:t>Proposed Measurements</w:t>
      </w:r>
      <w:r>
        <w:tab/>
        <w:t>43</w:t>
      </w:r>
    </w:p>
    <w:p w14:paraId="60CAF4C7" w14:textId="5A79BCB8" w:rsidR="00302032" w:rsidRDefault="00302032" w:rsidP="00302032">
      <w:pPr>
        <w:pStyle w:val="TOC2"/>
        <w:tabs>
          <w:tab w:val="left" w:pos="360"/>
        </w:tabs>
        <w:rPr>
          <w:rFonts w:asciiTheme="minorHAnsi" w:eastAsiaTheme="minorEastAsia" w:hAnsiTheme="minorHAnsi" w:cstheme="minorBidi"/>
          <w:szCs w:val="22"/>
        </w:rPr>
      </w:pPr>
      <w:r>
        <w:t>D.</w:t>
      </w:r>
      <w:r>
        <w:rPr>
          <w:rFonts w:asciiTheme="minorHAnsi" w:eastAsiaTheme="minorEastAsia" w:hAnsiTheme="minorHAnsi" w:cstheme="minorBidi"/>
          <w:szCs w:val="22"/>
        </w:rPr>
        <w:tab/>
      </w:r>
      <w:r>
        <w:t>Streamlining the Administration of the E-rate Program</w:t>
      </w:r>
      <w:r>
        <w:tab/>
        <w:t>45</w:t>
      </w:r>
    </w:p>
    <w:p w14:paraId="651D596C" w14:textId="64F6FEE4" w:rsidR="00302032" w:rsidRDefault="00302032" w:rsidP="00302032">
      <w:pPr>
        <w:pStyle w:val="TOC3"/>
        <w:tabs>
          <w:tab w:val="left" w:pos="360"/>
        </w:tabs>
        <w:rPr>
          <w:rFonts w:asciiTheme="minorHAnsi" w:eastAsiaTheme="minorEastAsia" w:hAnsiTheme="minorHAnsi" w:cstheme="minorBidi"/>
          <w:szCs w:val="22"/>
        </w:rPr>
      </w:pPr>
      <w:r>
        <w:t>1.</w:t>
      </w:r>
      <w:r>
        <w:rPr>
          <w:rFonts w:asciiTheme="minorHAnsi" w:eastAsiaTheme="minorEastAsia" w:hAnsiTheme="minorHAnsi" w:cstheme="minorBidi"/>
          <w:szCs w:val="22"/>
        </w:rPr>
        <w:tab/>
      </w:r>
      <w:r>
        <w:t>Proposed Goal</w:t>
      </w:r>
      <w:r>
        <w:tab/>
        <w:t>45</w:t>
      </w:r>
    </w:p>
    <w:p w14:paraId="31FC69FD" w14:textId="7B42BB26" w:rsidR="00302032" w:rsidRDefault="00302032" w:rsidP="00302032">
      <w:pPr>
        <w:pStyle w:val="TOC3"/>
        <w:tabs>
          <w:tab w:val="left" w:pos="360"/>
        </w:tabs>
        <w:rPr>
          <w:rFonts w:asciiTheme="minorHAnsi" w:eastAsiaTheme="minorEastAsia" w:hAnsiTheme="minorHAnsi" w:cstheme="minorBidi"/>
          <w:szCs w:val="22"/>
        </w:rPr>
      </w:pPr>
      <w:r>
        <w:t>2.</w:t>
      </w:r>
      <w:r>
        <w:rPr>
          <w:rFonts w:asciiTheme="minorHAnsi" w:eastAsiaTheme="minorEastAsia" w:hAnsiTheme="minorHAnsi" w:cstheme="minorBidi"/>
          <w:szCs w:val="22"/>
        </w:rPr>
        <w:tab/>
      </w:r>
      <w:r>
        <w:t>Proposed Measurements</w:t>
      </w:r>
      <w:r>
        <w:tab/>
        <w:t>47</w:t>
      </w:r>
    </w:p>
    <w:p w14:paraId="3B7ADC03" w14:textId="59FEBF66" w:rsidR="00302032" w:rsidRDefault="00302032" w:rsidP="00302032">
      <w:pPr>
        <w:pStyle w:val="TOC2"/>
        <w:tabs>
          <w:tab w:val="left" w:pos="360"/>
        </w:tabs>
        <w:rPr>
          <w:rFonts w:asciiTheme="minorHAnsi" w:eastAsiaTheme="minorEastAsia" w:hAnsiTheme="minorHAnsi" w:cstheme="minorBidi"/>
          <w:szCs w:val="22"/>
        </w:rPr>
      </w:pPr>
      <w:r>
        <w:t>E.</w:t>
      </w:r>
      <w:r>
        <w:rPr>
          <w:rFonts w:asciiTheme="minorHAnsi" w:eastAsiaTheme="minorEastAsia" w:hAnsiTheme="minorHAnsi" w:cstheme="minorBidi"/>
          <w:szCs w:val="22"/>
        </w:rPr>
        <w:tab/>
      </w:r>
      <w:r>
        <w:t>Data Collection</w:t>
      </w:r>
      <w:r>
        <w:tab/>
        <w:t>52</w:t>
      </w:r>
    </w:p>
    <w:p w14:paraId="73573568" w14:textId="06FC2766" w:rsidR="00302032" w:rsidRDefault="00302032" w:rsidP="00302032">
      <w:pPr>
        <w:pStyle w:val="TOC1"/>
        <w:rPr>
          <w:rFonts w:asciiTheme="minorHAnsi" w:eastAsiaTheme="minorEastAsia" w:hAnsiTheme="minorHAnsi" w:cstheme="minorBidi"/>
          <w:caps w:val="0"/>
          <w:szCs w:val="22"/>
        </w:rPr>
      </w:pPr>
      <w:r>
        <w:t>III.</w:t>
      </w:r>
      <w:r>
        <w:rPr>
          <w:rFonts w:asciiTheme="minorHAnsi" w:eastAsiaTheme="minorEastAsia" w:hAnsiTheme="minorHAnsi" w:cstheme="minorBidi"/>
          <w:caps w:val="0"/>
          <w:szCs w:val="22"/>
        </w:rPr>
        <w:tab/>
      </w:r>
      <w:r>
        <w:t>Ensuring Schools and Libraries Have Affordable Access to 21</w:t>
      </w:r>
      <w:r w:rsidRPr="000E12C6">
        <w:rPr>
          <w:vertAlign w:val="superscript"/>
        </w:rPr>
        <w:t>st</w:t>
      </w:r>
      <w:r>
        <w:t xml:space="preserve"> Century Broadband </w:t>
      </w:r>
      <w:r w:rsidRPr="000E12C6">
        <w:rPr>
          <w:color w:val="000000"/>
        </w:rPr>
        <w:t>that Supports Digital Learning</w:t>
      </w:r>
      <w:r>
        <w:tab/>
        <w:t>56</w:t>
      </w:r>
    </w:p>
    <w:p w14:paraId="73A8BA35" w14:textId="78BAED33" w:rsidR="00302032" w:rsidRDefault="00302032" w:rsidP="00302032">
      <w:pPr>
        <w:pStyle w:val="TOC2"/>
        <w:tabs>
          <w:tab w:val="left" w:pos="360"/>
        </w:tabs>
        <w:rPr>
          <w:rFonts w:asciiTheme="minorHAnsi" w:eastAsiaTheme="minorEastAsia" w:hAnsiTheme="minorHAnsi" w:cstheme="minorBidi"/>
          <w:szCs w:val="22"/>
        </w:rPr>
      </w:pPr>
      <w:r>
        <w:t>A.</w:t>
      </w:r>
      <w:r>
        <w:rPr>
          <w:rFonts w:asciiTheme="minorHAnsi" w:eastAsiaTheme="minorEastAsia" w:hAnsiTheme="minorHAnsi" w:cstheme="minorBidi"/>
          <w:szCs w:val="22"/>
        </w:rPr>
        <w:tab/>
      </w:r>
      <w:r>
        <w:t>Background</w:t>
      </w:r>
      <w:r>
        <w:tab/>
        <w:t>57</w:t>
      </w:r>
    </w:p>
    <w:p w14:paraId="2AFC84F5" w14:textId="177BFF41" w:rsidR="00302032" w:rsidRDefault="00302032" w:rsidP="00302032">
      <w:pPr>
        <w:pStyle w:val="TOC2"/>
        <w:tabs>
          <w:tab w:val="left" w:pos="360"/>
        </w:tabs>
        <w:rPr>
          <w:rFonts w:asciiTheme="minorHAnsi" w:eastAsiaTheme="minorEastAsia" w:hAnsiTheme="minorHAnsi" w:cstheme="minorBidi"/>
          <w:szCs w:val="22"/>
        </w:rPr>
      </w:pPr>
      <w:r>
        <w:t>B.</w:t>
      </w:r>
      <w:r>
        <w:rPr>
          <w:rFonts w:asciiTheme="minorHAnsi" w:eastAsiaTheme="minorEastAsia" w:hAnsiTheme="minorHAnsi" w:cstheme="minorBidi"/>
          <w:szCs w:val="22"/>
        </w:rPr>
        <w:tab/>
      </w:r>
      <w:r>
        <w:t>Focusing E-rate Funds on Supporting Broadband to and within Schools and Libraries</w:t>
      </w:r>
      <w:r>
        <w:tab/>
        <w:t>65</w:t>
      </w:r>
    </w:p>
    <w:p w14:paraId="34856EAA" w14:textId="7516BB55" w:rsidR="00302032" w:rsidRDefault="00302032" w:rsidP="00302032">
      <w:pPr>
        <w:pStyle w:val="TOC3"/>
        <w:tabs>
          <w:tab w:val="left" w:pos="360"/>
        </w:tabs>
        <w:rPr>
          <w:rFonts w:asciiTheme="minorHAnsi" w:eastAsiaTheme="minorEastAsia" w:hAnsiTheme="minorHAnsi" w:cstheme="minorBidi"/>
          <w:szCs w:val="22"/>
        </w:rPr>
      </w:pPr>
      <w:r>
        <w:t>1.</w:t>
      </w:r>
      <w:r>
        <w:rPr>
          <w:rFonts w:asciiTheme="minorHAnsi" w:eastAsiaTheme="minorEastAsia" w:hAnsiTheme="minorHAnsi" w:cstheme="minorBidi"/>
          <w:szCs w:val="22"/>
        </w:rPr>
        <w:tab/>
      </w:r>
      <w:r>
        <w:t>Funding for Broadband Connections</w:t>
      </w:r>
      <w:r>
        <w:tab/>
        <w:t>67</w:t>
      </w:r>
    </w:p>
    <w:p w14:paraId="7DF34A6B" w14:textId="573290C5" w:rsidR="00302032" w:rsidRDefault="00302032" w:rsidP="00302032">
      <w:pPr>
        <w:pStyle w:val="TOC3"/>
        <w:tabs>
          <w:tab w:val="left" w:pos="360"/>
        </w:tabs>
        <w:rPr>
          <w:rFonts w:asciiTheme="minorHAnsi" w:eastAsiaTheme="minorEastAsia" w:hAnsiTheme="minorHAnsi" w:cstheme="minorBidi"/>
          <w:szCs w:val="22"/>
        </w:rPr>
      </w:pPr>
      <w:r>
        <w:t>2.</w:t>
      </w:r>
      <w:r>
        <w:rPr>
          <w:rFonts w:asciiTheme="minorHAnsi" w:eastAsiaTheme="minorEastAsia" w:hAnsiTheme="minorHAnsi" w:cstheme="minorBidi"/>
          <w:szCs w:val="22"/>
        </w:rPr>
        <w:tab/>
      </w:r>
      <w:r>
        <w:t>Phasing Down Support for Certain Services</w:t>
      </w:r>
      <w:r>
        <w:tab/>
        <w:t>90</w:t>
      </w:r>
    </w:p>
    <w:p w14:paraId="797AE2D4" w14:textId="0B49D768" w:rsidR="00302032" w:rsidRDefault="00302032" w:rsidP="00302032">
      <w:pPr>
        <w:pStyle w:val="TOC2"/>
        <w:tabs>
          <w:tab w:val="left" w:pos="360"/>
        </w:tabs>
        <w:rPr>
          <w:rFonts w:asciiTheme="minorHAnsi" w:eastAsiaTheme="minorEastAsia" w:hAnsiTheme="minorHAnsi" w:cstheme="minorBidi"/>
          <w:szCs w:val="22"/>
        </w:rPr>
      </w:pPr>
      <w:r>
        <w:t>C.</w:t>
      </w:r>
      <w:r>
        <w:rPr>
          <w:rFonts w:asciiTheme="minorHAnsi" w:eastAsiaTheme="minorEastAsia" w:hAnsiTheme="minorHAnsi" w:cstheme="minorBidi"/>
          <w:szCs w:val="22"/>
        </w:rPr>
        <w:tab/>
      </w:r>
      <w:r>
        <w:t>Ensuring Equitable Access to Limited E-rate Funds</w:t>
      </w:r>
      <w:r>
        <w:tab/>
        <w:t>115</w:t>
      </w:r>
    </w:p>
    <w:p w14:paraId="7A5CD7DF" w14:textId="28929851" w:rsidR="00302032" w:rsidRDefault="00302032" w:rsidP="00302032">
      <w:pPr>
        <w:pStyle w:val="TOC3"/>
        <w:tabs>
          <w:tab w:val="left" w:pos="360"/>
        </w:tabs>
        <w:rPr>
          <w:rFonts w:asciiTheme="minorHAnsi" w:eastAsiaTheme="minorEastAsia" w:hAnsiTheme="minorHAnsi" w:cstheme="minorBidi"/>
          <w:szCs w:val="22"/>
        </w:rPr>
      </w:pPr>
      <w:r>
        <w:t>1.</w:t>
      </w:r>
      <w:r>
        <w:rPr>
          <w:rFonts w:asciiTheme="minorHAnsi" w:eastAsiaTheme="minorEastAsia" w:hAnsiTheme="minorHAnsi" w:cstheme="minorBidi"/>
          <w:szCs w:val="22"/>
        </w:rPr>
        <w:tab/>
      </w:r>
      <w:r>
        <w:t>Modifying the Discount Matrix</w:t>
      </w:r>
      <w:r>
        <w:tab/>
        <w:t>117</w:t>
      </w:r>
    </w:p>
    <w:p w14:paraId="56D285C3" w14:textId="2039A83B" w:rsidR="00302032" w:rsidRDefault="00302032" w:rsidP="00302032">
      <w:pPr>
        <w:pStyle w:val="TOC3"/>
        <w:tabs>
          <w:tab w:val="left" w:pos="360"/>
        </w:tabs>
        <w:rPr>
          <w:rFonts w:asciiTheme="minorHAnsi" w:eastAsiaTheme="minorEastAsia" w:hAnsiTheme="minorHAnsi" w:cstheme="minorBidi"/>
          <w:szCs w:val="22"/>
        </w:rPr>
      </w:pPr>
      <w:r>
        <w:lastRenderedPageBreak/>
        <w:t>2.</w:t>
      </w:r>
      <w:r>
        <w:rPr>
          <w:rFonts w:asciiTheme="minorHAnsi" w:eastAsiaTheme="minorEastAsia" w:hAnsiTheme="minorHAnsi" w:cstheme="minorBidi"/>
          <w:szCs w:val="22"/>
        </w:rPr>
        <w:tab/>
      </w:r>
      <w:r>
        <w:t>Support Based on District-Wide Eligibility and Application by School District</w:t>
      </w:r>
      <w:r>
        <w:tab/>
        <w:t>126</w:t>
      </w:r>
    </w:p>
    <w:p w14:paraId="65627E80" w14:textId="0EC3C6A2" w:rsidR="00302032" w:rsidRDefault="00302032" w:rsidP="00302032">
      <w:pPr>
        <w:pStyle w:val="TOC3"/>
        <w:tabs>
          <w:tab w:val="left" w:pos="360"/>
        </w:tabs>
        <w:rPr>
          <w:rFonts w:asciiTheme="minorHAnsi" w:eastAsiaTheme="minorEastAsia" w:hAnsiTheme="minorHAnsi" w:cstheme="minorBidi"/>
          <w:szCs w:val="22"/>
        </w:rPr>
      </w:pPr>
      <w:r>
        <w:t>3.</w:t>
      </w:r>
      <w:r>
        <w:rPr>
          <w:rFonts w:asciiTheme="minorHAnsi" w:eastAsiaTheme="minorEastAsia" w:hAnsiTheme="minorHAnsi" w:cstheme="minorBidi"/>
          <w:szCs w:val="22"/>
        </w:rPr>
        <w:tab/>
      </w:r>
      <w:r>
        <w:t>More Equitable Funding for Rural Schools and Libraries</w:t>
      </w:r>
      <w:r>
        <w:tab/>
        <w:t>133</w:t>
      </w:r>
    </w:p>
    <w:p w14:paraId="0E9BED96" w14:textId="6B2A08C4" w:rsidR="00302032" w:rsidRDefault="00302032" w:rsidP="00302032">
      <w:pPr>
        <w:pStyle w:val="TOC3"/>
        <w:tabs>
          <w:tab w:val="left" w:pos="360"/>
        </w:tabs>
        <w:rPr>
          <w:rFonts w:asciiTheme="minorHAnsi" w:eastAsiaTheme="minorEastAsia" w:hAnsiTheme="minorHAnsi" w:cstheme="minorBidi"/>
          <w:szCs w:val="22"/>
        </w:rPr>
      </w:pPr>
      <w:r>
        <w:t>4.</w:t>
      </w:r>
      <w:r>
        <w:rPr>
          <w:rFonts w:asciiTheme="minorHAnsi" w:eastAsiaTheme="minorEastAsia" w:hAnsiTheme="minorHAnsi" w:cstheme="minorBidi"/>
          <w:szCs w:val="22"/>
        </w:rPr>
        <w:tab/>
      </w:r>
      <w:r>
        <w:t>Setting Budgets or Limits</w:t>
      </w:r>
      <w:r>
        <w:tab/>
        <w:t>135</w:t>
      </w:r>
    </w:p>
    <w:p w14:paraId="0EF65B5A" w14:textId="0443C62B" w:rsidR="00302032" w:rsidRDefault="00302032" w:rsidP="00302032">
      <w:pPr>
        <w:pStyle w:val="TOC3"/>
        <w:tabs>
          <w:tab w:val="left" w:pos="360"/>
        </w:tabs>
        <w:rPr>
          <w:rFonts w:asciiTheme="minorHAnsi" w:eastAsiaTheme="minorEastAsia" w:hAnsiTheme="minorHAnsi" w:cstheme="minorBidi"/>
          <w:szCs w:val="22"/>
        </w:rPr>
      </w:pPr>
      <w:r>
        <w:t>5.</w:t>
      </w:r>
      <w:r>
        <w:rPr>
          <w:rFonts w:asciiTheme="minorHAnsi" w:eastAsiaTheme="minorEastAsia" w:hAnsiTheme="minorHAnsi" w:cstheme="minorBidi"/>
          <w:szCs w:val="22"/>
        </w:rPr>
        <w:tab/>
      </w:r>
      <w:r>
        <w:t>More Equitable Access to Funding for Internal Broadband Connections</w:t>
      </w:r>
      <w:r>
        <w:tab/>
        <w:t>143</w:t>
      </w:r>
    </w:p>
    <w:p w14:paraId="1C1B4697" w14:textId="1D4156A8" w:rsidR="00302032" w:rsidRDefault="00302032" w:rsidP="00302032">
      <w:pPr>
        <w:pStyle w:val="TOC3"/>
        <w:tabs>
          <w:tab w:val="left" w:pos="360"/>
        </w:tabs>
        <w:rPr>
          <w:rFonts w:asciiTheme="minorHAnsi" w:eastAsiaTheme="minorEastAsia" w:hAnsiTheme="minorHAnsi" w:cstheme="minorBidi"/>
          <w:szCs w:val="22"/>
        </w:rPr>
      </w:pPr>
      <w:r>
        <w:t>6.</w:t>
      </w:r>
      <w:r>
        <w:rPr>
          <w:rFonts w:asciiTheme="minorHAnsi" w:eastAsiaTheme="minorEastAsia" w:hAnsiTheme="minorHAnsi" w:cstheme="minorBidi"/>
          <w:szCs w:val="22"/>
        </w:rPr>
        <w:tab/>
      </w:r>
      <w:r>
        <w:t>Simplified Allocation of Funds to All Schools and Libraries</w:t>
      </w:r>
      <w:r>
        <w:tab/>
        <w:t>149</w:t>
      </w:r>
    </w:p>
    <w:p w14:paraId="5D6FDFDA" w14:textId="74809CC1" w:rsidR="00302032" w:rsidRDefault="00302032" w:rsidP="00302032">
      <w:pPr>
        <w:pStyle w:val="TOC2"/>
        <w:tabs>
          <w:tab w:val="left" w:pos="360"/>
        </w:tabs>
        <w:rPr>
          <w:rFonts w:asciiTheme="minorHAnsi" w:eastAsiaTheme="minorEastAsia" w:hAnsiTheme="minorHAnsi" w:cstheme="minorBidi"/>
          <w:szCs w:val="22"/>
        </w:rPr>
      </w:pPr>
      <w:r>
        <w:t>D.</w:t>
      </w:r>
      <w:r>
        <w:rPr>
          <w:rFonts w:asciiTheme="minorHAnsi" w:eastAsiaTheme="minorEastAsia" w:hAnsiTheme="minorHAnsi" w:cstheme="minorBidi"/>
          <w:szCs w:val="22"/>
        </w:rPr>
        <w:tab/>
      </w:r>
      <w:r>
        <w:t>Lowering New Build Costs and Identifying Additional Funding to Support Broadband to Schools and Libraries</w:t>
      </w:r>
      <w:r>
        <w:tab/>
        <w:t>163</w:t>
      </w:r>
    </w:p>
    <w:p w14:paraId="27EB9599" w14:textId="031376AD" w:rsidR="00302032" w:rsidRDefault="00302032" w:rsidP="00302032">
      <w:pPr>
        <w:pStyle w:val="TOC1"/>
        <w:rPr>
          <w:rFonts w:asciiTheme="minorHAnsi" w:eastAsiaTheme="minorEastAsia" w:hAnsiTheme="minorHAnsi" w:cstheme="minorBidi"/>
          <w:caps w:val="0"/>
          <w:szCs w:val="22"/>
        </w:rPr>
      </w:pPr>
      <w:r>
        <w:t>IV.</w:t>
      </w:r>
      <w:r>
        <w:rPr>
          <w:rFonts w:asciiTheme="minorHAnsi" w:eastAsiaTheme="minorEastAsia" w:hAnsiTheme="minorHAnsi" w:cstheme="minorBidi"/>
          <w:caps w:val="0"/>
          <w:szCs w:val="22"/>
        </w:rPr>
        <w:tab/>
      </w:r>
      <w:r>
        <w:t>MAXIMIZING THE COST EFFECTIVENESS OF E-RATE FUNDS</w:t>
      </w:r>
      <w:r>
        <w:tab/>
        <w:t>177</w:t>
      </w:r>
    </w:p>
    <w:p w14:paraId="13D6DB89" w14:textId="07B697BC" w:rsidR="00302032" w:rsidRDefault="00302032" w:rsidP="00302032">
      <w:pPr>
        <w:pStyle w:val="TOC2"/>
        <w:tabs>
          <w:tab w:val="left" w:pos="360"/>
        </w:tabs>
        <w:rPr>
          <w:rFonts w:asciiTheme="minorHAnsi" w:eastAsiaTheme="minorEastAsia" w:hAnsiTheme="minorHAnsi" w:cstheme="minorBidi"/>
          <w:szCs w:val="22"/>
        </w:rPr>
      </w:pPr>
      <w:r>
        <w:t>A.</w:t>
      </w:r>
      <w:r>
        <w:rPr>
          <w:rFonts w:asciiTheme="minorHAnsi" w:eastAsiaTheme="minorEastAsia" w:hAnsiTheme="minorHAnsi" w:cstheme="minorBidi"/>
          <w:szCs w:val="22"/>
        </w:rPr>
        <w:tab/>
      </w:r>
      <w:r>
        <w:t>Background</w:t>
      </w:r>
      <w:r>
        <w:tab/>
        <w:t>177</w:t>
      </w:r>
    </w:p>
    <w:p w14:paraId="34B0DF27" w14:textId="13CA72F7" w:rsidR="00302032" w:rsidRDefault="00302032" w:rsidP="00302032">
      <w:pPr>
        <w:pStyle w:val="TOC2"/>
        <w:tabs>
          <w:tab w:val="left" w:pos="360"/>
        </w:tabs>
        <w:rPr>
          <w:rFonts w:asciiTheme="minorHAnsi" w:eastAsiaTheme="minorEastAsia" w:hAnsiTheme="minorHAnsi" w:cstheme="minorBidi"/>
          <w:szCs w:val="22"/>
        </w:rPr>
      </w:pPr>
      <w:r>
        <w:t>B.</w:t>
      </w:r>
      <w:r>
        <w:rPr>
          <w:rFonts w:asciiTheme="minorHAnsi" w:eastAsiaTheme="minorEastAsia" w:hAnsiTheme="minorHAnsi" w:cstheme="minorBidi"/>
          <w:szCs w:val="22"/>
        </w:rPr>
        <w:tab/>
      </w:r>
      <w:r>
        <w:t>Increasing Consortium Purchasing</w:t>
      </w:r>
      <w:r>
        <w:tab/>
        <w:t>179</w:t>
      </w:r>
    </w:p>
    <w:p w14:paraId="006DA07B" w14:textId="687BFCFC" w:rsidR="00302032" w:rsidRDefault="00302032" w:rsidP="00302032">
      <w:pPr>
        <w:pStyle w:val="TOC2"/>
        <w:tabs>
          <w:tab w:val="left" w:pos="360"/>
        </w:tabs>
        <w:rPr>
          <w:rFonts w:asciiTheme="minorHAnsi" w:eastAsiaTheme="minorEastAsia" w:hAnsiTheme="minorHAnsi" w:cstheme="minorBidi"/>
          <w:szCs w:val="22"/>
        </w:rPr>
      </w:pPr>
      <w:r>
        <w:t>C.</w:t>
      </w:r>
      <w:r>
        <w:rPr>
          <w:rFonts w:asciiTheme="minorHAnsi" w:eastAsiaTheme="minorEastAsia" w:hAnsiTheme="minorHAnsi" w:cstheme="minorBidi"/>
          <w:szCs w:val="22"/>
        </w:rPr>
        <w:tab/>
      </w:r>
      <w:r>
        <w:t>Encouraging Other Types of Bulk Buying Opportunities</w:t>
      </w:r>
      <w:r>
        <w:tab/>
        <w:t>186</w:t>
      </w:r>
    </w:p>
    <w:p w14:paraId="08B242D6" w14:textId="286765F8" w:rsidR="00302032" w:rsidRDefault="00302032" w:rsidP="00302032">
      <w:pPr>
        <w:pStyle w:val="TOC2"/>
        <w:tabs>
          <w:tab w:val="left" w:pos="360"/>
        </w:tabs>
        <w:rPr>
          <w:rFonts w:asciiTheme="minorHAnsi" w:eastAsiaTheme="minorEastAsia" w:hAnsiTheme="minorHAnsi" w:cstheme="minorBidi"/>
          <w:szCs w:val="22"/>
        </w:rPr>
      </w:pPr>
      <w:r>
        <w:t>D.</w:t>
      </w:r>
      <w:r>
        <w:rPr>
          <w:rFonts w:asciiTheme="minorHAnsi" w:eastAsiaTheme="minorEastAsia" w:hAnsiTheme="minorHAnsi" w:cstheme="minorBidi"/>
          <w:szCs w:val="22"/>
        </w:rPr>
        <w:tab/>
      </w:r>
      <w:r>
        <w:t>Increasing Transparency</w:t>
      </w:r>
      <w:r>
        <w:tab/>
        <w:t>191</w:t>
      </w:r>
    </w:p>
    <w:p w14:paraId="39BACF68" w14:textId="2EDD5B32" w:rsidR="00302032" w:rsidRDefault="00302032" w:rsidP="00302032">
      <w:pPr>
        <w:pStyle w:val="TOC2"/>
        <w:tabs>
          <w:tab w:val="left" w:pos="360"/>
        </w:tabs>
        <w:rPr>
          <w:rFonts w:asciiTheme="minorHAnsi" w:eastAsiaTheme="minorEastAsia" w:hAnsiTheme="minorHAnsi" w:cstheme="minorBidi"/>
          <w:szCs w:val="22"/>
        </w:rPr>
      </w:pPr>
      <w:r>
        <w:t>E.</w:t>
      </w:r>
      <w:r>
        <w:rPr>
          <w:rFonts w:asciiTheme="minorHAnsi" w:eastAsiaTheme="minorEastAsia" w:hAnsiTheme="minorHAnsi" w:cstheme="minorBidi"/>
          <w:szCs w:val="22"/>
        </w:rPr>
        <w:tab/>
      </w:r>
      <w:r>
        <w:t>Improving the Competitive Bidding Process</w:t>
      </w:r>
      <w:r>
        <w:tab/>
        <w:t>202</w:t>
      </w:r>
    </w:p>
    <w:p w14:paraId="4EB38895" w14:textId="34394EF6" w:rsidR="00302032" w:rsidRDefault="00302032" w:rsidP="00302032">
      <w:pPr>
        <w:pStyle w:val="TOC2"/>
        <w:tabs>
          <w:tab w:val="left" w:pos="360"/>
        </w:tabs>
        <w:rPr>
          <w:rFonts w:asciiTheme="minorHAnsi" w:eastAsiaTheme="minorEastAsia" w:hAnsiTheme="minorHAnsi" w:cstheme="minorBidi"/>
          <w:szCs w:val="22"/>
        </w:rPr>
      </w:pPr>
      <w:r>
        <w:t>F.</w:t>
      </w:r>
      <w:r>
        <w:rPr>
          <w:rFonts w:asciiTheme="minorHAnsi" w:eastAsiaTheme="minorEastAsia" w:hAnsiTheme="minorHAnsi" w:cstheme="minorBidi"/>
          <w:szCs w:val="22"/>
        </w:rPr>
        <w:tab/>
      </w:r>
      <w:r>
        <w:t>Efficient Use of Funding</w:t>
      </w:r>
      <w:r>
        <w:tab/>
        <w:t>211</w:t>
      </w:r>
    </w:p>
    <w:p w14:paraId="588B9C69" w14:textId="5B000201" w:rsidR="00302032" w:rsidRDefault="00302032" w:rsidP="00302032">
      <w:pPr>
        <w:pStyle w:val="TOC2"/>
        <w:tabs>
          <w:tab w:val="left" w:pos="360"/>
        </w:tabs>
        <w:rPr>
          <w:rFonts w:asciiTheme="minorHAnsi" w:eastAsiaTheme="minorEastAsia" w:hAnsiTheme="minorHAnsi" w:cstheme="minorBidi"/>
          <w:szCs w:val="22"/>
        </w:rPr>
      </w:pPr>
      <w:r>
        <w:t>G.</w:t>
      </w:r>
      <w:r>
        <w:rPr>
          <w:rFonts w:asciiTheme="minorHAnsi" w:eastAsiaTheme="minorEastAsia" w:hAnsiTheme="minorHAnsi" w:cstheme="minorBidi"/>
          <w:szCs w:val="22"/>
        </w:rPr>
        <w:tab/>
      </w:r>
      <w:r>
        <w:t>Broadband Planning and Use</w:t>
      </w:r>
      <w:r>
        <w:tab/>
        <w:t>217</w:t>
      </w:r>
    </w:p>
    <w:p w14:paraId="7EFC51A4" w14:textId="4F4CD23C" w:rsidR="00302032" w:rsidRDefault="00302032" w:rsidP="00302032">
      <w:pPr>
        <w:pStyle w:val="TOC2"/>
        <w:tabs>
          <w:tab w:val="left" w:pos="360"/>
        </w:tabs>
        <w:rPr>
          <w:rFonts w:asciiTheme="minorHAnsi" w:eastAsiaTheme="minorEastAsia" w:hAnsiTheme="minorHAnsi" w:cstheme="minorBidi"/>
          <w:szCs w:val="22"/>
        </w:rPr>
      </w:pPr>
      <w:r>
        <w:t>H.</w:t>
      </w:r>
      <w:r>
        <w:rPr>
          <w:rFonts w:asciiTheme="minorHAnsi" w:eastAsiaTheme="minorEastAsia" w:hAnsiTheme="minorHAnsi" w:cstheme="minorBidi"/>
          <w:szCs w:val="22"/>
        </w:rPr>
        <w:tab/>
      </w:r>
      <w:r>
        <w:t>Innovative Approaches to Encouraging Maximum Efficiency</w:t>
      </w:r>
      <w:r>
        <w:tab/>
        <w:t>220</w:t>
      </w:r>
    </w:p>
    <w:p w14:paraId="30D4F731" w14:textId="5E7C9877" w:rsidR="00302032" w:rsidRDefault="00302032" w:rsidP="00302032">
      <w:pPr>
        <w:pStyle w:val="TOC1"/>
        <w:rPr>
          <w:rFonts w:asciiTheme="minorHAnsi" w:eastAsiaTheme="minorEastAsia" w:hAnsiTheme="minorHAnsi" w:cstheme="minorBidi"/>
          <w:caps w:val="0"/>
          <w:szCs w:val="22"/>
        </w:rPr>
      </w:pPr>
      <w:r>
        <w:t>V.</w:t>
      </w:r>
      <w:r>
        <w:rPr>
          <w:rFonts w:asciiTheme="minorHAnsi" w:eastAsiaTheme="minorEastAsia" w:hAnsiTheme="minorHAnsi" w:cstheme="minorBidi"/>
          <w:caps w:val="0"/>
          <w:szCs w:val="22"/>
        </w:rPr>
        <w:tab/>
      </w:r>
      <w:r>
        <w:t>Streamlining the administration of the E-rate program</w:t>
      </w:r>
      <w:r>
        <w:tab/>
        <w:t>224</w:t>
      </w:r>
    </w:p>
    <w:p w14:paraId="751BDAF4" w14:textId="0FCDA106" w:rsidR="00302032" w:rsidRDefault="00302032" w:rsidP="00302032">
      <w:pPr>
        <w:pStyle w:val="TOC2"/>
        <w:tabs>
          <w:tab w:val="left" w:pos="360"/>
        </w:tabs>
        <w:rPr>
          <w:rFonts w:asciiTheme="minorHAnsi" w:eastAsiaTheme="minorEastAsia" w:hAnsiTheme="minorHAnsi" w:cstheme="minorBidi"/>
          <w:szCs w:val="22"/>
        </w:rPr>
      </w:pPr>
      <w:r>
        <w:t>A.</w:t>
      </w:r>
      <w:r>
        <w:rPr>
          <w:rFonts w:asciiTheme="minorHAnsi" w:eastAsiaTheme="minorEastAsia" w:hAnsiTheme="minorHAnsi" w:cstheme="minorBidi"/>
          <w:szCs w:val="22"/>
        </w:rPr>
        <w:tab/>
      </w:r>
      <w:r>
        <w:t>Electronic Filing of FCC Forms and Correspondence</w:t>
      </w:r>
      <w:r>
        <w:tab/>
        <w:t>227</w:t>
      </w:r>
    </w:p>
    <w:p w14:paraId="48ABBFC5" w14:textId="7F0FBABA" w:rsidR="00302032" w:rsidRDefault="00302032" w:rsidP="00302032">
      <w:pPr>
        <w:pStyle w:val="TOC2"/>
        <w:tabs>
          <w:tab w:val="left" w:pos="360"/>
        </w:tabs>
        <w:rPr>
          <w:rFonts w:asciiTheme="minorHAnsi" w:eastAsiaTheme="minorEastAsia" w:hAnsiTheme="minorHAnsi" w:cstheme="minorBidi"/>
          <w:szCs w:val="22"/>
        </w:rPr>
      </w:pPr>
      <w:r>
        <w:t>B.</w:t>
      </w:r>
      <w:r>
        <w:rPr>
          <w:rFonts w:asciiTheme="minorHAnsi" w:eastAsiaTheme="minorEastAsia" w:hAnsiTheme="minorHAnsi" w:cstheme="minorBidi"/>
          <w:szCs w:val="22"/>
        </w:rPr>
        <w:tab/>
      </w:r>
      <w:r>
        <w:t>Increasing the Transparency of USAC’s Processes</w:t>
      </w:r>
      <w:r>
        <w:tab/>
        <w:t>232</w:t>
      </w:r>
    </w:p>
    <w:p w14:paraId="7FE8CF70" w14:textId="048865ED" w:rsidR="00302032" w:rsidRDefault="00302032" w:rsidP="00302032">
      <w:pPr>
        <w:pStyle w:val="TOC2"/>
        <w:tabs>
          <w:tab w:val="left" w:pos="360"/>
        </w:tabs>
        <w:rPr>
          <w:rFonts w:asciiTheme="minorHAnsi" w:eastAsiaTheme="minorEastAsia" w:hAnsiTheme="minorHAnsi" w:cstheme="minorBidi"/>
          <w:szCs w:val="22"/>
        </w:rPr>
      </w:pPr>
      <w:r>
        <w:t>C.</w:t>
      </w:r>
      <w:r>
        <w:rPr>
          <w:rFonts w:asciiTheme="minorHAnsi" w:eastAsiaTheme="minorEastAsia" w:hAnsiTheme="minorHAnsi" w:cstheme="minorBidi"/>
          <w:szCs w:val="22"/>
        </w:rPr>
        <w:tab/>
      </w:r>
      <w:r>
        <w:t>Speeding Review of Applications, Commitment Decisions, and Funding Disbursement</w:t>
      </w:r>
      <w:r>
        <w:tab/>
        <w:t>233</w:t>
      </w:r>
    </w:p>
    <w:p w14:paraId="216B0AF4" w14:textId="0640EBDA" w:rsidR="00302032" w:rsidRDefault="00302032" w:rsidP="00302032">
      <w:pPr>
        <w:pStyle w:val="TOC2"/>
        <w:tabs>
          <w:tab w:val="left" w:pos="360"/>
        </w:tabs>
        <w:rPr>
          <w:rFonts w:asciiTheme="minorHAnsi" w:eastAsiaTheme="minorEastAsia" w:hAnsiTheme="minorHAnsi" w:cstheme="minorBidi"/>
          <w:szCs w:val="22"/>
        </w:rPr>
      </w:pPr>
      <w:r>
        <w:t>D.</w:t>
      </w:r>
      <w:r>
        <w:rPr>
          <w:rFonts w:asciiTheme="minorHAnsi" w:eastAsiaTheme="minorEastAsia" w:hAnsiTheme="minorHAnsi" w:cstheme="minorBidi"/>
          <w:szCs w:val="22"/>
        </w:rPr>
        <w:tab/>
      </w:r>
      <w:r>
        <w:t>Simplifying the Eligible Services List</w:t>
      </w:r>
      <w:r>
        <w:tab/>
        <w:t>248</w:t>
      </w:r>
    </w:p>
    <w:p w14:paraId="228FF182" w14:textId="1C0216B0" w:rsidR="00302032" w:rsidRDefault="00302032" w:rsidP="00302032">
      <w:pPr>
        <w:pStyle w:val="TOC2"/>
        <w:tabs>
          <w:tab w:val="left" w:pos="360"/>
        </w:tabs>
        <w:rPr>
          <w:rFonts w:asciiTheme="minorHAnsi" w:eastAsiaTheme="minorEastAsia" w:hAnsiTheme="minorHAnsi" w:cstheme="minorBidi"/>
          <w:szCs w:val="22"/>
        </w:rPr>
      </w:pPr>
      <w:r>
        <w:t>E.</w:t>
      </w:r>
      <w:r>
        <w:rPr>
          <w:rFonts w:asciiTheme="minorHAnsi" w:eastAsiaTheme="minorEastAsia" w:hAnsiTheme="minorHAnsi" w:cstheme="minorBidi"/>
          <w:szCs w:val="22"/>
        </w:rPr>
        <w:tab/>
      </w:r>
      <w:r>
        <w:t>Funding Recovery Considerations</w:t>
      </w:r>
      <w:r>
        <w:tab/>
        <w:t>252</w:t>
      </w:r>
    </w:p>
    <w:p w14:paraId="0730CAEB" w14:textId="3AB54EE2" w:rsidR="00302032" w:rsidRDefault="00302032" w:rsidP="00302032">
      <w:pPr>
        <w:pStyle w:val="TOC2"/>
        <w:tabs>
          <w:tab w:val="left" w:pos="360"/>
        </w:tabs>
        <w:rPr>
          <w:rFonts w:asciiTheme="minorHAnsi" w:eastAsiaTheme="minorEastAsia" w:hAnsiTheme="minorHAnsi" w:cstheme="minorBidi"/>
          <w:szCs w:val="22"/>
        </w:rPr>
      </w:pPr>
      <w:r>
        <w:t>F.</w:t>
      </w:r>
      <w:r>
        <w:rPr>
          <w:rFonts w:asciiTheme="minorHAnsi" w:eastAsiaTheme="minorEastAsia" w:hAnsiTheme="minorHAnsi" w:cstheme="minorBidi"/>
          <w:szCs w:val="22"/>
        </w:rPr>
        <w:tab/>
      </w:r>
      <w:r>
        <w:t>Effective Disbursement of Unused Funding</w:t>
      </w:r>
      <w:r>
        <w:tab/>
        <w:t>254</w:t>
      </w:r>
    </w:p>
    <w:p w14:paraId="75E53FCE" w14:textId="3BB771F3" w:rsidR="00302032" w:rsidRDefault="00302032" w:rsidP="00302032">
      <w:pPr>
        <w:pStyle w:val="TOC2"/>
        <w:tabs>
          <w:tab w:val="left" w:pos="360"/>
        </w:tabs>
        <w:rPr>
          <w:rFonts w:asciiTheme="minorHAnsi" w:eastAsiaTheme="minorEastAsia" w:hAnsiTheme="minorHAnsi" w:cstheme="minorBidi"/>
          <w:szCs w:val="22"/>
        </w:rPr>
      </w:pPr>
      <w:r>
        <w:t>G.</w:t>
      </w:r>
      <w:r>
        <w:rPr>
          <w:rFonts w:asciiTheme="minorHAnsi" w:eastAsiaTheme="minorEastAsia" w:hAnsiTheme="minorHAnsi" w:cstheme="minorBidi"/>
          <w:szCs w:val="22"/>
        </w:rPr>
        <w:tab/>
      </w:r>
      <w:r>
        <w:t>Invoicing and Disbursement Process</w:t>
      </w:r>
      <w:r>
        <w:tab/>
        <w:t>259</w:t>
      </w:r>
    </w:p>
    <w:p w14:paraId="76CDC901" w14:textId="1CA7F3B0" w:rsidR="00302032" w:rsidRDefault="00302032" w:rsidP="00302032">
      <w:pPr>
        <w:pStyle w:val="TOC2"/>
        <w:tabs>
          <w:tab w:val="left" w:pos="360"/>
        </w:tabs>
        <w:rPr>
          <w:rFonts w:asciiTheme="minorHAnsi" w:eastAsiaTheme="minorEastAsia" w:hAnsiTheme="minorHAnsi" w:cstheme="minorBidi"/>
          <w:szCs w:val="22"/>
        </w:rPr>
      </w:pPr>
      <w:r>
        <w:t>H.</w:t>
      </w:r>
      <w:r>
        <w:rPr>
          <w:rFonts w:asciiTheme="minorHAnsi" w:eastAsiaTheme="minorEastAsia" w:hAnsiTheme="minorHAnsi" w:cstheme="minorBidi"/>
          <w:szCs w:val="22"/>
        </w:rPr>
        <w:tab/>
      </w:r>
      <w:r>
        <w:t>Streamlining E-rate Appeal Process</w:t>
      </w:r>
      <w:r>
        <w:tab/>
        <w:t>266</w:t>
      </w:r>
    </w:p>
    <w:p w14:paraId="4FA51F47" w14:textId="5FE82232" w:rsidR="00302032" w:rsidRDefault="00302032" w:rsidP="00302032">
      <w:pPr>
        <w:pStyle w:val="TOC1"/>
        <w:rPr>
          <w:rFonts w:asciiTheme="minorHAnsi" w:eastAsiaTheme="minorEastAsia" w:hAnsiTheme="minorHAnsi" w:cstheme="minorBidi"/>
          <w:caps w:val="0"/>
          <w:szCs w:val="22"/>
        </w:rPr>
      </w:pPr>
      <w:r>
        <w:t>VI.</w:t>
      </w:r>
      <w:r>
        <w:rPr>
          <w:rFonts w:asciiTheme="minorHAnsi" w:eastAsiaTheme="minorEastAsia" w:hAnsiTheme="minorHAnsi" w:cstheme="minorBidi"/>
          <w:caps w:val="0"/>
          <w:szCs w:val="22"/>
        </w:rPr>
        <w:tab/>
      </w:r>
      <w:r>
        <w:t>OTHER OUTSTANDING ISSUES</w:t>
      </w:r>
      <w:r>
        <w:tab/>
        <w:t>270</w:t>
      </w:r>
    </w:p>
    <w:p w14:paraId="0CADC0A3" w14:textId="153F9E17" w:rsidR="00302032" w:rsidRDefault="00302032" w:rsidP="00302032">
      <w:pPr>
        <w:pStyle w:val="TOC2"/>
        <w:tabs>
          <w:tab w:val="left" w:pos="360"/>
        </w:tabs>
        <w:rPr>
          <w:rFonts w:asciiTheme="minorHAnsi" w:eastAsiaTheme="minorEastAsia" w:hAnsiTheme="minorHAnsi" w:cstheme="minorBidi"/>
          <w:szCs w:val="22"/>
        </w:rPr>
      </w:pPr>
      <w:r>
        <w:t>A.</w:t>
      </w:r>
      <w:r>
        <w:rPr>
          <w:rFonts w:asciiTheme="minorHAnsi" w:eastAsiaTheme="minorEastAsia" w:hAnsiTheme="minorHAnsi" w:cstheme="minorBidi"/>
          <w:szCs w:val="22"/>
        </w:rPr>
        <w:tab/>
      </w:r>
      <w:r>
        <w:t>The Children’s Internet Protection Act</w:t>
      </w:r>
      <w:r>
        <w:tab/>
        <w:t>271</w:t>
      </w:r>
    </w:p>
    <w:p w14:paraId="00C3D887" w14:textId="1ABB8A2C" w:rsidR="00302032" w:rsidRDefault="00302032" w:rsidP="00302032">
      <w:pPr>
        <w:pStyle w:val="TOC2"/>
        <w:tabs>
          <w:tab w:val="left" w:pos="360"/>
        </w:tabs>
        <w:rPr>
          <w:rFonts w:asciiTheme="minorHAnsi" w:eastAsiaTheme="minorEastAsia" w:hAnsiTheme="minorHAnsi" w:cstheme="minorBidi"/>
          <w:szCs w:val="22"/>
        </w:rPr>
      </w:pPr>
      <w:r>
        <w:t>B.</w:t>
      </w:r>
      <w:r>
        <w:rPr>
          <w:rFonts w:asciiTheme="minorHAnsi" w:eastAsiaTheme="minorEastAsia" w:hAnsiTheme="minorHAnsi" w:cstheme="minorBidi"/>
          <w:szCs w:val="22"/>
        </w:rPr>
        <w:tab/>
      </w:r>
      <w:r>
        <w:t>Identifying Rural Schools and Libraries</w:t>
      </w:r>
      <w:r>
        <w:tab/>
        <w:t>276</w:t>
      </w:r>
    </w:p>
    <w:p w14:paraId="74566611" w14:textId="67B3C9CD" w:rsidR="00302032" w:rsidRDefault="00302032" w:rsidP="00302032">
      <w:pPr>
        <w:pStyle w:val="TOC2"/>
        <w:tabs>
          <w:tab w:val="left" w:pos="360"/>
        </w:tabs>
        <w:rPr>
          <w:rFonts w:asciiTheme="minorHAnsi" w:eastAsiaTheme="minorEastAsia" w:hAnsiTheme="minorHAnsi" w:cstheme="minorBidi"/>
          <w:szCs w:val="22"/>
        </w:rPr>
      </w:pPr>
      <w:r>
        <w:t>C.</w:t>
      </w:r>
      <w:r>
        <w:rPr>
          <w:rFonts w:asciiTheme="minorHAnsi" w:eastAsiaTheme="minorEastAsia" w:hAnsiTheme="minorHAnsi" w:cstheme="minorBidi"/>
          <w:szCs w:val="22"/>
        </w:rPr>
        <w:tab/>
      </w:r>
      <w:r>
        <w:t>Addressing Changes to the National School Lunch Program</w:t>
      </w:r>
      <w:r>
        <w:tab/>
        <w:t>282</w:t>
      </w:r>
    </w:p>
    <w:p w14:paraId="31968EC4" w14:textId="33A8D7FB" w:rsidR="00302032" w:rsidRDefault="00302032" w:rsidP="00302032">
      <w:pPr>
        <w:pStyle w:val="TOC2"/>
        <w:tabs>
          <w:tab w:val="left" w:pos="360"/>
        </w:tabs>
        <w:rPr>
          <w:rFonts w:asciiTheme="minorHAnsi" w:eastAsiaTheme="minorEastAsia" w:hAnsiTheme="minorHAnsi" w:cstheme="minorBidi"/>
          <w:szCs w:val="22"/>
        </w:rPr>
      </w:pPr>
      <w:r>
        <w:t>D.</w:t>
      </w:r>
      <w:r>
        <w:rPr>
          <w:rFonts w:asciiTheme="minorHAnsi" w:eastAsiaTheme="minorEastAsia" w:hAnsiTheme="minorHAnsi" w:cstheme="minorBidi"/>
          <w:szCs w:val="22"/>
        </w:rPr>
        <w:tab/>
      </w:r>
      <w:r>
        <w:t>Additional Measures to Prevent Waste, Fraud and Abuse</w:t>
      </w:r>
      <w:r>
        <w:tab/>
        <w:t>294</w:t>
      </w:r>
    </w:p>
    <w:p w14:paraId="77EFCC7E" w14:textId="04CC4F07" w:rsidR="00302032" w:rsidRDefault="00302032" w:rsidP="00302032">
      <w:pPr>
        <w:pStyle w:val="TOC3"/>
        <w:tabs>
          <w:tab w:val="left" w:pos="360"/>
        </w:tabs>
        <w:rPr>
          <w:rFonts w:asciiTheme="minorHAnsi" w:eastAsiaTheme="minorEastAsia" w:hAnsiTheme="minorHAnsi" w:cstheme="minorBidi"/>
          <w:szCs w:val="22"/>
        </w:rPr>
      </w:pPr>
      <w:r>
        <w:t>1.</w:t>
      </w:r>
      <w:r>
        <w:rPr>
          <w:rFonts w:asciiTheme="minorHAnsi" w:eastAsiaTheme="minorEastAsia" w:hAnsiTheme="minorHAnsi" w:cstheme="minorBidi"/>
          <w:szCs w:val="22"/>
        </w:rPr>
        <w:tab/>
      </w:r>
      <w:r>
        <w:t>Extending the E-rate Document Retention Requirements</w:t>
      </w:r>
      <w:r>
        <w:tab/>
        <w:t>295</w:t>
      </w:r>
    </w:p>
    <w:p w14:paraId="4584EF11" w14:textId="4E98825F" w:rsidR="00302032" w:rsidRDefault="00302032" w:rsidP="00302032">
      <w:pPr>
        <w:pStyle w:val="TOC3"/>
        <w:tabs>
          <w:tab w:val="left" w:pos="360"/>
        </w:tabs>
        <w:rPr>
          <w:rFonts w:asciiTheme="minorHAnsi" w:eastAsiaTheme="minorEastAsia" w:hAnsiTheme="minorHAnsi" w:cstheme="minorBidi"/>
          <w:szCs w:val="22"/>
        </w:rPr>
      </w:pPr>
      <w:r>
        <w:t>2.</w:t>
      </w:r>
      <w:r>
        <w:rPr>
          <w:rFonts w:asciiTheme="minorHAnsi" w:eastAsiaTheme="minorEastAsia" w:hAnsiTheme="minorHAnsi" w:cstheme="minorBidi"/>
          <w:szCs w:val="22"/>
        </w:rPr>
        <w:tab/>
      </w:r>
      <w:r>
        <w:t>Documentation of Competitive Bidding</w:t>
      </w:r>
      <w:r>
        <w:tab/>
        <w:t>298</w:t>
      </w:r>
    </w:p>
    <w:p w14:paraId="17D42B3B" w14:textId="3195CCAE" w:rsidR="00302032" w:rsidRDefault="00302032" w:rsidP="00302032">
      <w:pPr>
        <w:pStyle w:val="TOC3"/>
        <w:tabs>
          <w:tab w:val="left" w:pos="360"/>
        </w:tabs>
        <w:rPr>
          <w:rFonts w:asciiTheme="minorHAnsi" w:eastAsiaTheme="minorEastAsia" w:hAnsiTheme="minorHAnsi" w:cstheme="minorBidi"/>
          <w:szCs w:val="22"/>
        </w:rPr>
      </w:pPr>
      <w:r>
        <w:t>3.</w:t>
      </w:r>
      <w:r>
        <w:rPr>
          <w:rFonts w:asciiTheme="minorHAnsi" w:eastAsiaTheme="minorEastAsia" w:hAnsiTheme="minorHAnsi" w:cstheme="minorBidi"/>
          <w:szCs w:val="22"/>
        </w:rPr>
        <w:tab/>
      </w:r>
      <w:r>
        <w:t>E-rate FCC Form Certification Requirements</w:t>
      </w:r>
      <w:r>
        <w:tab/>
        <w:t>299</w:t>
      </w:r>
    </w:p>
    <w:p w14:paraId="418B37EC" w14:textId="1E09EB0B" w:rsidR="00302032" w:rsidRDefault="00302032" w:rsidP="00302032">
      <w:pPr>
        <w:pStyle w:val="TOC3"/>
        <w:tabs>
          <w:tab w:val="left" w:pos="360"/>
        </w:tabs>
        <w:rPr>
          <w:rFonts w:asciiTheme="minorHAnsi" w:eastAsiaTheme="minorEastAsia" w:hAnsiTheme="minorHAnsi" w:cstheme="minorBidi"/>
          <w:szCs w:val="22"/>
        </w:rPr>
      </w:pPr>
      <w:r>
        <w:t>4.</w:t>
      </w:r>
      <w:r>
        <w:rPr>
          <w:rFonts w:asciiTheme="minorHAnsi" w:eastAsiaTheme="minorEastAsia" w:hAnsiTheme="minorHAnsi" w:cstheme="minorBidi"/>
          <w:szCs w:val="22"/>
        </w:rPr>
        <w:tab/>
      </w:r>
      <w:r>
        <w:t>Post-Commitment Compliance and Enforcement.</w:t>
      </w:r>
      <w:r>
        <w:tab/>
        <w:t>314</w:t>
      </w:r>
    </w:p>
    <w:p w14:paraId="14ED2923" w14:textId="7C84AF90" w:rsidR="00302032" w:rsidRDefault="00302032" w:rsidP="00302032">
      <w:pPr>
        <w:pStyle w:val="TOC2"/>
        <w:tabs>
          <w:tab w:val="left" w:pos="360"/>
        </w:tabs>
        <w:rPr>
          <w:rFonts w:asciiTheme="minorHAnsi" w:eastAsiaTheme="minorEastAsia" w:hAnsiTheme="minorHAnsi" w:cstheme="minorBidi"/>
          <w:szCs w:val="22"/>
        </w:rPr>
      </w:pPr>
      <w:r>
        <w:t>E.</w:t>
      </w:r>
      <w:r>
        <w:rPr>
          <w:rFonts w:asciiTheme="minorHAnsi" w:eastAsiaTheme="minorEastAsia" w:hAnsiTheme="minorHAnsi" w:cstheme="minorBidi"/>
          <w:szCs w:val="22"/>
        </w:rPr>
        <w:tab/>
      </w:r>
      <w:r>
        <w:t>Wireless Community Hotspots</w:t>
      </w:r>
      <w:r>
        <w:tab/>
        <w:t>319</w:t>
      </w:r>
    </w:p>
    <w:p w14:paraId="694FD35E" w14:textId="764ABBE6" w:rsidR="00302032" w:rsidRDefault="00302032" w:rsidP="00302032">
      <w:pPr>
        <w:pStyle w:val="TOC2"/>
        <w:tabs>
          <w:tab w:val="left" w:pos="360"/>
        </w:tabs>
        <w:rPr>
          <w:rFonts w:asciiTheme="minorHAnsi" w:eastAsiaTheme="minorEastAsia" w:hAnsiTheme="minorHAnsi" w:cstheme="minorBidi"/>
          <w:szCs w:val="22"/>
        </w:rPr>
      </w:pPr>
      <w:r>
        <w:t>F.</w:t>
      </w:r>
      <w:r>
        <w:rPr>
          <w:rFonts w:asciiTheme="minorHAnsi" w:eastAsiaTheme="minorEastAsia" w:hAnsiTheme="minorHAnsi" w:cstheme="minorBidi"/>
          <w:szCs w:val="22"/>
        </w:rPr>
        <w:tab/>
      </w:r>
      <w:r>
        <w:t>Procedures for National Emergencies</w:t>
      </w:r>
      <w:r>
        <w:tab/>
        <w:t>324</w:t>
      </w:r>
    </w:p>
    <w:p w14:paraId="366CAB12" w14:textId="416AB297" w:rsidR="00302032" w:rsidRDefault="00302032" w:rsidP="00302032">
      <w:pPr>
        <w:pStyle w:val="TOC1"/>
        <w:rPr>
          <w:rFonts w:asciiTheme="minorHAnsi" w:eastAsiaTheme="minorEastAsia" w:hAnsiTheme="minorHAnsi" w:cstheme="minorBidi"/>
          <w:caps w:val="0"/>
          <w:szCs w:val="22"/>
        </w:rPr>
      </w:pPr>
      <w:r>
        <w:t>VII.</w:t>
      </w:r>
      <w:r>
        <w:rPr>
          <w:rFonts w:asciiTheme="minorHAnsi" w:eastAsiaTheme="minorEastAsia" w:hAnsiTheme="minorHAnsi" w:cstheme="minorBidi"/>
          <w:caps w:val="0"/>
          <w:szCs w:val="22"/>
        </w:rPr>
        <w:t xml:space="preserve">   </w:t>
      </w:r>
      <w:r>
        <w:t>Procedural matters</w:t>
      </w:r>
      <w:r>
        <w:tab/>
        <w:t>330</w:t>
      </w:r>
    </w:p>
    <w:p w14:paraId="2A3C0C74" w14:textId="7819E6D9" w:rsidR="00302032" w:rsidRDefault="00302032" w:rsidP="00302032">
      <w:pPr>
        <w:pStyle w:val="TOC1"/>
        <w:tabs>
          <w:tab w:val="left" w:pos="720"/>
        </w:tabs>
        <w:rPr>
          <w:rFonts w:asciiTheme="minorHAnsi" w:eastAsiaTheme="minorEastAsia" w:hAnsiTheme="minorHAnsi" w:cstheme="minorBidi"/>
          <w:caps w:val="0"/>
          <w:szCs w:val="22"/>
        </w:rPr>
      </w:pPr>
      <w:r>
        <w:t>VIII.</w:t>
      </w:r>
      <w:r w:rsidR="001A6572">
        <w:rPr>
          <w:rFonts w:asciiTheme="minorHAnsi" w:eastAsiaTheme="minorEastAsia" w:hAnsiTheme="minorHAnsi" w:cstheme="minorBidi"/>
          <w:caps w:val="0"/>
          <w:szCs w:val="22"/>
        </w:rPr>
        <w:t xml:space="preserve">  </w:t>
      </w:r>
      <w:r>
        <w:t>ordering clauses</w:t>
      </w:r>
      <w:r>
        <w:tab/>
        <w:t>338</w:t>
      </w:r>
    </w:p>
    <w:bookmarkEnd w:id="1"/>
    <w:p w14:paraId="5CD3B235" w14:textId="77777777" w:rsidR="00CB727C" w:rsidRDefault="00CB727C" w:rsidP="00CB727C">
      <w:pPr>
        <w:rPr>
          <w:rFonts w:eastAsiaTheme="minorEastAsia"/>
        </w:rPr>
      </w:pPr>
      <w:r>
        <w:rPr>
          <w:rFonts w:eastAsiaTheme="minorEastAsia"/>
        </w:rPr>
        <w:t>APPENDIX A – Proposed Rules</w:t>
      </w:r>
    </w:p>
    <w:p w14:paraId="40688594" w14:textId="77777777" w:rsidR="00CB727C" w:rsidRDefault="00CB727C" w:rsidP="00CB727C">
      <w:pPr>
        <w:rPr>
          <w:rFonts w:eastAsiaTheme="minorEastAsia"/>
        </w:rPr>
      </w:pPr>
      <w:r>
        <w:rPr>
          <w:rFonts w:eastAsiaTheme="minorEastAsia"/>
        </w:rPr>
        <w:t xml:space="preserve">APPENDIX B – 2013 </w:t>
      </w:r>
      <w:r>
        <w:t>Eligible Services List</w:t>
      </w:r>
    </w:p>
    <w:p w14:paraId="04D94EF1" w14:textId="77777777" w:rsidR="00CB727C" w:rsidRDefault="00CB727C" w:rsidP="00CB727C">
      <w:r>
        <w:t>APPENDIX C – Funding Requested vs. Available and Disbursed Chart</w:t>
      </w:r>
    </w:p>
    <w:p w14:paraId="2C0F31AE" w14:textId="249DDCB8" w:rsidR="00CB727C" w:rsidRDefault="00CB727C" w:rsidP="00CB727C">
      <w:pPr>
        <w:pStyle w:val="ParaNum"/>
        <w:numPr>
          <w:ilvl w:val="0"/>
          <w:numId w:val="0"/>
        </w:numPr>
      </w:pPr>
      <w:r>
        <w:t>APPENDIX D – Initial Regulatory Flexibility Analysis</w:t>
      </w:r>
    </w:p>
    <w:p w14:paraId="5E4C14E9" w14:textId="4BFAB8E7" w:rsidR="000627C7" w:rsidRPr="00AE799A" w:rsidRDefault="00126FD2" w:rsidP="003B5F11">
      <w:pPr>
        <w:pStyle w:val="Heading1"/>
      </w:pPr>
      <w:bookmarkStart w:id="31" w:name="_Toc358982370"/>
      <w:bookmarkStart w:id="32" w:name="_Toc358982460"/>
      <w:bookmarkStart w:id="33" w:name="_Toc359239242"/>
      <w:bookmarkStart w:id="34" w:name="_Toc359239299"/>
      <w:bookmarkStart w:id="35" w:name="_Toc359252258"/>
      <w:bookmarkStart w:id="36" w:name="_Toc359326007"/>
      <w:bookmarkStart w:id="37" w:name="_Toc359333255"/>
      <w:bookmarkStart w:id="38" w:name="_Toc359339909"/>
      <w:bookmarkStart w:id="39" w:name="_Toc359343173"/>
      <w:bookmarkStart w:id="40" w:name="_Toc359346982"/>
      <w:bookmarkStart w:id="41" w:name="_Toc359598670"/>
      <w:bookmarkStart w:id="42" w:name="_Toc359853135"/>
      <w:bookmarkStart w:id="43" w:name="_Toc359853368"/>
      <w:bookmarkStart w:id="44" w:name="_Toc359853634"/>
      <w:bookmarkStart w:id="45" w:name="_Toc359858594"/>
      <w:bookmarkStart w:id="46" w:name="_Toc359859578"/>
      <w:bookmarkStart w:id="47" w:name="_Toc359940036"/>
      <w:bookmarkStart w:id="48" w:name="_Toc360025410"/>
      <w:bookmarkStart w:id="49" w:name="_Toc360107466"/>
      <w:bookmarkStart w:id="50" w:name="_Toc360111590"/>
      <w:bookmarkStart w:id="51" w:name="_Toc360172775"/>
      <w:bookmarkStart w:id="52" w:name="_Toc360186106"/>
      <w:bookmarkStart w:id="53" w:name="_Toc360186183"/>
      <w:bookmarkStart w:id="54" w:name="_Toc360186387"/>
      <w:bookmarkStart w:id="55" w:name="_Toc360186464"/>
      <w:bookmarkStart w:id="56" w:name="_Toc360187260"/>
      <w:bookmarkStart w:id="57" w:name="_Toc360187426"/>
      <w:bookmarkStart w:id="58" w:name="_Toc360208877"/>
      <w:bookmarkStart w:id="59" w:name="_Toc360212010"/>
      <w:bookmarkStart w:id="60" w:name="_Toc361663078"/>
      <w:bookmarkStart w:id="61" w:name="_Toc361857658"/>
      <w:bookmarkStart w:id="62" w:name="_Toc361918750"/>
      <w:bookmarkStart w:id="63" w:name="_Toc362272530"/>
      <w:r>
        <w:lastRenderedPageBreak/>
        <w:t>Introduction</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p w14:paraId="15ECF163" w14:textId="64BA7714" w:rsidR="003E50AF" w:rsidRPr="009E2761" w:rsidRDefault="003E50AF" w:rsidP="00DA25DB">
      <w:pPr>
        <w:pStyle w:val="ParaNum"/>
        <w:rPr>
          <w:rStyle w:val="stylenumberedparagraphs11ptchar0"/>
        </w:rPr>
      </w:pPr>
      <w:bookmarkStart w:id="64" w:name="_Toc352078306"/>
      <w:bookmarkStart w:id="65" w:name="_Toc352078358"/>
      <w:bookmarkStart w:id="66" w:name="_Toc352078420"/>
      <w:bookmarkStart w:id="67" w:name="_Toc352079011"/>
      <w:bookmarkStart w:id="68" w:name="_Toc352080372"/>
      <w:bookmarkStart w:id="69" w:name="_Toc352139755"/>
      <w:r w:rsidRPr="00AE799A">
        <w:t xml:space="preserve">In this Notice of Proposed Rulemaking (NPRM), we initiate a </w:t>
      </w:r>
      <w:r>
        <w:t>thorough review and update of</w:t>
      </w:r>
      <w:r w:rsidRPr="00AE799A">
        <w:t xml:space="preserve"> the E-rate program (more formally known as the schools and libraries universal service support mechanism)</w:t>
      </w:r>
      <w:r>
        <w:t>,</w:t>
      </w:r>
      <w:r w:rsidRPr="00AE799A">
        <w:t xml:space="preserve"> </w:t>
      </w:r>
      <w:r>
        <w:t>building on reforms adopted in 2010 as well as the Commission’s reforms of each of the other universal service programs.  During</w:t>
      </w:r>
      <w:r w:rsidRPr="00AB168E">
        <w:t xml:space="preserve"> </w:t>
      </w:r>
      <w:r>
        <w:rPr>
          <w:color w:val="000000"/>
        </w:rPr>
        <w:t>the p</w:t>
      </w:r>
      <w:r w:rsidRPr="00AE799A">
        <w:rPr>
          <w:color w:val="000000"/>
        </w:rPr>
        <w:t xml:space="preserve">ast 15 years, the financial support provided </w:t>
      </w:r>
      <w:r>
        <w:rPr>
          <w:color w:val="000000"/>
        </w:rPr>
        <w:t>by</w:t>
      </w:r>
      <w:r w:rsidRPr="00AE799A">
        <w:rPr>
          <w:color w:val="000000"/>
        </w:rPr>
        <w:t xml:space="preserve"> the E-rate</w:t>
      </w:r>
      <w:r w:rsidRPr="00AE799A">
        <w:t xml:space="preserve"> program has helped revolutionize schools’ and libraries’ access to </w:t>
      </w:r>
      <w:r>
        <w:t xml:space="preserve">modern </w:t>
      </w:r>
      <w:r w:rsidRPr="00AE799A">
        <w:t>communications networks</w:t>
      </w:r>
      <w:r>
        <w:t xml:space="preserve">.  </w:t>
      </w:r>
      <w:r>
        <w:rPr>
          <w:rStyle w:val="stylenumberedparagraphs11ptchar0"/>
          <w:szCs w:val="22"/>
        </w:rPr>
        <w:t xml:space="preserve">E-rate-supported </w:t>
      </w:r>
      <w:r w:rsidR="00373E0C">
        <w:rPr>
          <w:rStyle w:val="stylenumberedparagraphs11ptchar0"/>
          <w:szCs w:val="22"/>
        </w:rPr>
        <w:t>Internet connections</w:t>
      </w:r>
      <w:r w:rsidR="00E76718" w:rsidRPr="00940981">
        <w:rPr>
          <w:rStyle w:val="stylenumberedparagraphs11ptchar0"/>
          <w:szCs w:val="22"/>
        </w:rPr>
        <w:t xml:space="preserve"> </w:t>
      </w:r>
      <w:r w:rsidR="00373E0C">
        <w:rPr>
          <w:rStyle w:val="stylenumberedparagraphs11ptchar0"/>
          <w:szCs w:val="22"/>
        </w:rPr>
        <w:t xml:space="preserve">are </w:t>
      </w:r>
      <w:r>
        <w:rPr>
          <w:rStyle w:val="stylenumberedparagraphs11ptchar0"/>
          <w:szCs w:val="22"/>
        </w:rPr>
        <w:t xml:space="preserve">crucial </w:t>
      </w:r>
      <w:r w:rsidRPr="00940981">
        <w:rPr>
          <w:rStyle w:val="stylenumberedparagraphs11ptchar0"/>
          <w:szCs w:val="22"/>
        </w:rPr>
        <w:t xml:space="preserve">for learning and </w:t>
      </w:r>
      <w:r>
        <w:rPr>
          <w:rStyle w:val="stylenumberedparagraphs11ptchar0"/>
          <w:szCs w:val="22"/>
        </w:rPr>
        <w:t xml:space="preserve">for the operation of </w:t>
      </w:r>
      <w:r w:rsidRPr="00940981">
        <w:rPr>
          <w:rStyle w:val="stylenumberedparagraphs11ptchar0"/>
          <w:szCs w:val="22"/>
        </w:rPr>
        <w:t>modern school</w:t>
      </w:r>
      <w:r>
        <w:rPr>
          <w:rStyle w:val="stylenumberedparagraphs11ptchar0"/>
          <w:szCs w:val="22"/>
        </w:rPr>
        <w:t>s and libraries.</w:t>
      </w:r>
      <w:bookmarkStart w:id="70" w:name="_Ref360206634"/>
      <w:r w:rsidR="00373E0C">
        <w:rPr>
          <w:rStyle w:val="FootnoteReference"/>
          <w:szCs w:val="22"/>
        </w:rPr>
        <w:footnoteReference w:id="2"/>
      </w:r>
      <w:bookmarkEnd w:id="70"/>
      <w:r w:rsidRPr="00940981">
        <w:rPr>
          <w:rStyle w:val="stylenumberedparagraphs11ptchar0"/>
          <w:szCs w:val="22"/>
        </w:rPr>
        <w:t xml:space="preserve"> </w:t>
      </w:r>
      <w:r>
        <w:rPr>
          <w:rStyle w:val="stylenumberedparagraphs11ptchar0"/>
          <w:szCs w:val="22"/>
        </w:rPr>
        <w:t xml:space="preserve"> Increasingly</w:t>
      </w:r>
      <w:r w:rsidR="00B03CFD">
        <w:rPr>
          <w:rStyle w:val="stylenumberedparagraphs11ptchar0"/>
          <w:szCs w:val="22"/>
        </w:rPr>
        <w:t>,</w:t>
      </w:r>
      <w:r>
        <w:rPr>
          <w:rStyle w:val="stylenumberedparagraphs11ptchar0"/>
          <w:szCs w:val="22"/>
        </w:rPr>
        <w:t xml:space="preserve"> schools and libraries require high</w:t>
      </w:r>
      <w:r w:rsidR="00373E0C">
        <w:rPr>
          <w:rStyle w:val="stylenumberedparagraphs11ptchar0"/>
          <w:szCs w:val="22"/>
        </w:rPr>
        <w:t>-</w:t>
      </w:r>
      <w:r>
        <w:rPr>
          <w:rStyle w:val="stylenumberedparagraphs11ptchar0"/>
          <w:szCs w:val="22"/>
        </w:rPr>
        <w:t>capacity broadband</w:t>
      </w:r>
      <w:r w:rsidR="007A7013">
        <w:rPr>
          <w:rStyle w:val="FootnoteReference"/>
          <w:szCs w:val="22"/>
        </w:rPr>
        <w:footnoteReference w:id="3"/>
      </w:r>
      <w:r>
        <w:rPr>
          <w:rStyle w:val="stylenumberedparagraphs11ptchar0"/>
          <w:szCs w:val="22"/>
        </w:rPr>
        <w:t xml:space="preserve"> connections to take advantage of </w:t>
      </w:r>
      <w:r w:rsidRPr="00AE799A">
        <w:rPr>
          <w:rStyle w:val="stylenumberedparagraphs11ptchar0"/>
          <w:szCs w:val="22"/>
        </w:rPr>
        <w:t>digital</w:t>
      </w:r>
      <w:r>
        <w:rPr>
          <w:rStyle w:val="stylenumberedparagraphs11ptchar0"/>
          <w:szCs w:val="22"/>
        </w:rPr>
        <w:t xml:space="preserve"> learning technologies that hold the promise of substantially improving educational experiences and expanding opportunity for students, teachers, parents and whole communities.</w:t>
      </w:r>
      <w:r w:rsidR="00597A58">
        <w:rPr>
          <w:rStyle w:val="FootnoteReference"/>
          <w:szCs w:val="22"/>
        </w:rPr>
        <w:footnoteReference w:id="4"/>
      </w:r>
      <w:r w:rsidR="00597A58" w:rsidRPr="00940981">
        <w:rPr>
          <w:rStyle w:val="stylenumberedparagraphs11ptchar0"/>
          <w:szCs w:val="22"/>
        </w:rPr>
        <w:t xml:space="preserve"> </w:t>
      </w:r>
      <w:r>
        <w:rPr>
          <w:rStyle w:val="stylenumberedparagraphs11ptchar0"/>
          <w:szCs w:val="22"/>
        </w:rPr>
        <w:t xml:space="preserve"> As a result</w:t>
      </w:r>
      <w:r w:rsidR="00B03CFD">
        <w:rPr>
          <w:rStyle w:val="stylenumberedparagraphs11ptchar0"/>
          <w:szCs w:val="22"/>
        </w:rPr>
        <w:t>,</w:t>
      </w:r>
      <w:r>
        <w:rPr>
          <w:rStyle w:val="stylenumberedparagraphs11ptchar0"/>
          <w:szCs w:val="22"/>
        </w:rPr>
        <w:t xml:space="preserve"> there </w:t>
      </w:r>
      <w:r w:rsidR="000D1599">
        <w:rPr>
          <w:rStyle w:val="stylenumberedparagraphs11ptchar0"/>
          <w:szCs w:val="22"/>
        </w:rPr>
        <w:t xml:space="preserve">is </w:t>
      </w:r>
      <w:r>
        <w:rPr>
          <w:rStyle w:val="stylenumberedparagraphs11ptchar0"/>
          <w:szCs w:val="22"/>
        </w:rPr>
        <w:t>a growing chorus of calls to build on the success of the E-rate program by modernizing the program and adopting clear forward-looking goals aimed at efficiently and effectively ensuring high-capacity connections to schools and libraries nationwide.</w:t>
      </w:r>
    </w:p>
    <w:p w14:paraId="5B056F97" w14:textId="607715E7" w:rsidR="0030545A" w:rsidRPr="00AA02D1" w:rsidRDefault="00E76718" w:rsidP="00DA25DB">
      <w:pPr>
        <w:pStyle w:val="ParaNum"/>
        <w:rPr>
          <w:rStyle w:val="stylenumberedparagraphs11ptchar0"/>
        </w:rPr>
      </w:pPr>
      <w:r>
        <w:rPr>
          <w:rStyle w:val="stylenumberedparagraphs11ptchar0"/>
          <w:szCs w:val="22"/>
        </w:rPr>
        <w:t xml:space="preserve">E-rate has been instrumental in ensuring our schools and libraries have the connectivity necessary to enable students and library patrons to participate in the digital world.  </w:t>
      </w:r>
      <w:r>
        <w:t>When Congress passed the Telecommunications Act of 1996 authorizing the creation of the E-rate program</w:t>
      </w:r>
      <w:r w:rsidR="00B03CFD">
        <w:t>,</w:t>
      </w:r>
      <w:r>
        <w:t xml:space="preserve"> only 14 percent of </w:t>
      </w:r>
      <w:r w:rsidRPr="004F322C">
        <w:rPr>
          <w:rStyle w:val="stylenumberedparagraphs11ptchar0"/>
        </w:rPr>
        <w:t>classrooms</w:t>
      </w:r>
      <w:r>
        <w:t xml:space="preserve"> had access to the Internet, and most schools with Internet access (74 percent) used dial-up Internet access.</w:t>
      </w:r>
      <w:r w:rsidRPr="00AE799A">
        <w:rPr>
          <w:rStyle w:val="FootnoteReference"/>
          <w:color w:val="000000"/>
          <w:szCs w:val="22"/>
        </w:rPr>
        <w:footnoteReference w:id="5"/>
      </w:r>
      <w:r w:rsidRPr="00AE799A">
        <w:t xml:space="preserve">  </w:t>
      </w:r>
      <w:r>
        <w:t xml:space="preserve">By 2005, </w:t>
      </w:r>
      <w:r w:rsidRPr="00AE799A">
        <w:t>nearl</w:t>
      </w:r>
      <w:r>
        <w:t>y all schools had</w:t>
      </w:r>
      <w:r w:rsidRPr="00AE799A">
        <w:t xml:space="preserve"> access to </w:t>
      </w:r>
      <w:r>
        <w:t xml:space="preserve">the </w:t>
      </w:r>
      <w:r w:rsidRPr="00AE799A">
        <w:t>Internet</w:t>
      </w:r>
      <w:r>
        <w:t>, and</w:t>
      </w:r>
      <w:r w:rsidRPr="00AE799A">
        <w:t xml:space="preserve"> </w:t>
      </w:r>
      <w:r>
        <w:t xml:space="preserve">94 </w:t>
      </w:r>
      <w:r>
        <w:lastRenderedPageBreak/>
        <w:t xml:space="preserve">percent of all </w:t>
      </w:r>
      <w:r w:rsidRPr="00AE799A">
        <w:t>instructional classrooms</w:t>
      </w:r>
      <w:r>
        <w:t xml:space="preserve"> had Internet access.</w:t>
      </w:r>
      <w:r w:rsidRPr="00AE799A">
        <w:rPr>
          <w:rStyle w:val="FootnoteReference"/>
          <w:szCs w:val="22"/>
        </w:rPr>
        <w:footnoteReference w:id="6"/>
      </w:r>
      <w:r w:rsidRPr="00AE799A">
        <w:t xml:space="preserve">  Similarly, </w:t>
      </w:r>
      <w:r>
        <w:t>by 2006</w:t>
      </w:r>
      <w:r w:rsidR="00B03CFD">
        <w:t>,</w:t>
      </w:r>
      <w:r>
        <w:t xml:space="preserve"> nearly all public libraries were</w:t>
      </w:r>
      <w:r w:rsidRPr="00AE799A">
        <w:t xml:space="preserve"> connected to the Internet,</w:t>
      </w:r>
      <w:r>
        <w:t xml:space="preserve"> and 98 percent of them</w:t>
      </w:r>
      <w:r w:rsidRPr="00AE799A">
        <w:t xml:space="preserve"> offe</w:t>
      </w:r>
      <w:r>
        <w:t xml:space="preserve">red </w:t>
      </w:r>
      <w:r w:rsidRPr="00AE799A">
        <w:t>public Internet access.</w:t>
      </w:r>
      <w:r w:rsidRPr="00AE799A">
        <w:rPr>
          <w:rStyle w:val="FootnoteReference"/>
          <w:szCs w:val="22"/>
        </w:rPr>
        <w:footnoteReference w:id="7"/>
      </w:r>
      <w:r w:rsidRPr="00AE799A">
        <w:t xml:space="preserve"> </w:t>
      </w:r>
      <w:r w:rsidRPr="00AB168E">
        <w:t xml:space="preserve"> </w:t>
      </w:r>
      <w:r w:rsidRPr="009E2761">
        <w:rPr>
          <w:rStyle w:val="stylenumberedparagraphs11ptchar0"/>
          <w:szCs w:val="22"/>
        </w:rPr>
        <w:t xml:space="preserve">The challenge we now face is modernizing the program to ensure that our nation’s students and communities have access to </w:t>
      </w:r>
      <w:r w:rsidR="00776A33">
        <w:rPr>
          <w:rStyle w:val="stylenumberedparagraphs11ptchar0"/>
          <w:szCs w:val="22"/>
        </w:rPr>
        <w:t>high</w:t>
      </w:r>
      <w:r w:rsidR="00AE5162">
        <w:rPr>
          <w:rStyle w:val="stylenumberedparagraphs11ptchar0"/>
          <w:szCs w:val="22"/>
        </w:rPr>
        <w:t>-</w:t>
      </w:r>
      <w:r w:rsidR="00776A33">
        <w:rPr>
          <w:rStyle w:val="stylenumberedparagraphs11ptchar0"/>
          <w:szCs w:val="22"/>
        </w:rPr>
        <w:t xml:space="preserve">capacity </w:t>
      </w:r>
      <w:r w:rsidRPr="009E2761">
        <w:rPr>
          <w:rStyle w:val="stylenumberedparagraphs11ptchar0"/>
          <w:szCs w:val="22"/>
        </w:rPr>
        <w:t xml:space="preserve">broadband connections </w:t>
      </w:r>
      <w:r w:rsidR="00776A33">
        <w:rPr>
          <w:rStyle w:val="stylenumberedparagraphs11ptchar0"/>
          <w:szCs w:val="22"/>
        </w:rPr>
        <w:t xml:space="preserve">that support digital learning </w:t>
      </w:r>
      <w:r w:rsidRPr="009E2761">
        <w:rPr>
          <w:rStyle w:val="stylenumberedparagraphs11ptchar0"/>
          <w:szCs w:val="22"/>
        </w:rPr>
        <w:t xml:space="preserve">while </w:t>
      </w:r>
      <w:r>
        <w:rPr>
          <w:rStyle w:val="stylenumberedparagraphs11ptchar0"/>
          <w:szCs w:val="22"/>
        </w:rPr>
        <w:t>making sure that the program remains</w:t>
      </w:r>
      <w:r w:rsidRPr="009E2761">
        <w:rPr>
          <w:rStyle w:val="stylenumberedparagraphs11ptchar0"/>
          <w:szCs w:val="22"/>
        </w:rPr>
        <w:t xml:space="preserve"> fiscally responsible and fair to the consumers and businesses that pay into the universal service fund (USF or Fund). </w:t>
      </w:r>
    </w:p>
    <w:p w14:paraId="466E487C" w14:textId="53901E60" w:rsidR="00E76718" w:rsidRPr="00BB386A" w:rsidRDefault="00E76718" w:rsidP="00DA25DB">
      <w:pPr>
        <w:pStyle w:val="ParaNum"/>
        <w:rPr>
          <w:rStyle w:val="stylenumberedparagraphs11ptchar0"/>
          <w:szCs w:val="22"/>
        </w:rPr>
      </w:pPr>
      <w:bookmarkStart w:id="71" w:name="_Ref360188317"/>
      <w:r>
        <w:rPr>
          <w:rStyle w:val="stylenumberedparagraphs11ptchar0"/>
          <w:szCs w:val="22"/>
        </w:rPr>
        <w:t xml:space="preserve">In schools, </w:t>
      </w:r>
      <w:r w:rsidR="00AE5162">
        <w:rPr>
          <w:rStyle w:val="stylenumberedparagraphs11ptchar0"/>
          <w:szCs w:val="22"/>
        </w:rPr>
        <w:t>high-capacity broadband</w:t>
      </w:r>
      <w:r w:rsidRPr="00940981">
        <w:rPr>
          <w:rStyle w:val="stylenumberedparagraphs11ptchar0"/>
          <w:szCs w:val="22"/>
        </w:rPr>
        <w:t xml:space="preserve"> </w:t>
      </w:r>
      <w:r w:rsidR="00810E10">
        <w:rPr>
          <w:rStyle w:val="stylenumberedparagraphs11ptchar0"/>
          <w:szCs w:val="22"/>
        </w:rPr>
        <w:t>connectivity</w:t>
      </w:r>
      <w:r>
        <w:rPr>
          <w:rStyle w:val="stylenumberedparagraphs11ptchar0"/>
          <w:szCs w:val="22"/>
        </w:rPr>
        <w:t>,</w:t>
      </w:r>
      <w:r w:rsidRPr="00940981">
        <w:rPr>
          <w:rStyle w:val="stylenumberedparagraphs11ptchar0"/>
          <w:szCs w:val="22"/>
        </w:rPr>
        <w:t xml:space="preserve"> combined with cutting</w:t>
      </w:r>
      <w:r w:rsidRPr="00940981">
        <w:rPr>
          <w:rStyle w:val="stylenumberedparagraphs11ptchar0"/>
          <w:rFonts w:cs="Arial"/>
          <w:szCs w:val="22"/>
        </w:rPr>
        <w:t>-edge educational tools and content</w:t>
      </w:r>
      <w:r>
        <w:rPr>
          <w:rStyle w:val="stylenumberedparagraphs11ptchar0"/>
          <w:rFonts w:cs="Arial"/>
          <w:szCs w:val="22"/>
        </w:rPr>
        <w:t>,</w:t>
      </w:r>
      <w:r w:rsidRPr="00940981">
        <w:rPr>
          <w:rStyle w:val="stylenumberedparagraphs11ptchar0"/>
          <w:rFonts w:cs="Arial"/>
          <w:szCs w:val="22"/>
        </w:rPr>
        <w:t xml:space="preserve"> is transforming learning </w:t>
      </w:r>
      <w:r>
        <w:rPr>
          <w:rStyle w:val="stylenumberedparagraphs11ptchar0"/>
          <w:rFonts w:cs="Arial"/>
          <w:szCs w:val="22"/>
        </w:rPr>
        <w:t>by providing</w:t>
      </w:r>
      <w:r w:rsidRPr="00940981">
        <w:rPr>
          <w:rStyle w:val="stylenumberedparagraphs11ptchar0"/>
          <w:rFonts w:cs="Arial"/>
          <w:szCs w:val="22"/>
        </w:rPr>
        <w:t xml:space="preserve"> customized </w:t>
      </w:r>
      <w:r w:rsidR="00776A33">
        <w:rPr>
          <w:rStyle w:val="stylenumberedparagraphs11ptchar0"/>
          <w:rFonts w:cs="Arial"/>
          <w:szCs w:val="22"/>
        </w:rPr>
        <w:t xml:space="preserve">teaching </w:t>
      </w:r>
      <w:r w:rsidRPr="00940981">
        <w:rPr>
          <w:rStyle w:val="stylenumberedparagraphs11ptchar0"/>
          <w:rFonts w:cs="Arial"/>
          <w:szCs w:val="22"/>
        </w:rPr>
        <w:t>opportunities</w:t>
      </w:r>
      <w:r>
        <w:rPr>
          <w:rStyle w:val="stylenumberedparagraphs11ptchar0"/>
          <w:rFonts w:cs="Arial"/>
          <w:szCs w:val="22"/>
        </w:rPr>
        <w:t>, giving students and teachers access to</w:t>
      </w:r>
      <w:r w:rsidRPr="00940981">
        <w:rPr>
          <w:rStyle w:val="stylenumberedparagraphs11ptchar0"/>
          <w:rFonts w:cs="Arial"/>
          <w:szCs w:val="22"/>
        </w:rPr>
        <w:t xml:space="preserve"> </w:t>
      </w:r>
      <w:r w:rsidRPr="002F34FB">
        <w:rPr>
          <w:rStyle w:val="stylenumberedparagraphs11ptchar0"/>
          <w:szCs w:val="22"/>
        </w:rPr>
        <w:t>interactive</w:t>
      </w:r>
      <w:r w:rsidRPr="00940981">
        <w:rPr>
          <w:rStyle w:val="stylenumberedparagraphs11ptchar0"/>
          <w:rFonts w:cs="Arial"/>
          <w:szCs w:val="22"/>
        </w:rPr>
        <w:t xml:space="preserve"> content</w:t>
      </w:r>
      <w:r>
        <w:rPr>
          <w:rStyle w:val="stylenumberedparagraphs11ptchar0"/>
          <w:rFonts w:cs="Arial"/>
          <w:szCs w:val="22"/>
        </w:rPr>
        <w:t>, and offering</w:t>
      </w:r>
      <w:r w:rsidRPr="00940981">
        <w:rPr>
          <w:rStyle w:val="stylenumberedparagraphs11ptchar0"/>
          <w:rFonts w:cs="Arial"/>
          <w:szCs w:val="22"/>
        </w:rPr>
        <w:t xml:space="preserve"> assessments and analytics that </w:t>
      </w:r>
      <w:r>
        <w:rPr>
          <w:rStyle w:val="stylenumberedparagraphs11ptchar0"/>
          <w:rFonts w:cs="Arial"/>
          <w:szCs w:val="22"/>
        </w:rPr>
        <w:t xml:space="preserve">provide </w:t>
      </w:r>
      <w:r w:rsidRPr="00940981">
        <w:rPr>
          <w:rStyle w:val="stylenumberedparagraphs11ptchar0"/>
          <w:rFonts w:cs="Arial"/>
          <w:szCs w:val="22"/>
        </w:rPr>
        <w:t>students</w:t>
      </w:r>
      <w:r>
        <w:rPr>
          <w:rStyle w:val="stylenumberedparagraphs11ptchar0"/>
          <w:rFonts w:cs="Arial"/>
          <w:szCs w:val="22"/>
        </w:rPr>
        <w:t xml:space="preserve">, their teachers, and their parents, </w:t>
      </w:r>
      <w:r w:rsidRPr="00940981">
        <w:rPr>
          <w:rStyle w:val="stylenumberedparagraphs11ptchar0"/>
          <w:rFonts w:cs="Arial"/>
          <w:szCs w:val="22"/>
        </w:rPr>
        <w:t>real-time information about student performance.</w:t>
      </w:r>
      <w:r>
        <w:rPr>
          <w:rStyle w:val="FootnoteReference"/>
          <w:szCs w:val="22"/>
        </w:rPr>
        <w:footnoteReference w:id="8"/>
      </w:r>
      <w:r>
        <w:rPr>
          <w:rStyle w:val="stylenumberedparagraphs11ptchar0"/>
          <w:rFonts w:cs="Arial"/>
          <w:szCs w:val="22"/>
        </w:rPr>
        <w:t xml:space="preserve">  </w:t>
      </w:r>
      <w:r w:rsidR="00AE5162">
        <w:rPr>
          <w:rStyle w:val="stylenumberedparagraphs11ptchar0"/>
          <w:rFonts w:cs="Arial"/>
          <w:szCs w:val="22"/>
        </w:rPr>
        <w:t>High-capacity b</w:t>
      </w:r>
      <w:r w:rsidR="00A8449F">
        <w:rPr>
          <w:rStyle w:val="stylenumberedparagraphs11ptchar0"/>
          <w:rFonts w:cs="Arial"/>
          <w:szCs w:val="22"/>
        </w:rPr>
        <w:t>roadband</w:t>
      </w:r>
      <w:r w:rsidRPr="00940981">
        <w:rPr>
          <w:rStyle w:val="stylenumberedparagraphs11ptchar0"/>
          <w:rFonts w:cs="Arial"/>
          <w:szCs w:val="22"/>
        </w:rPr>
        <w:t xml:space="preserve"> is also expanding the boundaries of our schools by allowing for interactive</w:t>
      </w:r>
      <w:r>
        <w:rPr>
          <w:rStyle w:val="stylenumberedparagraphs11ptchar0"/>
          <w:rFonts w:cs="Arial"/>
          <w:szCs w:val="22"/>
        </w:rPr>
        <w:t xml:space="preserve"> and</w:t>
      </w:r>
      <w:r w:rsidRPr="00940981">
        <w:rPr>
          <w:rStyle w:val="stylenumberedparagraphs11ptchar0"/>
          <w:rFonts w:cs="Arial"/>
          <w:szCs w:val="22"/>
        </w:rPr>
        <w:t xml:space="preserve"> collaborative distance learning</w:t>
      </w:r>
      <w:r>
        <w:rPr>
          <w:rStyle w:val="stylenumberedparagraphs11ptchar0"/>
          <w:rFonts w:cs="Arial"/>
          <w:szCs w:val="22"/>
        </w:rPr>
        <w:t xml:space="preserve"> applications</w:t>
      </w:r>
      <w:r w:rsidRPr="00940981">
        <w:rPr>
          <w:rStyle w:val="stylenumberedparagraphs11ptchar0"/>
          <w:rFonts w:cs="Arial"/>
          <w:szCs w:val="22"/>
        </w:rPr>
        <w:t xml:space="preserve">, providing all students </w:t>
      </w:r>
      <w:r w:rsidR="00776A33">
        <w:rPr>
          <w:rStyle w:val="stylenumberedparagraphs11ptchar0"/>
          <w:rFonts w:cs="Arial"/>
          <w:szCs w:val="22"/>
        </w:rPr>
        <w:t xml:space="preserve">– </w:t>
      </w:r>
      <w:r w:rsidRPr="00940981">
        <w:t xml:space="preserve">from rural communities to inner cities </w:t>
      </w:r>
      <w:r w:rsidR="00776A33">
        <w:rPr>
          <w:rStyle w:val="stylenumberedparagraphs11ptchar0"/>
          <w:rFonts w:cs="Arial"/>
          <w:szCs w:val="22"/>
        </w:rPr>
        <w:t xml:space="preserve">– </w:t>
      </w:r>
      <w:r w:rsidRPr="00940981">
        <w:rPr>
          <w:rStyle w:val="stylenumberedparagraphs11ptchar0"/>
          <w:szCs w:val="22"/>
        </w:rPr>
        <w:t xml:space="preserve">access to high-quality courses and expert instruction, no matter how small a school they attend or how far they live from experts in their field of study.  </w:t>
      </w:r>
      <w:r w:rsidR="00AE5162">
        <w:rPr>
          <w:rStyle w:val="stylenumberedparagraphs11ptchar0"/>
          <w:szCs w:val="22"/>
        </w:rPr>
        <w:t>High-capacity b</w:t>
      </w:r>
      <w:r w:rsidRPr="00940981">
        <w:rPr>
          <w:rStyle w:val="stylenumberedparagraphs11ptchar0"/>
          <w:szCs w:val="22"/>
        </w:rPr>
        <w:t xml:space="preserve">roadband platforms and the educational options they enable are particularly crucial for providing all students, in both rural and urban communities, </w:t>
      </w:r>
      <w:r w:rsidRPr="00940981">
        <w:t xml:space="preserve">customized and personalized education and </w:t>
      </w:r>
      <w:r w:rsidRPr="00940981">
        <w:rPr>
          <w:rStyle w:val="stylenumberedparagraphs11ptchar0"/>
          <w:szCs w:val="22"/>
        </w:rPr>
        <w:t>access to cutting-edge learning tools in the areas of science, technology, engineering and math (STEM) education, thus preparing our students to compete in the global economy.</w:t>
      </w:r>
      <w:bookmarkEnd w:id="71"/>
      <w:r w:rsidRPr="00940981">
        <w:rPr>
          <w:rStyle w:val="stylenumberedparagraphs11ptchar0"/>
          <w:rFonts w:cs="Arial"/>
          <w:szCs w:val="22"/>
        </w:rPr>
        <w:t xml:space="preserve"> </w:t>
      </w:r>
    </w:p>
    <w:p w14:paraId="0FDF9CBC" w14:textId="3DF2FCFD" w:rsidR="00E76718" w:rsidRPr="00090AC8" w:rsidRDefault="003E50AF" w:rsidP="00DA25DB">
      <w:pPr>
        <w:pStyle w:val="ParaNum"/>
      </w:pPr>
      <w:bookmarkStart w:id="72" w:name="_Ref360188325"/>
      <w:r w:rsidRPr="00A558CB">
        <w:rPr>
          <w:rStyle w:val="stylenumberedparagraphs11ptchar0"/>
          <w:rFonts w:cs="Arial"/>
          <w:szCs w:val="22"/>
        </w:rPr>
        <w:t>In libraries, high-capacity broadband access provides patrons the ability to search for and apply for jobs; learn new skills; interact with federal, state, local, and Tribal government agencies; search for health-care and other crucial information; make well-</w:t>
      </w:r>
      <w:r w:rsidRPr="00A558CB">
        <w:rPr>
          <w:rStyle w:val="stylenumberedparagraphs11ptchar0"/>
          <w:szCs w:val="22"/>
        </w:rPr>
        <w:t>informed</w:t>
      </w:r>
      <w:r w:rsidRPr="00A558CB">
        <w:rPr>
          <w:rStyle w:val="stylenumberedparagraphs11ptchar0"/>
          <w:rFonts w:cs="Arial"/>
          <w:szCs w:val="22"/>
        </w:rPr>
        <w:t xml:space="preserve"> purchasing decisions; engage in life-long learning; and stay in touch with friends and family.</w:t>
      </w:r>
      <w:r w:rsidRPr="007F3918">
        <w:rPr>
          <w:rStyle w:val="stylenumberedparagraphs11ptchar0"/>
          <w:rFonts w:cs="Arial"/>
          <w:szCs w:val="22"/>
        </w:rPr>
        <w:t xml:space="preserve">  </w:t>
      </w:r>
      <w:r w:rsidRPr="00A558CB">
        <w:rPr>
          <w:rStyle w:val="stylenumberedparagraphs11ptchar0"/>
          <w:szCs w:val="22"/>
        </w:rPr>
        <w:t xml:space="preserve">In </w:t>
      </w:r>
      <w:smartTag w:uri="urn:schemas-microsoft-com:office:smarttags" w:element="State">
        <w:r w:rsidRPr="00A558CB">
          <w:rPr>
            <w:rStyle w:val="stylenumberedparagraphs11ptchar0"/>
            <w:szCs w:val="22"/>
          </w:rPr>
          <w:t>Idaho</w:t>
        </w:r>
      </w:smartTag>
      <w:r w:rsidRPr="00A558CB">
        <w:rPr>
          <w:rStyle w:val="stylenumberedparagraphs11ptchar0"/>
          <w:szCs w:val="22"/>
        </w:rPr>
        <w:t>, for example, the state agency</w:t>
      </w:r>
      <w:r w:rsidRPr="007F3918">
        <w:rPr>
          <w:rStyle w:val="stylenumberedparagraphs11ptchar0"/>
          <w:szCs w:val="22"/>
        </w:rPr>
        <w:t>’</w:t>
      </w:r>
      <w:r w:rsidRPr="00A558CB">
        <w:rPr>
          <w:rStyle w:val="stylenumberedparagraphs11ptchar0"/>
          <w:szCs w:val="22"/>
        </w:rPr>
        <w:t xml:space="preserve">s Libraries Linking Idaho database portal, available in all </w:t>
      </w:r>
      <w:smartTag w:uri="urn:schemas-microsoft-com:office:smarttags" w:element="place">
        <w:smartTag w:uri="urn:schemas-microsoft-com:office:smarttags" w:element="State">
          <w:r w:rsidRPr="00A558CB">
            <w:rPr>
              <w:rStyle w:val="stylenumberedparagraphs11ptchar0"/>
              <w:szCs w:val="22"/>
            </w:rPr>
            <w:t>Idaho</w:t>
          </w:r>
        </w:smartTag>
      </w:smartTag>
      <w:r w:rsidRPr="00A558CB">
        <w:rPr>
          <w:rStyle w:val="stylenumberedparagraphs11ptchar0"/>
          <w:szCs w:val="22"/>
        </w:rPr>
        <w:t xml:space="preserve"> libraries, provides essential resources to library patrons such as an online video encyclopedia and a program to provide tools for </w:t>
      </w:r>
      <w:r w:rsidRPr="00A558CB">
        <w:rPr>
          <w:rStyle w:val="stylenumberedparagraphs11ptchar0"/>
          <w:szCs w:val="22"/>
        </w:rPr>
        <w:lastRenderedPageBreak/>
        <w:t>test preparation and skill-building.</w:t>
      </w:r>
      <w:r w:rsidRPr="007F3918">
        <w:rPr>
          <w:rStyle w:val="FootnoteReference"/>
          <w:szCs w:val="22"/>
        </w:rPr>
        <w:footnoteReference w:id="9"/>
      </w:r>
      <w:r w:rsidRPr="00A558CB">
        <w:t xml:space="preserve">  Additionally, the Chicago Public Library</w:t>
      </w:r>
      <w:r w:rsidRPr="007F3918">
        <w:t>’</w:t>
      </w:r>
      <w:r w:rsidRPr="00A558CB">
        <w:t>s YOUMedia and The Labs at the Carnegie Library of Pittsburgh offer young people an opportunity to produce rich, multi-media products using the latest technology tools while connecting these learning experiences directly back to school and careers.</w:t>
      </w:r>
      <w:r w:rsidRPr="007F3918">
        <w:rPr>
          <w:rStyle w:val="FootnoteReference"/>
          <w:szCs w:val="22"/>
        </w:rPr>
        <w:footnoteReference w:id="10"/>
      </w:r>
      <w:r w:rsidRPr="00A558CB">
        <w:t xml:space="preserve">  Further, the Howard County Public Library in Maryland houses a Learning Lab to engage young adults in using new and emerging media and technology.</w:t>
      </w:r>
      <w:r w:rsidRPr="007F3918">
        <w:rPr>
          <w:rStyle w:val="FootnoteReference"/>
          <w:szCs w:val="22"/>
        </w:rPr>
        <w:footnoteReference w:id="11"/>
      </w:r>
      <w:r w:rsidRPr="007F3918">
        <w:t xml:space="preserve"> </w:t>
      </w:r>
      <w:r w:rsidR="00974530">
        <w:t xml:space="preserve"> </w:t>
      </w:r>
      <w:r w:rsidRPr="007F3918">
        <w:t>Libraries are uniquely important because they provide Internet access to all residents in communities they serve.</w:t>
      </w:r>
      <w:r w:rsidRPr="007F3918">
        <w:rPr>
          <w:rStyle w:val="FootnoteReference"/>
          <w:szCs w:val="22"/>
        </w:rPr>
        <w:footnoteReference w:id="12"/>
      </w:r>
      <w:r w:rsidRPr="007F3918">
        <w:t xml:space="preserve">  In addition, libraries support distance learning and continuing education for college and adult students.</w:t>
      </w:r>
      <w:r>
        <w:rPr>
          <w:rStyle w:val="FootnoteReference"/>
          <w:szCs w:val="22"/>
        </w:rPr>
        <w:footnoteReference w:id="13"/>
      </w:r>
      <w:bookmarkEnd w:id="72"/>
      <w:r w:rsidR="00E76718" w:rsidRPr="00413063">
        <w:rPr>
          <w:rStyle w:val="stylenumberedparagraphs11ptchar0"/>
          <w:szCs w:val="22"/>
        </w:rPr>
        <w:t xml:space="preserve">  </w:t>
      </w:r>
      <w:r w:rsidR="00E76718" w:rsidRPr="00AE799A">
        <w:t xml:space="preserve">  </w:t>
      </w:r>
    </w:p>
    <w:p w14:paraId="108C8A0D" w14:textId="369BA0D8" w:rsidR="00E76718" w:rsidRDefault="00E76718" w:rsidP="00DA25DB">
      <w:pPr>
        <w:pStyle w:val="ParaNum"/>
      </w:pPr>
      <w:r>
        <w:t>There is strong evidence and growing consensus that E-</w:t>
      </w:r>
      <w:r w:rsidR="00D746DD">
        <w:t xml:space="preserve">rate </w:t>
      </w:r>
      <w:r>
        <w:t xml:space="preserve">needs </w:t>
      </w:r>
      <w:r w:rsidR="00DB4EAE">
        <w:t xml:space="preserve">to sharpen its focus and provide </w:t>
      </w:r>
      <w:r>
        <w:t xml:space="preserve">schools and libraries with </w:t>
      </w:r>
      <w:r w:rsidR="00AE5162">
        <w:t>high-capacity broadband</w:t>
      </w:r>
      <w:r>
        <w:t xml:space="preserve"> connections.  </w:t>
      </w:r>
      <w:r w:rsidR="00D746DD">
        <w:t>In response to a 2010</w:t>
      </w:r>
      <w:r w:rsidRPr="00AE799A">
        <w:t xml:space="preserve"> Commission survey of E-rate funded schools </w:t>
      </w:r>
      <w:r>
        <w:t>and libraries</w:t>
      </w:r>
      <w:r w:rsidR="00D746DD">
        <w:t>,</w:t>
      </w:r>
      <w:r>
        <w:t xml:space="preserve"> </w:t>
      </w:r>
      <w:r w:rsidR="00D746DD">
        <w:t>o</w:t>
      </w:r>
      <w:r>
        <w:t>nly 10 percent of survey respondents reported broadband speeds of 100 Mbps or greater, while 48 percent reported broadband speeds of less than 10 Mbps.</w:t>
      </w:r>
      <w:r>
        <w:rPr>
          <w:rStyle w:val="FootnoteReference"/>
        </w:rPr>
        <w:footnoteReference w:id="14"/>
      </w:r>
      <w:r>
        <w:t xml:space="preserve">  </w:t>
      </w:r>
      <w:r w:rsidRPr="00AE799A">
        <w:t>Approximately 39 percent of the respondents cite</w:t>
      </w:r>
      <w:r>
        <w:t>d</w:t>
      </w:r>
      <w:r w:rsidRPr="00AE799A">
        <w:t xml:space="preserve"> cost of service as a barrier in meeting their needs, and 27 percent cite</w:t>
      </w:r>
      <w:r>
        <w:t>d</w:t>
      </w:r>
      <w:r w:rsidRPr="00AE799A">
        <w:t xml:space="preserve"> cost of installation as a barrier.</w:t>
      </w:r>
      <w:r w:rsidRPr="00AE799A">
        <w:rPr>
          <w:rStyle w:val="FootnoteReference"/>
          <w:szCs w:val="22"/>
        </w:rPr>
        <w:footnoteReference w:id="15"/>
      </w:r>
      <w:r w:rsidRPr="00AE799A">
        <w:t xml:space="preserve">  </w:t>
      </w:r>
    </w:p>
    <w:p w14:paraId="7A98DF93" w14:textId="36DE3E39" w:rsidR="00E76718" w:rsidRDefault="00E76718" w:rsidP="002C6BE9">
      <w:pPr>
        <w:pStyle w:val="ParaNum"/>
      </w:pPr>
      <w:r>
        <w:t xml:space="preserve">Likewise, although </w:t>
      </w:r>
      <w:r w:rsidRPr="00AE799A">
        <w:t>the speeds of library connections have</w:t>
      </w:r>
      <w:r>
        <w:t xml:space="preserve"> </w:t>
      </w:r>
      <w:r w:rsidRPr="00AE799A">
        <w:t>been increasing</w:t>
      </w:r>
      <w:r>
        <w:t xml:space="preserve"> over time, many libraries report that speeds are insufficient to</w:t>
      </w:r>
      <w:r w:rsidRPr="00AE799A">
        <w:t xml:space="preserve"> </w:t>
      </w:r>
      <w:r w:rsidRPr="004F322C">
        <w:rPr>
          <w:rStyle w:val="stylenumberedparagraphs11ptchar0"/>
        </w:rPr>
        <w:t>meet</w:t>
      </w:r>
      <w:r w:rsidRPr="00AE799A">
        <w:t xml:space="preserve"> the</w:t>
      </w:r>
      <w:r>
        <w:t>ir</w:t>
      </w:r>
      <w:r w:rsidRPr="00AE799A">
        <w:t xml:space="preserve"> growing </w:t>
      </w:r>
      <w:r>
        <w:t>needs.  A</w:t>
      </w:r>
      <w:r w:rsidRPr="00D06BD2">
        <w:t>n annual survey done by the A</w:t>
      </w:r>
      <w:r>
        <w:t>merican Library Association</w:t>
      </w:r>
      <w:r w:rsidRPr="00D06BD2">
        <w:t xml:space="preserve"> </w:t>
      </w:r>
      <w:r>
        <w:t xml:space="preserve">(ALA) </w:t>
      </w:r>
      <w:r w:rsidRPr="00D06BD2">
        <w:t xml:space="preserve">shows that in 2011-2012, while </w:t>
      </w:r>
      <w:r>
        <w:t>9</w:t>
      </w:r>
      <w:r w:rsidRPr="00D06BD2">
        <w:t xml:space="preserve"> percent of libraries reported connection speeds of greater than 10</w:t>
      </w:r>
      <w:r>
        <w:t>0</w:t>
      </w:r>
      <w:r w:rsidR="008D5AAF">
        <w:t xml:space="preserve"> </w:t>
      </w:r>
      <w:r w:rsidRPr="00D06BD2">
        <w:t xml:space="preserve">Mbps, </w:t>
      </w:r>
      <w:r>
        <w:t xml:space="preserve">25 percent of libraries still have speeds of 1.5 </w:t>
      </w:r>
      <w:r w:rsidR="003D3F56">
        <w:t>M</w:t>
      </w:r>
      <w:r>
        <w:t xml:space="preserve">bps or less, and approximately 62 </w:t>
      </w:r>
      <w:r w:rsidRPr="00D06BD2">
        <w:t>percent of libraries reported conn</w:t>
      </w:r>
      <w:r>
        <w:t>ection speeds of 10 Mbps or less</w:t>
      </w:r>
      <w:r w:rsidRPr="00D06BD2">
        <w:t>.</w:t>
      </w:r>
      <w:r w:rsidRPr="00D06BD2">
        <w:rPr>
          <w:rStyle w:val="FootnoteReference"/>
          <w:szCs w:val="22"/>
        </w:rPr>
        <w:footnoteReference w:id="16"/>
      </w:r>
      <w:r w:rsidRPr="00D06BD2">
        <w:t xml:space="preserve">  Thus, </w:t>
      </w:r>
      <w:r w:rsidRPr="00D06BD2">
        <w:lastRenderedPageBreak/>
        <w:t>notwithstanding the trend towards faster speeds, 41 percent of libraries reported that their speeds fail to</w:t>
      </w:r>
      <w:r w:rsidRPr="00AE799A">
        <w:t xml:space="preserve"> meet their patrons’ needs some or most of the time.</w:t>
      </w:r>
      <w:r w:rsidRPr="00AE799A">
        <w:rPr>
          <w:rStyle w:val="FootnoteReference"/>
          <w:szCs w:val="22"/>
        </w:rPr>
        <w:footnoteReference w:id="17"/>
      </w:r>
      <w:r w:rsidRPr="00AE799A">
        <w:t xml:space="preserve">  </w:t>
      </w:r>
    </w:p>
    <w:p w14:paraId="55C5F5D9" w14:textId="0B76607A" w:rsidR="00E76718" w:rsidRPr="00BC35EB" w:rsidRDefault="00E76718" w:rsidP="00E76718">
      <w:pPr>
        <w:pStyle w:val="ParaNum"/>
        <w:rPr>
          <w:rStyle w:val="stylenumberedparagraphs11ptchar0"/>
        </w:rPr>
      </w:pPr>
      <w:r w:rsidRPr="003A695F">
        <w:rPr>
          <w:rStyle w:val="stylenumberedparagraphs11ptchar0"/>
          <w:rFonts w:cs="Arial"/>
          <w:szCs w:val="22"/>
          <w:highlight w:val="yellow"/>
        </w:rPr>
        <w:t>Last month, President Obama announced the ConnectE</w:t>
      </w:r>
      <w:r w:rsidR="003D5731" w:rsidRPr="003A695F">
        <w:rPr>
          <w:rStyle w:val="stylenumberedparagraphs11ptchar0"/>
          <w:rFonts w:cs="Arial"/>
          <w:szCs w:val="22"/>
          <w:highlight w:val="yellow"/>
        </w:rPr>
        <w:t>D</w:t>
      </w:r>
      <w:r w:rsidRPr="003A695F">
        <w:rPr>
          <w:rStyle w:val="stylenumberedparagraphs11ptchar0"/>
          <w:rFonts w:cs="Arial"/>
          <w:szCs w:val="22"/>
          <w:highlight w:val="yellow"/>
        </w:rPr>
        <w:t xml:space="preserve"> initiative aimed at connecting all schools to the digital age.</w:t>
      </w:r>
      <w:r w:rsidRPr="003A695F">
        <w:rPr>
          <w:rStyle w:val="FootnoteReference"/>
          <w:szCs w:val="22"/>
          <w:highlight w:val="yellow"/>
        </w:rPr>
        <w:footnoteReference w:id="18"/>
      </w:r>
      <w:r w:rsidRPr="003A695F">
        <w:rPr>
          <w:rStyle w:val="stylenumberedparagraphs11ptchar0"/>
          <w:rFonts w:cs="Arial"/>
          <w:szCs w:val="22"/>
          <w:highlight w:val="yellow"/>
        </w:rPr>
        <w:t xml:space="preserve">  The ConnectE</w:t>
      </w:r>
      <w:r w:rsidR="003D5731" w:rsidRPr="003A695F">
        <w:rPr>
          <w:rStyle w:val="stylenumberedparagraphs11ptchar0"/>
          <w:rFonts w:cs="Arial"/>
          <w:szCs w:val="22"/>
          <w:highlight w:val="yellow"/>
        </w:rPr>
        <w:t>D</w:t>
      </w:r>
      <w:r w:rsidRPr="003A695F">
        <w:rPr>
          <w:rStyle w:val="stylenumberedparagraphs11ptchar0"/>
          <w:rFonts w:cs="Arial"/>
          <w:szCs w:val="22"/>
          <w:highlight w:val="yellow"/>
        </w:rPr>
        <w:t xml:space="preserve"> initiative seeks to connect schools and libraries serving 99 percent of our students to next-generation </w:t>
      </w:r>
      <w:r w:rsidR="00AE5162" w:rsidRPr="003A695F">
        <w:rPr>
          <w:rStyle w:val="stylenumberedparagraphs11ptchar0"/>
          <w:rFonts w:cs="Arial"/>
          <w:szCs w:val="22"/>
          <w:highlight w:val="yellow"/>
        </w:rPr>
        <w:t>high-capacity broadband</w:t>
      </w:r>
      <w:r w:rsidRPr="003A695F">
        <w:rPr>
          <w:rStyle w:val="stylenumberedparagraphs11ptchar0"/>
          <w:rFonts w:cs="Arial"/>
          <w:szCs w:val="22"/>
          <w:highlight w:val="yellow"/>
        </w:rPr>
        <w:t xml:space="preserve"> (with speeds of no less than 100 Mbps and a target speed of 1 Gbps) and to provide </w:t>
      </w:r>
      <w:r w:rsidR="00006511" w:rsidRPr="003A695F">
        <w:rPr>
          <w:rStyle w:val="stylenumberedparagraphs11ptchar0"/>
          <w:rFonts w:cs="Arial"/>
          <w:szCs w:val="22"/>
          <w:highlight w:val="yellow"/>
        </w:rPr>
        <w:t>high-capacity</w:t>
      </w:r>
      <w:r w:rsidRPr="003A695F">
        <w:rPr>
          <w:rStyle w:val="stylenumberedparagraphs11ptchar0"/>
          <w:rFonts w:cs="Arial"/>
          <w:szCs w:val="22"/>
          <w:highlight w:val="yellow"/>
        </w:rPr>
        <w:t xml:space="preserve"> wireless connectivity within those</w:t>
      </w:r>
      <w:r>
        <w:rPr>
          <w:rStyle w:val="stylenumberedparagraphs11ptchar0"/>
          <w:rFonts w:cs="Arial"/>
          <w:szCs w:val="22"/>
        </w:rPr>
        <w:t xml:space="preserve"> </w:t>
      </w:r>
      <w:r w:rsidRPr="003A695F">
        <w:rPr>
          <w:rStyle w:val="stylenumberedparagraphs11ptchar0"/>
          <w:rFonts w:cs="Arial"/>
          <w:szCs w:val="22"/>
          <w:highlight w:val="yellow"/>
        </w:rPr>
        <w:t>schools and libraries within five years.</w:t>
      </w:r>
      <w:r w:rsidRPr="003A695F">
        <w:rPr>
          <w:rStyle w:val="FootnoteReference"/>
          <w:szCs w:val="22"/>
          <w:highlight w:val="yellow"/>
        </w:rPr>
        <w:footnoteReference w:id="19"/>
      </w:r>
      <w:r w:rsidRPr="003A695F">
        <w:rPr>
          <w:rStyle w:val="stylenumberedparagraphs11ptchar0"/>
          <w:rFonts w:cs="Arial"/>
          <w:szCs w:val="22"/>
          <w:highlight w:val="yellow"/>
        </w:rPr>
        <w:t xml:space="preserve">  P</w:t>
      </w:r>
      <w:r w:rsidRPr="003A695F">
        <w:rPr>
          <w:rStyle w:val="stylenumberedparagraphs11ptchar0"/>
          <w:szCs w:val="22"/>
          <w:highlight w:val="yellow"/>
        </w:rPr>
        <w:t>r</w:t>
      </w:r>
      <w:r w:rsidRPr="003A695F">
        <w:rPr>
          <w:rStyle w:val="stylenumberedparagraphs11ptchar0"/>
          <w:rFonts w:cs="Arial"/>
          <w:szCs w:val="22"/>
          <w:highlight w:val="yellow"/>
        </w:rPr>
        <w:t xml:space="preserve">esident Obama has called on the </w:t>
      </w:r>
      <w:r w:rsidR="00722AFB" w:rsidRPr="003A695F">
        <w:rPr>
          <w:rStyle w:val="stylenumberedparagraphs11ptchar0"/>
          <w:rFonts w:cs="Arial"/>
          <w:szCs w:val="22"/>
          <w:highlight w:val="yellow"/>
        </w:rPr>
        <w:t xml:space="preserve">Commission </w:t>
      </w:r>
      <w:r w:rsidRPr="003A695F">
        <w:rPr>
          <w:rStyle w:val="stylenumberedparagraphs11ptchar0"/>
          <w:rFonts w:cs="Arial"/>
          <w:szCs w:val="22"/>
          <w:highlight w:val="yellow"/>
        </w:rPr>
        <w:t>to modernize and leverage the E-</w:t>
      </w:r>
      <w:r w:rsidR="00D746DD" w:rsidRPr="003A695F">
        <w:rPr>
          <w:rStyle w:val="stylenumberedparagraphs11ptchar0"/>
          <w:rFonts w:cs="Arial"/>
          <w:szCs w:val="22"/>
          <w:highlight w:val="yellow"/>
        </w:rPr>
        <w:t>r</w:t>
      </w:r>
      <w:r w:rsidRPr="003A695F">
        <w:rPr>
          <w:rStyle w:val="stylenumberedparagraphs11ptchar0"/>
          <w:rFonts w:cs="Arial"/>
          <w:szCs w:val="22"/>
          <w:highlight w:val="yellow"/>
        </w:rPr>
        <w:t>ate program to help meet those targets.  Teachers, local school officials, state education leaders, digital learning experts, and businesses from across the country endorsed President Obama’s vision and have called for an update to the E-rate program to meet today’s teaching and learning needs.</w:t>
      </w:r>
      <w:r w:rsidRPr="003A695F">
        <w:rPr>
          <w:rStyle w:val="FootnoteReference"/>
          <w:szCs w:val="22"/>
          <w:highlight w:val="yellow"/>
        </w:rPr>
        <w:footnoteReference w:id="20"/>
      </w:r>
      <w:r w:rsidRPr="00961C0B">
        <w:rPr>
          <w:rStyle w:val="stylenumberedparagraphs11ptchar0"/>
          <w:rFonts w:cs="Arial"/>
          <w:szCs w:val="22"/>
        </w:rPr>
        <w:t xml:space="preserve">  </w:t>
      </w:r>
    </w:p>
    <w:p w14:paraId="267571CE" w14:textId="16DE4BFC" w:rsidR="00E76718" w:rsidRDefault="00E76718" w:rsidP="002F34FB">
      <w:pPr>
        <w:pStyle w:val="ParaNum"/>
      </w:pPr>
      <w:r>
        <w:rPr>
          <w:rStyle w:val="stylenumberedparagraphs11ptchar0"/>
          <w:rFonts w:cs="Arial"/>
          <w:szCs w:val="22"/>
        </w:rPr>
        <w:lastRenderedPageBreak/>
        <w:t>In voicing his support for President Obama’s ConnectE</w:t>
      </w:r>
      <w:r w:rsidR="003D5731">
        <w:rPr>
          <w:rStyle w:val="stylenumberedparagraphs11ptchar0"/>
          <w:rFonts w:cs="Arial"/>
          <w:szCs w:val="22"/>
        </w:rPr>
        <w:t>D</w:t>
      </w:r>
      <w:r>
        <w:rPr>
          <w:rStyle w:val="stylenumberedparagraphs11ptchar0"/>
          <w:rFonts w:cs="Arial"/>
          <w:szCs w:val="22"/>
        </w:rPr>
        <w:t xml:space="preserve"> initiative, Senator John D. Rockefeller</w:t>
      </w:r>
      <w:r w:rsidR="00CC39F1">
        <w:rPr>
          <w:rStyle w:val="stylenumberedparagraphs11ptchar0"/>
          <w:rFonts w:cs="Arial"/>
          <w:szCs w:val="22"/>
        </w:rPr>
        <w:t xml:space="preserve"> IV</w:t>
      </w:r>
      <w:r w:rsidR="00033DCF">
        <w:rPr>
          <w:rStyle w:val="stylenumberedparagraphs11ptchar0"/>
          <w:rFonts w:cs="Arial"/>
          <w:szCs w:val="22"/>
        </w:rPr>
        <w:t>,</w:t>
      </w:r>
      <w:r>
        <w:rPr>
          <w:rStyle w:val="stylenumberedparagraphs11ptchar0"/>
          <w:rFonts w:cs="Arial"/>
          <w:szCs w:val="22"/>
        </w:rPr>
        <w:t xml:space="preserve"> one of the original supporters of the E-rate program</w:t>
      </w:r>
      <w:r w:rsidR="008D5AAF">
        <w:rPr>
          <w:rStyle w:val="stylenumberedparagraphs11ptchar0"/>
          <w:rFonts w:cs="Arial"/>
          <w:szCs w:val="22"/>
        </w:rPr>
        <w:t>,</w:t>
      </w:r>
      <w:r>
        <w:rPr>
          <w:rStyle w:val="stylenumberedparagraphs11ptchar0"/>
          <w:rFonts w:cs="Arial"/>
          <w:szCs w:val="22"/>
        </w:rPr>
        <w:t xml:space="preserve"> explained: “</w:t>
      </w:r>
      <w:r w:rsidR="008D5AAF">
        <w:rPr>
          <w:rStyle w:val="stylenumberedparagraphs11ptchar0"/>
          <w:rFonts w:cs="Arial"/>
          <w:szCs w:val="22"/>
        </w:rPr>
        <w:t>[I]</w:t>
      </w:r>
      <w:r w:rsidRPr="00EB56F2">
        <w:rPr>
          <w:rStyle w:val="stylenumberedparagraphs11ptchar0"/>
          <w:rFonts w:cs="Arial"/>
          <w:szCs w:val="22"/>
        </w:rPr>
        <w:t xml:space="preserve">n its almost two decades, the E-Rate program has fundamentally transformed education in this country – we have connected our most remote schools and libraries to the world. </w:t>
      </w:r>
      <w:r>
        <w:rPr>
          <w:rStyle w:val="stylenumberedparagraphs11ptchar0"/>
          <w:rFonts w:cs="Arial"/>
          <w:szCs w:val="22"/>
        </w:rPr>
        <w:t xml:space="preserve"> </w:t>
      </w:r>
      <w:r w:rsidRPr="00EB56F2">
        <w:rPr>
          <w:rStyle w:val="stylenumberedparagraphs11ptchar0"/>
          <w:rFonts w:cs="Arial"/>
          <w:szCs w:val="22"/>
        </w:rPr>
        <w:t xml:space="preserve">But as impressive and important as the E-Rate program has been, basic Internet connectivity is </w:t>
      </w:r>
      <w:r w:rsidRPr="002F34FB">
        <w:rPr>
          <w:rStyle w:val="stylenumberedparagraphs11ptchar0"/>
          <w:szCs w:val="22"/>
        </w:rPr>
        <w:t>no</w:t>
      </w:r>
      <w:r w:rsidRPr="00EB56F2">
        <w:rPr>
          <w:rStyle w:val="stylenumberedparagraphs11ptchar0"/>
          <w:rFonts w:cs="Arial"/>
          <w:szCs w:val="22"/>
        </w:rPr>
        <w:t xml:space="preserve"> longer sufficient to meet our 21st Century educational needs</w:t>
      </w:r>
      <w:r>
        <w:rPr>
          <w:rStyle w:val="stylenumberedparagraphs11ptchar0"/>
          <w:rFonts w:cs="Arial"/>
          <w:szCs w:val="22"/>
        </w:rPr>
        <w:t>.</w:t>
      </w:r>
      <w:r w:rsidRPr="00EB56F2">
        <w:rPr>
          <w:rStyle w:val="stylenumberedparagraphs11ptchar0"/>
          <w:rFonts w:cs="Arial"/>
          <w:szCs w:val="22"/>
        </w:rPr>
        <w:t>”</w:t>
      </w:r>
      <w:r>
        <w:rPr>
          <w:rStyle w:val="FootnoteReference"/>
          <w:szCs w:val="22"/>
        </w:rPr>
        <w:footnoteReference w:id="21"/>
      </w:r>
      <w:r>
        <w:rPr>
          <w:rStyle w:val="stylenumberedparagraphs11ptchar0"/>
          <w:rFonts w:cs="Arial"/>
          <w:szCs w:val="22"/>
        </w:rPr>
        <w:t xml:space="preserve">  Even more recently, the </w:t>
      </w:r>
      <w:r w:rsidRPr="00961C0B">
        <w:rPr>
          <w:rStyle w:val="stylenumberedparagraphs11ptchar0"/>
          <w:rFonts w:cs="Arial"/>
          <w:szCs w:val="22"/>
        </w:rPr>
        <w:t xml:space="preserve">bipartisan </w:t>
      </w:r>
      <w:r w:rsidRPr="00296F66">
        <w:t xml:space="preserve">Leading Education by Advancing Digital (LEAD) </w:t>
      </w:r>
      <w:r w:rsidRPr="00961C0B">
        <w:rPr>
          <w:rStyle w:val="stylenumberedparagraphs11ptchar0"/>
          <w:rFonts w:cs="Arial"/>
          <w:szCs w:val="22"/>
        </w:rPr>
        <w:t>Commission</w:t>
      </w:r>
      <w:r>
        <w:rPr>
          <w:rStyle w:val="stylenumberedparagraphs11ptchar0"/>
          <w:rFonts w:cs="Arial"/>
          <w:szCs w:val="22"/>
        </w:rPr>
        <w:t xml:space="preserve"> has taken up the call and released a blue print for paving a path to digital learning in the United States which    highlights</w:t>
      </w:r>
      <w:r w:rsidRPr="00961C0B">
        <w:rPr>
          <w:rStyle w:val="stylenumberedparagraphs11ptchar0"/>
          <w:rFonts w:cs="Arial"/>
          <w:szCs w:val="22"/>
        </w:rPr>
        <w:t xml:space="preserve"> “</w:t>
      </w:r>
      <w:r w:rsidRPr="00296F66">
        <w:t xml:space="preserve">inadequate </w:t>
      </w:r>
      <w:r>
        <w:t>high-speed Internet connectivity in the classrooms” as “t</w:t>
      </w:r>
      <w:r w:rsidRPr="00296F66">
        <w:t>he most immediate and expensive barrier to implementing technology in education</w:t>
      </w:r>
      <w:r>
        <w:t>,” and calls modernizing E-</w:t>
      </w:r>
      <w:r w:rsidR="00DC3997">
        <w:t>r</w:t>
      </w:r>
      <w:r>
        <w:t>ate the “</w:t>
      </w:r>
      <w:r w:rsidRPr="00296F66">
        <w:t>centerpiece of solving the infrastructure challenge</w:t>
      </w:r>
      <w:r>
        <w:t>.”</w:t>
      </w:r>
      <w:r>
        <w:rPr>
          <w:rStyle w:val="FootnoteReference"/>
        </w:rPr>
        <w:footnoteReference w:id="22"/>
      </w:r>
    </w:p>
    <w:p w14:paraId="029BBBDD" w14:textId="0555E36B" w:rsidR="00E76718" w:rsidRPr="003A695F" w:rsidRDefault="00E76718" w:rsidP="0036678A">
      <w:pPr>
        <w:pStyle w:val="ParaNum"/>
        <w:rPr>
          <w:rStyle w:val="stylenumberedparagraphs11ptchar0"/>
          <w:highlight w:val="yellow"/>
        </w:rPr>
      </w:pPr>
      <w:r w:rsidRPr="003A695F">
        <w:rPr>
          <w:highlight w:val="yellow"/>
        </w:rPr>
        <w:t xml:space="preserve">The need for E-rate reform is </w:t>
      </w:r>
      <w:r w:rsidR="008B687A" w:rsidRPr="003A695F">
        <w:rPr>
          <w:highlight w:val="yellow"/>
        </w:rPr>
        <w:t>also clear given</w:t>
      </w:r>
      <w:r w:rsidRPr="003A695F">
        <w:rPr>
          <w:highlight w:val="yellow"/>
        </w:rPr>
        <w:t xml:space="preserve"> the extraordinary demand for existing E-rate support.  For this funding year,</w:t>
      </w:r>
      <w:r w:rsidRPr="003A695F">
        <w:rPr>
          <w:rStyle w:val="FootnoteReference"/>
          <w:highlight w:val="yellow"/>
        </w:rPr>
        <w:footnoteReference w:id="23"/>
      </w:r>
      <w:r w:rsidRPr="003A695F">
        <w:rPr>
          <w:highlight w:val="yellow"/>
        </w:rPr>
        <w:t xml:space="preserve"> schools and libraries sought E-rate funding in excess of $4.9 billion, more than twice the annual cap of $2.25 </w:t>
      </w:r>
      <w:r w:rsidRPr="003A695F">
        <w:rPr>
          <w:rStyle w:val="stylenumberedparagraphs11ptchar0"/>
          <w:highlight w:val="yellow"/>
        </w:rPr>
        <w:t>billion</w:t>
      </w:r>
      <w:r w:rsidRPr="003A695F">
        <w:rPr>
          <w:highlight w:val="yellow"/>
        </w:rPr>
        <w:t>.</w:t>
      </w:r>
      <w:r w:rsidRPr="003A695F">
        <w:rPr>
          <w:rStyle w:val="FootnoteReference"/>
          <w:highlight w:val="yellow"/>
        </w:rPr>
        <w:footnoteReference w:id="24"/>
      </w:r>
      <w:r w:rsidRPr="003A695F">
        <w:rPr>
          <w:highlight w:val="yellow"/>
        </w:rPr>
        <w:t xml:space="preserve">  The E-rate funding cap was set by the Commission when it created the E-rate program in 1997 and demand for funds has </w:t>
      </w:r>
      <w:r w:rsidRPr="003A695F">
        <w:rPr>
          <w:highlight w:val="yellow"/>
        </w:rPr>
        <w:lastRenderedPageBreak/>
        <w:t xml:space="preserve">exceeded </w:t>
      </w:r>
      <w:r w:rsidR="009540B7" w:rsidRPr="003A695F">
        <w:rPr>
          <w:highlight w:val="yellow"/>
        </w:rPr>
        <w:t xml:space="preserve">the cap </w:t>
      </w:r>
      <w:r w:rsidRPr="003A695F">
        <w:rPr>
          <w:highlight w:val="yellow"/>
        </w:rPr>
        <w:t>every year since the inception of the program.</w:t>
      </w:r>
      <w:r w:rsidRPr="003A695F">
        <w:rPr>
          <w:rStyle w:val="FootnoteReference"/>
          <w:highlight w:val="yellow"/>
        </w:rPr>
        <w:footnoteReference w:id="25"/>
      </w:r>
      <w:r w:rsidRPr="003A695F">
        <w:rPr>
          <w:highlight w:val="yellow"/>
        </w:rPr>
        <w:t xml:space="preserve">  Moreover, technology is constantly evolving, so to be most effective</w:t>
      </w:r>
      <w:r w:rsidR="00033DCF" w:rsidRPr="003A695F">
        <w:rPr>
          <w:highlight w:val="yellow"/>
        </w:rPr>
        <w:t>,</w:t>
      </w:r>
      <w:r w:rsidRPr="003A695F">
        <w:rPr>
          <w:highlight w:val="yellow"/>
        </w:rPr>
        <w:t xml:space="preserve"> the E-rate program must evolve to meet the current and future needs of schools and libraries. Therefore, in this NPRM</w:t>
      </w:r>
      <w:r w:rsidR="002B1CF7" w:rsidRPr="003A695F">
        <w:rPr>
          <w:highlight w:val="yellow"/>
        </w:rPr>
        <w:t>,</w:t>
      </w:r>
      <w:r w:rsidRPr="003A695F">
        <w:rPr>
          <w:highlight w:val="yellow"/>
        </w:rPr>
        <w:t xml:space="preserve"> we seek to </w:t>
      </w:r>
      <w:r w:rsidR="008B687A" w:rsidRPr="003A695F">
        <w:rPr>
          <w:highlight w:val="yellow"/>
        </w:rPr>
        <w:t>modernize</w:t>
      </w:r>
      <w:r w:rsidRPr="003A695F">
        <w:rPr>
          <w:highlight w:val="yellow"/>
        </w:rPr>
        <w:t xml:space="preserve"> E-rate to ensure that it can most efficiently and effectively help schools and libraries meet their connectivity needs over the course of the rest of this decade and the next.</w:t>
      </w:r>
    </w:p>
    <w:p w14:paraId="2B82C076" w14:textId="4B0236F1" w:rsidR="00E76718" w:rsidRDefault="00E76718" w:rsidP="00DA25DB">
      <w:pPr>
        <w:pStyle w:val="ParaNum"/>
      </w:pPr>
      <w:r>
        <w:rPr>
          <w:rStyle w:val="stylenumberedparagraphs11ptchar0"/>
          <w:rFonts w:cs="Arial"/>
          <w:szCs w:val="22"/>
        </w:rPr>
        <w:t xml:space="preserve">Three years ago, the Commission took important initial steps to modernize E-rate to improve efficiency and respond to the increasing technological needs of schools and libraries </w:t>
      </w:r>
      <w:r w:rsidRPr="00AE799A">
        <w:rPr>
          <w:rStyle w:val="stylenumberedparagraphs11ptchar0"/>
          <w:rFonts w:cs="Arial"/>
          <w:szCs w:val="22"/>
        </w:rPr>
        <w:t xml:space="preserve">in response to recommendations made in the National </w:t>
      </w:r>
      <w:r w:rsidRPr="002F34FB">
        <w:rPr>
          <w:rStyle w:val="stylenumberedparagraphs11ptchar0"/>
          <w:szCs w:val="22"/>
        </w:rPr>
        <w:t>Broadband</w:t>
      </w:r>
      <w:r w:rsidRPr="00AE799A">
        <w:rPr>
          <w:rStyle w:val="stylenumberedparagraphs11ptchar0"/>
          <w:rFonts w:cs="Arial"/>
          <w:szCs w:val="22"/>
        </w:rPr>
        <w:t xml:space="preserve"> Plan.</w:t>
      </w:r>
      <w:r w:rsidRPr="00AE799A">
        <w:rPr>
          <w:rStyle w:val="FootnoteReference"/>
          <w:szCs w:val="22"/>
        </w:rPr>
        <w:footnoteReference w:id="26"/>
      </w:r>
      <w:r w:rsidRPr="00AE799A">
        <w:rPr>
          <w:rStyle w:val="stylenumberedparagraphs11ptchar0"/>
          <w:rFonts w:cs="Arial"/>
          <w:szCs w:val="22"/>
        </w:rPr>
        <w:t xml:space="preserve">  The reforms, </w:t>
      </w:r>
      <w:r>
        <w:rPr>
          <w:rStyle w:val="stylenumberedparagraphs11ptchar0"/>
          <w:rFonts w:cs="Arial"/>
          <w:szCs w:val="22"/>
        </w:rPr>
        <w:t>adopted in</w:t>
      </w:r>
      <w:r w:rsidRPr="00AE799A">
        <w:rPr>
          <w:rStyle w:val="stylenumberedparagraphs11ptchar0"/>
          <w:rFonts w:cs="Arial"/>
          <w:szCs w:val="22"/>
        </w:rPr>
        <w:t xml:space="preserve"> the </w:t>
      </w:r>
      <w:r w:rsidR="00227056" w:rsidRPr="00227056">
        <w:rPr>
          <w:rStyle w:val="stylenumberedparagraphs11ptchar0"/>
          <w:rFonts w:cs="Arial"/>
          <w:i/>
          <w:szCs w:val="22"/>
        </w:rPr>
        <w:t>Schools and Libraries Sixth Report and Order</w:t>
      </w:r>
      <w:r w:rsidRPr="00AE799A">
        <w:rPr>
          <w:rStyle w:val="stylenumberedparagraphs11ptchar0"/>
          <w:rFonts w:cs="Arial"/>
          <w:szCs w:val="22"/>
        </w:rPr>
        <w:t>, focused on: (1) providing greater flexibility to schools and libraries in their selection of the most cost-effective broadband services; (2) streamlining the E-rate application process; and (3) improving safeguards against fraud, waste, and abuse.</w:t>
      </w:r>
      <w:r w:rsidRPr="00AE799A">
        <w:rPr>
          <w:rStyle w:val="FootnoteReference"/>
          <w:szCs w:val="22"/>
        </w:rPr>
        <w:footnoteReference w:id="27"/>
      </w:r>
      <w:r>
        <w:rPr>
          <w:rStyle w:val="stylenumberedparagraphs11ptchar0"/>
          <w:rFonts w:cs="Arial"/>
          <w:szCs w:val="22"/>
        </w:rPr>
        <w:t xml:space="preserve">  </w:t>
      </w:r>
      <w:r w:rsidRPr="00AE799A">
        <w:rPr>
          <w:rStyle w:val="stylenumberedparagraphs11ptchar0"/>
          <w:rFonts w:cs="Arial"/>
          <w:szCs w:val="22"/>
        </w:rPr>
        <w:t>Among other things, the Commission</w:t>
      </w:r>
      <w:r w:rsidRPr="00AE799A">
        <w:t xml:space="preserve"> allowed schools and libraries to lease dark fiber from any entity, including state, municipal or regional research networks and utility companies;</w:t>
      </w:r>
      <w:r w:rsidRPr="00AE799A">
        <w:rPr>
          <w:rStyle w:val="FootnoteReference"/>
          <w:szCs w:val="22"/>
        </w:rPr>
        <w:footnoteReference w:id="28"/>
      </w:r>
      <w:r w:rsidRPr="00AE799A">
        <w:t xml:space="preserve"> made permanent a rule to allow schools to open their facilities to the public when schools are not in session so that community members may use the school’s E-rate supported services on the school’s campus;</w:t>
      </w:r>
      <w:r w:rsidRPr="00AE799A">
        <w:rPr>
          <w:rStyle w:val="FootnoteReference"/>
          <w:szCs w:val="22"/>
        </w:rPr>
        <w:footnoteReference w:id="29"/>
      </w:r>
      <w:r w:rsidRPr="00AE799A">
        <w:t xml:space="preserve"> and established the Learning On-The-Go (also known as E-rate Deployed Ubiquitously (EDU) 2011) pilot program to investigate the merits and challenges of wireless off-premises connectivity services for mobile learning devices.</w:t>
      </w:r>
      <w:r w:rsidRPr="00AE799A">
        <w:rPr>
          <w:rStyle w:val="FootnoteReference"/>
          <w:szCs w:val="22"/>
        </w:rPr>
        <w:footnoteReference w:id="30"/>
      </w:r>
      <w:r w:rsidRPr="00AE799A">
        <w:t xml:space="preserve"> </w:t>
      </w:r>
    </w:p>
    <w:p w14:paraId="521E4B08" w14:textId="6417A1AB" w:rsidR="00E76718" w:rsidRDefault="00E76718" w:rsidP="0036678A">
      <w:pPr>
        <w:pStyle w:val="ParaNum"/>
        <w:rPr>
          <w:rStyle w:val="stylenumberedparagraphs11ptchar0"/>
          <w:rFonts w:cs="Arial"/>
          <w:szCs w:val="22"/>
        </w:rPr>
      </w:pPr>
      <w:r>
        <w:rPr>
          <w:rStyle w:val="stylenumberedparagraphs11ptchar0"/>
          <w:rFonts w:cs="Arial"/>
          <w:szCs w:val="22"/>
        </w:rPr>
        <w:t xml:space="preserve">In this NPRM, we seek comment on ways to build on these steps and more comprehensively modernize E-rate, including improving the efficiency and administration of the program.  We </w:t>
      </w:r>
      <w:r>
        <w:rPr>
          <w:rStyle w:val="stylenumberedparagraphs11ptchar0"/>
          <w:rFonts w:cs="Arial"/>
          <w:szCs w:val="22"/>
        </w:rPr>
        <w:lastRenderedPageBreak/>
        <w:t xml:space="preserve">begin by proposing </w:t>
      </w:r>
      <w:r w:rsidRPr="002F34FB">
        <w:rPr>
          <w:rStyle w:val="stylenumberedparagraphs11ptchar0"/>
          <w:szCs w:val="22"/>
        </w:rPr>
        <w:t>explicit</w:t>
      </w:r>
      <w:r>
        <w:rPr>
          <w:rStyle w:val="stylenumberedparagraphs11ptchar0"/>
          <w:rFonts w:cs="Arial"/>
          <w:szCs w:val="22"/>
        </w:rPr>
        <w:t xml:space="preserve"> program goals and </w:t>
      </w:r>
      <w:r w:rsidR="00A74F71">
        <w:rPr>
          <w:rStyle w:val="stylenumberedparagraphs11ptchar0"/>
          <w:rFonts w:cs="Arial"/>
          <w:szCs w:val="22"/>
        </w:rPr>
        <w:t xml:space="preserve">seeking comment on </w:t>
      </w:r>
      <w:r>
        <w:rPr>
          <w:rStyle w:val="stylenumberedparagraphs11ptchar0"/>
          <w:rFonts w:cs="Arial"/>
          <w:szCs w:val="22"/>
        </w:rPr>
        <w:t>specific ways to measure our progress towards meeting those goals.  During the last two years, the Commission has established goals and measures as part of modernizing the three other universal service support programs.</w:t>
      </w:r>
      <w:bookmarkStart w:id="73" w:name="_Ref360205281"/>
      <w:r>
        <w:rPr>
          <w:rStyle w:val="FootnoteReference"/>
          <w:rFonts w:cs="Arial"/>
          <w:szCs w:val="22"/>
        </w:rPr>
        <w:footnoteReference w:id="31"/>
      </w:r>
      <w:bookmarkEnd w:id="73"/>
      <w:r>
        <w:rPr>
          <w:rStyle w:val="stylenumberedparagraphs11ptchar0"/>
          <w:rFonts w:cs="Arial"/>
          <w:szCs w:val="22"/>
        </w:rPr>
        <w:t xml:space="preserve">  Today, we propose to do the same for the E-rate program.  We then seek comment on a number of possible approaches to achieving each of our proposed goals.</w:t>
      </w:r>
    </w:p>
    <w:p w14:paraId="6F314C6B" w14:textId="77777777" w:rsidR="00E76718" w:rsidRPr="000C2C05" w:rsidRDefault="00E76718" w:rsidP="002C6BE9">
      <w:pPr>
        <w:pStyle w:val="ParaNum"/>
        <w:rPr>
          <w:rStyle w:val="stylenumberedparagraphs11ptchar0"/>
          <w:szCs w:val="22"/>
        </w:rPr>
      </w:pPr>
      <w:r>
        <w:rPr>
          <w:rStyle w:val="stylenumberedparagraphs11ptchar0"/>
          <w:szCs w:val="22"/>
        </w:rPr>
        <w:t>Thus, the balance of this NPRM is organized into the following six sections:</w:t>
      </w:r>
    </w:p>
    <w:p w14:paraId="42ECADE6" w14:textId="2F02A8CC" w:rsidR="00E76718" w:rsidRDefault="00E76718" w:rsidP="007E53E7">
      <w:pPr>
        <w:pStyle w:val="ParaNum"/>
        <w:numPr>
          <w:ilvl w:val="0"/>
          <w:numId w:val="7"/>
        </w:numPr>
        <w:snapToGrid w:val="0"/>
        <w:spacing w:after="220"/>
        <w:rPr>
          <w:rStyle w:val="stylenumberedparagraphs11ptchar0"/>
          <w:rFonts w:cs="Arial"/>
          <w:szCs w:val="22"/>
        </w:rPr>
      </w:pPr>
      <w:bookmarkStart w:id="74" w:name="_Toc354478058"/>
      <w:bookmarkStart w:id="75" w:name="_Toc354478680"/>
      <w:bookmarkStart w:id="76" w:name="_Toc354660696"/>
      <w:bookmarkStart w:id="77" w:name="_Toc358208776"/>
      <w:bookmarkStart w:id="78" w:name="_Toc358210274"/>
      <w:bookmarkStart w:id="79" w:name="_Toc358210421"/>
      <w:bookmarkStart w:id="80" w:name="_Toc358210599"/>
      <w:bookmarkStart w:id="81" w:name="_Toc358210700"/>
      <w:bookmarkStart w:id="82" w:name="_Toc358213634"/>
      <w:bookmarkStart w:id="83" w:name="_Toc358213766"/>
      <w:bookmarkStart w:id="84" w:name="_Toc358301262"/>
      <w:bookmarkStart w:id="85" w:name="_Toc358720008"/>
      <w:bookmarkStart w:id="86" w:name="_Toc358971234"/>
      <w:bookmarkStart w:id="87" w:name="_Toc358974835"/>
      <w:bookmarkStart w:id="88" w:name="_Toc358975733"/>
      <w:bookmarkStart w:id="89" w:name="_Toc358975895"/>
      <w:bookmarkStart w:id="90" w:name="_Toc358976136"/>
      <w:bookmarkStart w:id="91" w:name="_Toc358980991"/>
      <w:bookmarkStart w:id="92" w:name="_Toc358981107"/>
      <w:r>
        <w:rPr>
          <w:rStyle w:val="stylenumberedparagraphs11ptchar0"/>
          <w:rFonts w:cs="Arial"/>
          <w:szCs w:val="22"/>
        </w:rPr>
        <w:t>In Section II, we propose three goals for the E-rate program</w:t>
      </w:r>
      <w:r w:rsidR="00D33642">
        <w:rPr>
          <w:rStyle w:val="stylenumberedparagraphs11ptchar0"/>
          <w:rFonts w:cs="Arial"/>
          <w:szCs w:val="22"/>
        </w:rPr>
        <w:t>:</w:t>
      </w:r>
      <w:r>
        <w:rPr>
          <w:rStyle w:val="stylenumberedparagraphs11ptchar0"/>
          <w:szCs w:val="22"/>
        </w:rPr>
        <w:t xml:space="preserve"> </w:t>
      </w:r>
    </w:p>
    <w:p w14:paraId="0CD824B4" w14:textId="14126D82" w:rsidR="00E76718" w:rsidRDefault="00E76718" w:rsidP="00E76718">
      <w:pPr>
        <w:pStyle w:val="ParaNum"/>
        <w:numPr>
          <w:ilvl w:val="0"/>
          <w:numId w:val="0"/>
        </w:numPr>
        <w:tabs>
          <w:tab w:val="left" w:pos="720"/>
        </w:tabs>
        <w:spacing w:after="220"/>
        <w:ind w:left="1440"/>
        <w:rPr>
          <w:rStyle w:val="stylenumberedparagraphs11ptchar0"/>
          <w:rFonts w:cs="Arial"/>
          <w:szCs w:val="22"/>
        </w:rPr>
      </w:pPr>
      <w:r>
        <w:rPr>
          <w:rStyle w:val="stylenumberedparagraphs11ptchar0"/>
          <w:szCs w:val="22"/>
        </w:rPr>
        <w:t xml:space="preserve">(1) </w:t>
      </w:r>
      <w:r w:rsidR="00730264">
        <w:t>Ensuring schools and libraries have affordable access to 21</w:t>
      </w:r>
      <w:r w:rsidR="00730264">
        <w:rPr>
          <w:vertAlign w:val="superscript"/>
        </w:rPr>
        <w:t>st</w:t>
      </w:r>
      <w:r w:rsidR="00730264">
        <w:t xml:space="preserve"> Century broadband </w:t>
      </w:r>
      <w:r w:rsidR="00730264">
        <w:rPr>
          <w:color w:val="000000"/>
        </w:rPr>
        <w:t>that supports digital learning</w:t>
      </w:r>
      <w:r w:rsidR="00D33642">
        <w:rPr>
          <w:color w:val="000000"/>
        </w:rPr>
        <w:t>;</w:t>
      </w:r>
      <w:r>
        <w:rPr>
          <w:rStyle w:val="stylenumberedparagraphs11ptchar0"/>
          <w:rFonts w:cs="Arial"/>
          <w:szCs w:val="22"/>
        </w:rPr>
        <w:t xml:space="preserve"> </w:t>
      </w:r>
    </w:p>
    <w:p w14:paraId="5B04C031" w14:textId="21FFCE13" w:rsidR="00E76718" w:rsidRDefault="00E76718" w:rsidP="00E76718">
      <w:pPr>
        <w:pStyle w:val="ParaNum"/>
        <w:numPr>
          <w:ilvl w:val="0"/>
          <w:numId w:val="0"/>
        </w:numPr>
        <w:tabs>
          <w:tab w:val="left" w:pos="720"/>
        </w:tabs>
        <w:spacing w:after="220"/>
        <w:ind w:left="1440"/>
        <w:rPr>
          <w:rStyle w:val="stylenumberedparagraphs11ptchar0"/>
          <w:rFonts w:cs="Arial"/>
          <w:szCs w:val="22"/>
        </w:rPr>
      </w:pPr>
      <w:r>
        <w:rPr>
          <w:rStyle w:val="stylenumberedparagraphs11ptchar0"/>
          <w:szCs w:val="22"/>
        </w:rPr>
        <w:t xml:space="preserve">(2) </w:t>
      </w:r>
      <w:r>
        <w:rPr>
          <w:rStyle w:val="stylenumberedparagraphs11ptchar0"/>
          <w:rFonts w:cs="Arial"/>
          <w:szCs w:val="22"/>
        </w:rPr>
        <w:t xml:space="preserve">Maximizing the cost-effectiveness </w:t>
      </w:r>
      <w:r w:rsidR="005D347D">
        <w:rPr>
          <w:rStyle w:val="stylenumberedparagraphs11ptchar0"/>
          <w:rFonts w:cs="Arial"/>
          <w:szCs w:val="22"/>
        </w:rPr>
        <w:t>of</w:t>
      </w:r>
      <w:r w:rsidR="00091835">
        <w:rPr>
          <w:rStyle w:val="stylenumberedparagraphs11ptchar0"/>
          <w:rFonts w:cs="Arial"/>
          <w:szCs w:val="22"/>
        </w:rPr>
        <w:t xml:space="preserve"> </w:t>
      </w:r>
      <w:r>
        <w:rPr>
          <w:rStyle w:val="stylenumberedparagraphs11ptchar0"/>
          <w:rFonts w:cs="Arial"/>
          <w:szCs w:val="22"/>
        </w:rPr>
        <w:t>E-rate funds</w:t>
      </w:r>
      <w:r w:rsidR="00D33642">
        <w:rPr>
          <w:rStyle w:val="stylenumberedparagraphs11ptchar0"/>
          <w:rFonts w:cs="Arial"/>
          <w:szCs w:val="22"/>
        </w:rPr>
        <w:t>; and</w:t>
      </w:r>
    </w:p>
    <w:p w14:paraId="604DF77C" w14:textId="7D10DAC2" w:rsidR="00E76718" w:rsidRDefault="00E76718" w:rsidP="00E76718">
      <w:pPr>
        <w:pStyle w:val="ParaNum"/>
        <w:numPr>
          <w:ilvl w:val="0"/>
          <w:numId w:val="0"/>
        </w:numPr>
        <w:tabs>
          <w:tab w:val="left" w:pos="720"/>
        </w:tabs>
        <w:spacing w:after="220"/>
        <w:ind w:left="1440"/>
        <w:rPr>
          <w:rFonts w:cs="Arial"/>
          <w:szCs w:val="22"/>
        </w:rPr>
      </w:pPr>
      <w:r>
        <w:rPr>
          <w:rStyle w:val="stylenumberedparagraphs11ptchar0"/>
          <w:rFonts w:cs="Arial"/>
          <w:szCs w:val="22"/>
        </w:rPr>
        <w:t>(3)</w:t>
      </w:r>
      <w:r>
        <w:rPr>
          <w:szCs w:val="22"/>
        </w:rPr>
        <w:t xml:space="preserve"> </w:t>
      </w:r>
      <w:r w:rsidR="00003E62">
        <w:rPr>
          <w:szCs w:val="22"/>
        </w:rPr>
        <w:t xml:space="preserve">Streamlining the administration </w:t>
      </w:r>
      <w:r w:rsidRPr="00C8047B">
        <w:rPr>
          <w:rFonts w:cs="Arial"/>
          <w:szCs w:val="22"/>
        </w:rPr>
        <w:t xml:space="preserve">of the E-rate program.  </w:t>
      </w:r>
    </w:p>
    <w:p w14:paraId="2A1C282A" w14:textId="075C0594" w:rsidR="00E76718" w:rsidRDefault="00E76718" w:rsidP="00E76718">
      <w:pPr>
        <w:tabs>
          <w:tab w:val="left" w:pos="720"/>
        </w:tabs>
        <w:snapToGrid w:val="0"/>
        <w:spacing w:after="220"/>
        <w:ind w:left="1080"/>
        <w:rPr>
          <w:rFonts w:cs="Arial"/>
          <w:szCs w:val="22"/>
        </w:rPr>
      </w:pPr>
      <w:r w:rsidRPr="00C8047B">
        <w:rPr>
          <w:rFonts w:cs="Arial"/>
          <w:szCs w:val="22"/>
        </w:rPr>
        <w:t xml:space="preserve">We also propose to adopt measures for each of the proposed goals.  </w:t>
      </w:r>
    </w:p>
    <w:p w14:paraId="153D9E1D" w14:textId="77777777" w:rsidR="00E76718" w:rsidRPr="00071EC5" w:rsidRDefault="00E76718" w:rsidP="00E76718">
      <w:pPr>
        <w:tabs>
          <w:tab w:val="left" w:pos="720"/>
        </w:tabs>
        <w:snapToGrid w:val="0"/>
        <w:spacing w:after="220"/>
        <w:ind w:left="1080"/>
        <w:rPr>
          <w:rStyle w:val="stylenumberedparagraphs11ptchar0"/>
          <w:rFonts w:cs="Arial"/>
          <w:szCs w:val="22"/>
        </w:rPr>
      </w:pPr>
      <w:r w:rsidRPr="00C8047B">
        <w:rPr>
          <w:rFonts w:cs="Arial"/>
          <w:szCs w:val="22"/>
        </w:rPr>
        <w:t xml:space="preserve">In proposing to adopt specific goals and measures, we seek to focus available funds on the highest communications priorities for schools and libraries and, over time, </w:t>
      </w:r>
      <w:r>
        <w:rPr>
          <w:rFonts w:cs="Arial"/>
          <w:szCs w:val="22"/>
        </w:rPr>
        <w:t xml:space="preserve">to </w:t>
      </w:r>
      <w:r w:rsidRPr="00C8047B">
        <w:rPr>
          <w:rFonts w:cs="Arial"/>
          <w:szCs w:val="22"/>
        </w:rPr>
        <w:t>determine whether E-rate funds are effectively targeted to meet those goals.</w:t>
      </w:r>
    </w:p>
    <w:p w14:paraId="77E7839E" w14:textId="7DAC73D2" w:rsidR="00E76718" w:rsidRPr="00071EC5" w:rsidRDefault="00E76718" w:rsidP="007E53E7">
      <w:pPr>
        <w:pStyle w:val="ParaNum"/>
        <w:numPr>
          <w:ilvl w:val="0"/>
          <w:numId w:val="7"/>
        </w:numPr>
        <w:snapToGrid w:val="0"/>
        <w:spacing w:after="220"/>
        <w:rPr>
          <w:rStyle w:val="stylenumberedparagraphs11ptchar0"/>
          <w:rFonts w:cs="Arial"/>
          <w:szCs w:val="22"/>
        </w:rPr>
      </w:pPr>
      <w:r w:rsidRPr="00071EC5">
        <w:rPr>
          <w:rStyle w:val="stylenumberedparagraphs11ptchar0"/>
          <w:rFonts w:cs="Arial"/>
          <w:szCs w:val="22"/>
        </w:rPr>
        <w:t xml:space="preserve">In Section III, we focus </w:t>
      </w:r>
      <w:r>
        <w:rPr>
          <w:rStyle w:val="stylenumberedparagraphs11ptchar0"/>
          <w:rFonts w:cs="Arial"/>
          <w:szCs w:val="22"/>
        </w:rPr>
        <w:t xml:space="preserve">on the first proposed goal </w:t>
      </w:r>
      <w:r w:rsidR="00A73101">
        <w:rPr>
          <w:rStyle w:val="stylenumberedparagraphs11ptchar0"/>
          <w:rFonts w:cs="Arial"/>
          <w:szCs w:val="22"/>
        </w:rPr>
        <w:t xml:space="preserve">and seek </w:t>
      </w:r>
      <w:r>
        <w:rPr>
          <w:rStyle w:val="stylenumberedparagraphs11ptchar0"/>
          <w:rFonts w:cs="Arial"/>
          <w:szCs w:val="22"/>
        </w:rPr>
        <w:t xml:space="preserve">comment </w:t>
      </w:r>
      <w:r w:rsidRPr="00071EC5">
        <w:rPr>
          <w:rStyle w:val="stylenumberedparagraphs11ptchar0"/>
          <w:rFonts w:cs="Arial"/>
          <w:szCs w:val="22"/>
        </w:rPr>
        <w:t xml:space="preserve">on ways to </w:t>
      </w:r>
      <w:r>
        <w:rPr>
          <w:rStyle w:val="stylenumberedparagraphs11ptchar0"/>
          <w:rFonts w:cs="Arial"/>
          <w:szCs w:val="22"/>
        </w:rPr>
        <w:t xml:space="preserve">modernize and reform the E-rate program to better </w:t>
      </w:r>
      <w:r w:rsidRPr="00071EC5">
        <w:rPr>
          <w:rStyle w:val="stylenumberedparagraphs11ptchar0"/>
          <w:rFonts w:cs="Arial"/>
          <w:szCs w:val="22"/>
        </w:rPr>
        <w:t xml:space="preserve">ensure eligible schools and libraries have affordable access to </w:t>
      </w:r>
      <w:r w:rsidR="00AE5162">
        <w:rPr>
          <w:rStyle w:val="stylenumberedparagraphs11ptchar0"/>
          <w:rFonts w:cs="Arial"/>
          <w:szCs w:val="22"/>
        </w:rPr>
        <w:t>high-capacity broadband</w:t>
      </w:r>
      <w:r w:rsidRPr="00071EC5">
        <w:rPr>
          <w:rStyle w:val="stylenumberedparagraphs11ptchar0"/>
          <w:rFonts w:cs="Arial"/>
          <w:szCs w:val="22"/>
        </w:rPr>
        <w:t xml:space="preserve">.  First, we propose to </w:t>
      </w:r>
      <w:r w:rsidR="00061D4F">
        <w:rPr>
          <w:rStyle w:val="stylenumberedparagraphs11ptchar0"/>
          <w:rFonts w:cs="Arial"/>
          <w:szCs w:val="22"/>
        </w:rPr>
        <w:t xml:space="preserve">focus E-rate funds on supporting </w:t>
      </w:r>
      <w:r w:rsidR="00AE5162">
        <w:rPr>
          <w:rStyle w:val="stylenumberedparagraphs11ptchar0"/>
          <w:rFonts w:cs="Arial"/>
          <w:szCs w:val="22"/>
        </w:rPr>
        <w:t>high-capacity broadband</w:t>
      </w:r>
      <w:r w:rsidRPr="00071EC5">
        <w:rPr>
          <w:rStyle w:val="stylenumberedparagraphs11ptchar0"/>
          <w:rFonts w:cs="Arial"/>
          <w:szCs w:val="22"/>
        </w:rPr>
        <w:t xml:space="preserve"> to and within</w:t>
      </w:r>
      <w:r>
        <w:rPr>
          <w:rStyle w:val="stylenumberedparagraphs11ptchar0"/>
          <w:rFonts w:cs="Arial"/>
          <w:szCs w:val="22"/>
        </w:rPr>
        <w:t xml:space="preserve"> </w:t>
      </w:r>
      <w:r w:rsidRPr="00071EC5">
        <w:rPr>
          <w:rStyle w:val="stylenumberedparagraphs11ptchar0"/>
          <w:rFonts w:cs="Arial"/>
          <w:szCs w:val="22"/>
        </w:rPr>
        <w:t>schools and libraries</w:t>
      </w:r>
      <w:r>
        <w:rPr>
          <w:rStyle w:val="stylenumberedparagraphs11ptchar0"/>
          <w:rFonts w:cs="Arial"/>
          <w:szCs w:val="22"/>
        </w:rPr>
        <w:t>,</w:t>
      </w:r>
      <w:r w:rsidRPr="00071EC5">
        <w:rPr>
          <w:rStyle w:val="stylenumberedparagraphs11ptchar0"/>
          <w:rFonts w:cs="Arial"/>
          <w:szCs w:val="22"/>
        </w:rPr>
        <w:t xml:space="preserve"> and we seek comment on updating the list of services eligible for E-rate support.  Second, we seek comment on various options for ensuring equitable access </w:t>
      </w:r>
      <w:r w:rsidRPr="00071EC5">
        <w:rPr>
          <w:rStyle w:val="stylenumberedparagraphs11ptchar0"/>
          <w:rFonts w:cs="Arial"/>
          <w:szCs w:val="22"/>
        </w:rPr>
        <w:lastRenderedPageBreak/>
        <w:t xml:space="preserve">to limited E-rate funding.  Finally, we seek comment </w:t>
      </w:r>
      <w:r>
        <w:rPr>
          <w:rStyle w:val="stylenumberedparagraphs11ptchar0"/>
          <w:rFonts w:cs="Arial"/>
          <w:szCs w:val="22"/>
        </w:rPr>
        <w:t xml:space="preserve">on what other measures we could take if these steps, combined with the other efficiency measures proposed elsewhere in this NPRM, </w:t>
      </w:r>
      <w:r w:rsidR="00C54B42">
        <w:rPr>
          <w:rStyle w:val="stylenumberedparagraphs11ptchar0"/>
          <w:rFonts w:cs="Arial"/>
          <w:szCs w:val="22"/>
        </w:rPr>
        <w:t>appear insufficient to meet</w:t>
      </w:r>
      <w:r>
        <w:rPr>
          <w:rStyle w:val="stylenumberedparagraphs11ptchar0"/>
          <w:rFonts w:cs="Arial"/>
          <w:szCs w:val="22"/>
        </w:rPr>
        <w:t xml:space="preserve"> our program goals.</w:t>
      </w:r>
      <w:r w:rsidRPr="00071EC5">
        <w:rPr>
          <w:rStyle w:val="stylenumberedparagraphs11ptchar0"/>
          <w:rFonts w:cs="Arial"/>
          <w:szCs w:val="22"/>
        </w:rPr>
        <w:t xml:space="preserve"> </w:t>
      </w:r>
      <w:r>
        <w:rPr>
          <w:rStyle w:val="stylenumberedparagraphs11ptchar0"/>
          <w:rFonts w:cs="Arial"/>
          <w:szCs w:val="22"/>
        </w:rPr>
        <w:t xml:space="preserve"> In particular, we seek comment on potential options to focus additional state, local, and federal funding on school connectivity and to lower the costs of new </w:t>
      </w:r>
      <w:r w:rsidR="00AE5162">
        <w:rPr>
          <w:rStyle w:val="stylenumberedparagraphs11ptchar0"/>
          <w:rFonts w:cs="Arial"/>
          <w:szCs w:val="22"/>
        </w:rPr>
        <w:t>high-capacity broadband</w:t>
      </w:r>
      <w:r>
        <w:rPr>
          <w:rStyle w:val="stylenumberedparagraphs11ptchar0"/>
          <w:rFonts w:cs="Arial"/>
          <w:szCs w:val="22"/>
        </w:rPr>
        <w:t xml:space="preserve"> </w:t>
      </w:r>
      <w:r w:rsidR="00766EF7">
        <w:rPr>
          <w:rStyle w:val="stylenumberedparagraphs11ptchar0"/>
          <w:rFonts w:cs="Arial"/>
          <w:szCs w:val="22"/>
        </w:rPr>
        <w:t xml:space="preserve">deployment </w:t>
      </w:r>
      <w:r>
        <w:rPr>
          <w:rStyle w:val="stylenumberedparagraphs11ptchar0"/>
          <w:rFonts w:cs="Arial"/>
          <w:szCs w:val="22"/>
        </w:rPr>
        <w:t>to schools and libraries</w:t>
      </w:r>
      <w:r w:rsidRPr="00071EC5">
        <w:rPr>
          <w:rStyle w:val="stylenumberedparagraphs11ptchar0"/>
          <w:rFonts w:cs="Arial"/>
          <w:szCs w:val="22"/>
        </w:rPr>
        <w:t xml:space="preserve">.  </w:t>
      </w:r>
    </w:p>
    <w:p w14:paraId="07B13060" w14:textId="561251EB" w:rsidR="00E76718" w:rsidRDefault="00E76718" w:rsidP="007E53E7">
      <w:pPr>
        <w:pStyle w:val="ParaNum"/>
        <w:numPr>
          <w:ilvl w:val="0"/>
          <w:numId w:val="7"/>
        </w:numPr>
        <w:snapToGrid w:val="0"/>
        <w:spacing w:after="220"/>
        <w:rPr>
          <w:rStyle w:val="stylenumberedparagraphs11ptchar0"/>
          <w:rFonts w:cs="Arial"/>
          <w:szCs w:val="22"/>
        </w:rPr>
      </w:pPr>
      <w:r>
        <w:rPr>
          <w:rStyle w:val="stylenumberedparagraphs11ptchar0"/>
          <w:rFonts w:cs="Arial"/>
          <w:szCs w:val="22"/>
        </w:rPr>
        <w:t>In Section IV, we focus on the second proposed goal</w:t>
      </w:r>
      <w:r w:rsidR="00A73101" w:rsidRPr="00A73101">
        <w:rPr>
          <w:rStyle w:val="stylenumberedparagraphs11ptchar0"/>
          <w:rFonts w:cs="Arial"/>
          <w:szCs w:val="22"/>
        </w:rPr>
        <w:t xml:space="preserve"> </w:t>
      </w:r>
      <w:r w:rsidR="00A73101">
        <w:rPr>
          <w:rStyle w:val="stylenumberedparagraphs11ptchar0"/>
          <w:rFonts w:cs="Arial"/>
          <w:szCs w:val="22"/>
        </w:rPr>
        <w:t xml:space="preserve">and seek </w:t>
      </w:r>
      <w:r>
        <w:rPr>
          <w:rStyle w:val="stylenumberedparagraphs11ptchar0"/>
          <w:rFonts w:cs="Arial"/>
          <w:szCs w:val="22"/>
        </w:rPr>
        <w:t xml:space="preserve">comment on maximizing the cost-effectiveness of E-rate purchases, including how we can encourage increased consortium purchasing; create bulk buying opportunities; increase transparency of </w:t>
      </w:r>
      <w:r w:rsidR="00E54C46">
        <w:rPr>
          <w:rStyle w:val="stylenumberedparagraphs11ptchar0"/>
          <w:rFonts w:cs="Arial"/>
          <w:szCs w:val="22"/>
        </w:rPr>
        <w:t xml:space="preserve">spending and </w:t>
      </w:r>
      <w:r>
        <w:rPr>
          <w:rStyle w:val="stylenumberedparagraphs11ptchar0"/>
          <w:rFonts w:cs="Arial"/>
          <w:szCs w:val="22"/>
        </w:rPr>
        <w:t xml:space="preserve">prices; amend the competitive bidding processes; and </w:t>
      </w:r>
      <w:r w:rsidR="000E31D1">
        <w:rPr>
          <w:rStyle w:val="stylenumberedparagraphs11ptchar0"/>
          <w:rFonts w:cs="Arial"/>
          <w:szCs w:val="22"/>
        </w:rPr>
        <w:t>encouraging efficient use of funding</w:t>
      </w:r>
      <w:r>
        <w:rPr>
          <w:rStyle w:val="stylenumberedparagraphs11ptchar0"/>
          <w:rFonts w:cs="Arial"/>
          <w:szCs w:val="22"/>
        </w:rPr>
        <w:t xml:space="preserve">.  We also seek comment on a pilot program to </w:t>
      </w:r>
      <w:r w:rsidR="00A73101">
        <w:rPr>
          <w:rStyle w:val="stylenumberedparagraphs11ptchar0"/>
          <w:rFonts w:cs="Arial"/>
          <w:szCs w:val="22"/>
        </w:rPr>
        <w:t>incent and test more efficient purchasing practices</w:t>
      </w:r>
      <w:r>
        <w:rPr>
          <w:rStyle w:val="stylenumberedparagraphs11ptchar0"/>
          <w:rFonts w:cs="Arial"/>
          <w:szCs w:val="22"/>
        </w:rPr>
        <w:t xml:space="preserve">.  </w:t>
      </w:r>
    </w:p>
    <w:p w14:paraId="33997C9C" w14:textId="676B4E60" w:rsidR="00E76718" w:rsidRDefault="00E76718" w:rsidP="007E53E7">
      <w:pPr>
        <w:pStyle w:val="ParaNum"/>
        <w:numPr>
          <w:ilvl w:val="0"/>
          <w:numId w:val="7"/>
        </w:numPr>
        <w:snapToGrid w:val="0"/>
        <w:spacing w:after="220"/>
        <w:rPr>
          <w:rStyle w:val="stylenumberedparagraphs11ptchar0"/>
          <w:rFonts w:cs="Arial"/>
          <w:szCs w:val="22"/>
        </w:rPr>
      </w:pPr>
      <w:r>
        <w:rPr>
          <w:rStyle w:val="stylenumberedparagraphs11ptchar0"/>
          <w:rFonts w:cs="Arial"/>
          <w:szCs w:val="22"/>
        </w:rPr>
        <w:t>In Section V, we focus on the third proposed goal</w:t>
      </w:r>
      <w:r w:rsidR="00A73101" w:rsidRPr="00A73101">
        <w:rPr>
          <w:rStyle w:val="stylenumberedparagraphs11ptchar0"/>
          <w:rFonts w:cs="Arial"/>
          <w:szCs w:val="22"/>
        </w:rPr>
        <w:t xml:space="preserve"> </w:t>
      </w:r>
      <w:r w:rsidR="00A73101">
        <w:rPr>
          <w:rStyle w:val="stylenumberedparagraphs11ptchar0"/>
          <w:rFonts w:cs="Arial"/>
          <w:szCs w:val="22"/>
        </w:rPr>
        <w:t xml:space="preserve">and seek </w:t>
      </w:r>
      <w:r>
        <w:rPr>
          <w:rStyle w:val="stylenumberedparagraphs11ptchar0"/>
          <w:rFonts w:cs="Arial"/>
          <w:szCs w:val="22"/>
        </w:rPr>
        <w:t xml:space="preserve">comment on ways to </w:t>
      </w:r>
      <w:r w:rsidR="004B050F">
        <w:rPr>
          <w:rStyle w:val="stylenumberedparagraphs11ptchar0"/>
          <w:rFonts w:cs="Arial"/>
          <w:szCs w:val="22"/>
        </w:rPr>
        <w:t xml:space="preserve">streamline </w:t>
      </w:r>
      <w:r>
        <w:rPr>
          <w:rStyle w:val="stylenumberedparagraphs11ptchar0"/>
          <w:rFonts w:cs="Arial"/>
          <w:szCs w:val="22"/>
        </w:rPr>
        <w:t xml:space="preserve">the </w:t>
      </w:r>
      <w:r w:rsidR="004B050F">
        <w:rPr>
          <w:rStyle w:val="stylenumberedparagraphs11ptchar0"/>
          <w:rFonts w:cs="Arial"/>
          <w:szCs w:val="22"/>
        </w:rPr>
        <w:t xml:space="preserve">administration </w:t>
      </w:r>
      <w:r>
        <w:rPr>
          <w:rStyle w:val="stylenumberedparagraphs11ptchar0"/>
          <w:rFonts w:cs="Arial"/>
          <w:szCs w:val="22"/>
        </w:rPr>
        <w:t xml:space="preserve">of the </w:t>
      </w:r>
      <w:r w:rsidR="004B050F">
        <w:rPr>
          <w:rStyle w:val="stylenumberedparagraphs11ptchar0"/>
          <w:rFonts w:cs="Arial"/>
          <w:szCs w:val="22"/>
        </w:rPr>
        <w:t xml:space="preserve">E-rate </w:t>
      </w:r>
      <w:r>
        <w:rPr>
          <w:rStyle w:val="stylenumberedparagraphs11ptchar0"/>
          <w:rFonts w:cs="Arial"/>
          <w:szCs w:val="22"/>
        </w:rPr>
        <w:t>program by</w:t>
      </w:r>
      <w:r w:rsidR="004B050F">
        <w:rPr>
          <w:rStyle w:val="stylenumberedparagraphs11ptchar0"/>
          <w:rFonts w:cs="Arial"/>
          <w:szCs w:val="22"/>
        </w:rPr>
        <w:t>, among other things,</w:t>
      </w:r>
      <w:r>
        <w:rPr>
          <w:rStyle w:val="stylenumberedparagraphs11ptchar0"/>
          <w:rFonts w:cs="Arial"/>
          <w:szCs w:val="22"/>
        </w:rPr>
        <w:t xml:space="preserve"> requiring electron</w:t>
      </w:r>
      <w:r w:rsidR="00A73229">
        <w:rPr>
          <w:rStyle w:val="stylenumberedparagraphs11ptchar0"/>
          <w:rFonts w:cs="Arial"/>
          <w:szCs w:val="22"/>
        </w:rPr>
        <w:t xml:space="preserve">ic filing of all documents with the </w:t>
      </w:r>
      <w:r w:rsidR="008531E5">
        <w:rPr>
          <w:rStyle w:val="stylenumberedparagraphs11ptchar0"/>
          <w:rFonts w:cs="Arial"/>
          <w:szCs w:val="22"/>
        </w:rPr>
        <w:t xml:space="preserve">E-rate program </w:t>
      </w:r>
      <w:r w:rsidR="00A73229">
        <w:rPr>
          <w:rStyle w:val="stylenumberedparagraphs11ptchar0"/>
          <w:rFonts w:cs="Arial"/>
          <w:szCs w:val="22"/>
        </w:rPr>
        <w:t>Administrator, the</w:t>
      </w:r>
      <w:r w:rsidR="005814BB">
        <w:rPr>
          <w:rStyle w:val="stylenumberedparagraphs11ptchar0"/>
          <w:rFonts w:cs="Arial"/>
          <w:szCs w:val="22"/>
        </w:rPr>
        <w:t xml:space="preserve"> </w:t>
      </w:r>
      <w:r w:rsidR="00A73229">
        <w:rPr>
          <w:rStyle w:val="stylenumberedparagraphs11ptchar0"/>
          <w:rFonts w:cs="Arial"/>
          <w:szCs w:val="22"/>
        </w:rPr>
        <w:t>Universal Service Administrative Company (</w:t>
      </w:r>
      <w:r>
        <w:rPr>
          <w:rStyle w:val="stylenumberedparagraphs11ptchar0"/>
          <w:rFonts w:cs="Arial"/>
          <w:szCs w:val="22"/>
        </w:rPr>
        <w:t>USAC</w:t>
      </w:r>
      <w:r w:rsidR="00A73229">
        <w:rPr>
          <w:rStyle w:val="stylenumberedparagraphs11ptchar0"/>
          <w:rFonts w:cs="Arial"/>
          <w:szCs w:val="22"/>
        </w:rPr>
        <w:t>)</w:t>
      </w:r>
      <w:r>
        <w:rPr>
          <w:rStyle w:val="stylenumberedparagraphs11ptchar0"/>
          <w:rFonts w:cs="Arial"/>
          <w:szCs w:val="22"/>
        </w:rPr>
        <w:t>; increasing transparency of USAC’s processes; speeding USAC’s review of E-rate applications; simplifying the eligible services list; finding more efficient ways to disburse E-rate funds; addressing unused E-rate funding</w:t>
      </w:r>
      <w:r w:rsidR="004B050F">
        <w:rPr>
          <w:rStyle w:val="stylenumberedparagraphs11ptchar0"/>
          <w:rFonts w:cs="Arial"/>
          <w:szCs w:val="22"/>
        </w:rPr>
        <w:t>; and streamlining the E-rate appeals process</w:t>
      </w:r>
      <w:r>
        <w:rPr>
          <w:rStyle w:val="stylenumberedparagraphs11ptchar0"/>
          <w:rFonts w:cs="Arial"/>
          <w:szCs w:val="22"/>
        </w:rPr>
        <w:t xml:space="preserve">. </w:t>
      </w:r>
    </w:p>
    <w:p w14:paraId="224E4D2F" w14:textId="28C13AF1" w:rsidR="00E76718" w:rsidRDefault="00E76718" w:rsidP="007E53E7">
      <w:pPr>
        <w:pStyle w:val="ParaNum"/>
        <w:numPr>
          <w:ilvl w:val="0"/>
          <w:numId w:val="7"/>
        </w:numPr>
        <w:snapToGrid w:val="0"/>
        <w:spacing w:after="220"/>
        <w:rPr>
          <w:rStyle w:val="stylenumberedparagraphs11ptchar0"/>
          <w:rFonts w:cs="Arial"/>
          <w:szCs w:val="22"/>
        </w:rPr>
      </w:pPr>
      <w:r>
        <w:rPr>
          <w:rStyle w:val="stylenumberedparagraphs11ptchar0"/>
          <w:rFonts w:cs="Arial"/>
          <w:szCs w:val="22"/>
        </w:rPr>
        <w:t xml:space="preserve">In Section VI, we seek comment on several additional issues relating to the E-rate program that have been raised by stakeholders, including issues related to school and library obligations under the Children’s Internet Protection Act (CIPA); </w:t>
      </w:r>
      <w:r w:rsidR="00DD0080">
        <w:rPr>
          <w:rStyle w:val="stylenumberedparagraphs11ptchar0"/>
          <w:rFonts w:cs="Arial"/>
          <w:szCs w:val="22"/>
        </w:rPr>
        <w:t xml:space="preserve">identifying rural schools and libraries; </w:t>
      </w:r>
      <w:r w:rsidR="00D42D06">
        <w:rPr>
          <w:rStyle w:val="stylenumberedparagraphs11ptchar0"/>
          <w:rFonts w:cs="Arial"/>
          <w:szCs w:val="22"/>
        </w:rPr>
        <w:t xml:space="preserve">changes to the National School Lunch Program; </w:t>
      </w:r>
      <w:r>
        <w:rPr>
          <w:rStyle w:val="stylenumberedparagraphs11ptchar0"/>
          <w:rFonts w:cs="Arial"/>
          <w:szCs w:val="22"/>
        </w:rPr>
        <w:t>fraud protection measures; use of E-rate supported services for community Wi-Fi hotspots</w:t>
      </w:r>
      <w:r w:rsidR="003C4E15">
        <w:rPr>
          <w:rStyle w:val="stylenumberedparagraphs11ptchar0"/>
          <w:rFonts w:cs="Arial"/>
          <w:szCs w:val="22"/>
        </w:rPr>
        <w:t>; and procedures for dealing with national emergencies</w:t>
      </w:r>
      <w:r>
        <w:rPr>
          <w:rStyle w:val="stylenumberedparagraphs11ptchar0"/>
          <w:rFonts w:cs="Arial"/>
          <w:szCs w:val="22"/>
        </w:rPr>
        <w:t xml:space="preserve">. </w:t>
      </w:r>
    </w:p>
    <w:p w14:paraId="2F2D0161" w14:textId="7EC565E8" w:rsidR="00F47042" w:rsidRPr="00043263" w:rsidRDefault="00E76718" w:rsidP="00E76718">
      <w:pPr>
        <w:pStyle w:val="ParaNum"/>
        <w:numPr>
          <w:ilvl w:val="0"/>
          <w:numId w:val="0"/>
        </w:numPr>
        <w:tabs>
          <w:tab w:val="left" w:pos="720"/>
        </w:tabs>
        <w:spacing w:after="220"/>
        <w:rPr>
          <w:rStyle w:val="stylenumberedparagraphs11ptchar0"/>
          <w:rFonts w:cs="Arial"/>
          <w:szCs w:val="22"/>
        </w:rPr>
      </w:pPr>
      <w:r>
        <w:rPr>
          <w:rStyle w:val="stylenumberedparagraphs11ptchar0"/>
          <w:rFonts w:cs="Arial"/>
          <w:szCs w:val="22"/>
        </w:rPr>
        <w:t xml:space="preserve">In seeking comment on our proposed goals and measures, and on options to modernize E-rate to better align it with these goals, </w:t>
      </w:r>
      <w:r w:rsidR="00CC39F1">
        <w:rPr>
          <w:rStyle w:val="stylenumberedparagraphs11ptchar0"/>
          <w:rFonts w:cs="Arial"/>
          <w:szCs w:val="22"/>
        </w:rPr>
        <w:t xml:space="preserve">in addition to specific questions posed throughout, </w:t>
      </w:r>
      <w:r>
        <w:rPr>
          <w:rStyle w:val="stylenumberedparagraphs11ptchar0"/>
          <w:rFonts w:cs="Arial"/>
          <w:szCs w:val="22"/>
        </w:rPr>
        <w:t xml:space="preserve">we encourage input from Tribal governments and </w:t>
      </w:r>
      <w:r w:rsidR="00CC39F1">
        <w:rPr>
          <w:rStyle w:val="stylenumberedparagraphs11ptchar0"/>
          <w:rFonts w:cs="Arial"/>
          <w:szCs w:val="22"/>
        </w:rPr>
        <w:t xml:space="preserve">ask generally </w:t>
      </w:r>
      <w:r>
        <w:rPr>
          <w:rStyle w:val="stylenumberedparagraphs11ptchar0"/>
          <w:rFonts w:cs="Arial"/>
          <w:szCs w:val="22"/>
        </w:rPr>
        <w:t xml:space="preserve">whether there are any unique circumstances </w:t>
      </w:r>
      <w:r w:rsidR="00D33642">
        <w:rPr>
          <w:rStyle w:val="stylenumberedparagraphs11ptchar0"/>
          <w:rFonts w:cs="Arial"/>
          <w:szCs w:val="22"/>
        </w:rPr>
        <w:t xml:space="preserve">on </w:t>
      </w:r>
      <w:r>
        <w:rPr>
          <w:rStyle w:val="stylenumberedparagraphs11ptchar0"/>
          <w:rFonts w:cs="Arial"/>
          <w:szCs w:val="22"/>
        </w:rPr>
        <w:t xml:space="preserve">Tribal lands that would necessitate a different approach.  Similarly, we request comment on whether there are any unique </w:t>
      </w:r>
      <w:r w:rsidRPr="00043263">
        <w:rPr>
          <w:rStyle w:val="stylenumberedparagraphs11ptchar0"/>
          <w:rFonts w:cs="Arial"/>
          <w:szCs w:val="22"/>
        </w:rPr>
        <w:t>circumstances in insular areas that would necessitate a different approach.</w:t>
      </w:r>
    </w:p>
    <w:p w14:paraId="782E940C" w14:textId="170FFB13" w:rsidR="000627C7" w:rsidRDefault="00F47042" w:rsidP="00870622">
      <w:pPr>
        <w:pStyle w:val="Heading1"/>
        <w:rPr>
          <w:rStyle w:val="stylenumberedparagraphs11ptchar0"/>
          <w:rFonts w:cs="Arial"/>
          <w:b w:val="0"/>
          <w:szCs w:val="22"/>
        </w:rPr>
      </w:pPr>
      <w:bookmarkStart w:id="93" w:name="_Toc358982371"/>
      <w:bookmarkStart w:id="94" w:name="_Toc358982461"/>
      <w:bookmarkStart w:id="95" w:name="_Toc359239243"/>
      <w:bookmarkStart w:id="96" w:name="_Toc359239300"/>
      <w:bookmarkStart w:id="97" w:name="_Toc359252259"/>
      <w:bookmarkStart w:id="98" w:name="_Toc359326008"/>
      <w:bookmarkStart w:id="99" w:name="_Toc359333256"/>
      <w:bookmarkStart w:id="100" w:name="_Toc359339910"/>
      <w:bookmarkStart w:id="101" w:name="_Toc359343174"/>
      <w:bookmarkStart w:id="102" w:name="_Toc359346983"/>
      <w:bookmarkStart w:id="103" w:name="_Toc359598671"/>
      <w:bookmarkStart w:id="104" w:name="_Toc359853136"/>
      <w:bookmarkStart w:id="105" w:name="_Toc359853369"/>
      <w:bookmarkStart w:id="106" w:name="_Toc359853635"/>
      <w:bookmarkStart w:id="107" w:name="_Toc359858595"/>
      <w:bookmarkStart w:id="108" w:name="_Toc359859579"/>
      <w:bookmarkStart w:id="109" w:name="_Toc359940037"/>
      <w:bookmarkStart w:id="110" w:name="_Toc360025411"/>
      <w:bookmarkStart w:id="111" w:name="_Toc360107467"/>
      <w:bookmarkStart w:id="112" w:name="_Toc360111591"/>
      <w:bookmarkStart w:id="113" w:name="_Toc360172776"/>
      <w:bookmarkStart w:id="114" w:name="_Toc360186107"/>
      <w:bookmarkStart w:id="115" w:name="_Toc360186184"/>
      <w:bookmarkStart w:id="116" w:name="_Toc360186388"/>
      <w:bookmarkStart w:id="117" w:name="_Toc360186465"/>
      <w:bookmarkStart w:id="118" w:name="_Toc360187261"/>
      <w:bookmarkStart w:id="119" w:name="_Toc360187427"/>
      <w:bookmarkStart w:id="120" w:name="_Toc360208878"/>
      <w:bookmarkStart w:id="121" w:name="_Toc360212011"/>
      <w:bookmarkStart w:id="122" w:name="_Toc361663079"/>
      <w:bookmarkStart w:id="123" w:name="_Toc361857659"/>
      <w:bookmarkStart w:id="124" w:name="_Toc361918751"/>
      <w:bookmarkStart w:id="125" w:name="_Toc362272531"/>
      <w:r w:rsidRPr="00B9652C">
        <w:rPr>
          <w:rStyle w:val="stylenumberedparagraphs11ptchar0"/>
          <w:rFonts w:cs="Arial"/>
          <w:b w:val="0"/>
          <w:szCs w:val="22"/>
        </w:rPr>
        <w:lastRenderedPageBreak/>
        <w:t>G</w:t>
      </w:r>
      <w:r w:rsidR="000627C7" w:rsidRPr="00B9652C">
        <w:rPr>
          <w:rStyle w:val="stylenumberedparagraphs11ptchar0"/>
          <w:rFonts w:cs="Arial"/>
          <w:b w:val="0"/>
          <w:szCs w:val="22"/>
        </w:rPr>
        <w:t>oals and measures</w:t>
      </w:r>
      <w:bookmarkEnd w:id="64"/>
      <w:bookmarkEnd w:id="65"/>
      <w:bookmarkEnd w:id="66"/>
      <w:bookmarkEnd w:id="67"/>
      <w:bookmarkEnd w:id="68"/>
      <w:bookmarkEnd w:id="69"/>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p>
    <w:p w14:paraId="53FB6A98" w14:textId="6F3530B1" w:rsidR="00043263" w:rsidRPr="00177B37" w:rsidRDefault="00043263" w:rsidP="00870622">
      <w:pPr>
        <w:pStyle w:val="Heading2"/>
        <w:rPr>
          <w:rStyle w:val="stylenumberedparagraphs11ptchar0"/>
        </w:rPr>
      </w:pPr>
      <w:bookmarkStart w:id="126" w:name="_Toc360186108"/>
      <w:bookmarkStart w:id="127" w:name="_Toc360186185"/>
      <w:bookmarkStart w:id="128" w:name="_Toc360186389"/>
      <w:bookmarkStart w:id="129" w:name="_Toc360186466"/>
      <w:bookmarkStart w:id="130" w:name="_Toc360187262"/>
      <w:bookmarkStart w:id="131" w:name="_Toc360187428"/>
      <w:bookmarkStart w:id="132" w:name="_Toc360186109"/>
      <w:bookmarkStart w:id="133" w:name="_Toc360186186"/>
      <w:bookmarkStart w:id="134" w:name="_Toc360186390"/>
      <w:bookmarkStart w:id="135" w:name="_Toc360186467"/>
      <w:bookmarkStart w:id="136" w:name="_Toc360187263"/>
      <w:bookmarkStart w:id="137" w:name="_Toc360187429"/>
      <w:bookmarkStart w:id="138" w:name="_Toc360186110"/>
      <w:bookmarkStart w:id="139" w:name="_Toc360186187"/>
      <w:bookmarkStart w:id="140" w:name="_Toc360186391"/>
      <w:bookmarkStart w:id="141" w:name="_Toc360186468"/>
      <w:bookmarkStart w:id="142" w:name="_Toc360187264"/>
      <w:bookmarkStart w:id="143" w:name="_Toc360187430"/>
      <w:bookmarkStart w:id="144" w:name="_Toc360208879"/>
      <w:bookmarkStart w:id="145" w:name="_Toc360212012"/>
      <w:bookmarkStart w:id="146" w:name="_Toc361663080"/>
      <w:bookmarkStart w:id="147" w:name="_Toc361857660"/>
      <w:bookmarkStart w:id="148" w:name="_Toc361918752"/>
      <w:bookmarkStart w:id="149" w:name="_Toc362272532"/>
      <w:bookmarkEnd w:id="126"/>
      <w:bookmarkEnd w:id="127"/>
      <w:bookmarkEnd w:id="128"/>
      <w:bookmarkEnd w:id="129"/>
      <w:bookmarkEnd w:id="130"/>
      <w:bookmarkEnd w:id="131"/>
      <w:bookmarkEnd w:id="132"/>
      <w:bookmarkEnd w:id="133"/>
      <w:bookmarkEnd w:id="134"/>
      <w:bookmarkEnd w:id="135"/>
      <w:bookmarkEnd w:id="136"/>
      <w:bookmarkEnd w:id="137"/>
      <w:r>
        <w:rPr>
          <w:rStyle w:val="stylenumberedparagraphs11ptchar0"/>
        </w:rPr>
        <w:t>Background</w:t>
      </w:r>
      <w:bookmarkEnd w:id="138"/>
      <w:bookmarkEnd w:id="139"/>
      <w:bookmarkEnd w:id="140"/>
      <w:bookmarkEnd w:id="141"/>
      <w:bookmarkEnd w:id="142"/>
      <w:bookmarkEnd w:id="143"/>
      <w:bookmarkEnd w:id="144"/>
      <w:bookmarkEnd w:id="145"/>
      <w:bookmarkEnd w:id="146"/>
      <w:bookmarkEnd w:id="147"/>
      <w:bookmarkEnd w:id="148"/>
      <w:bookmarkEnd w:id="149"/>
    </w:p>
    <w:p w14:paraId="4A595BD2" w14:textId="000B4916" w:rsidR="000627C7" w:rsidRPr="00AE799A" w:rsidRDefault="000627C7" w:rsidP="002F34FB">
      <w:pPr>
        <w:pStyle w:val="ParaNum"/>
      </w:pPr>
      <w:r w:rsidRPr="00043263">
        <w:rPr>
          <w:rStyle w:val="stylenumberedparagraphs11ptchar0"/>
          <w:rFonts w:cs="Arial"/>
          <w:szCs w:val="22"/>
        </w:rPr>
        <w:t>As the agency charged by Congress with enhancing access to advanced communications services to schools and libraries,</w:t>
      </w:r>
      <w:r w:rsidRPr="00043263">
        <w:rPr>
          <w:rStyle w:val="FootnoteReference"/>
          <w:szCs w:val="22"/>
        </w:rPr>
        <w:footnoteReference w:id="32"/>
      </w:r>
      <w:r w:rsidRPr="00043263">
        <w:rPr>
          <w:rStyle w:val="stylenumberedparagraphs11ptchar0"/>
          <w:rFonts w:cs="Arial"/>
          <w:szCs w:val="22"/>
        </w:rPr>
        <w:t xml:space="preserve"> we seek ways to close the gap between the broadband needs of schools and libraries and their ability to purchase those services.  We start by proposing concrete goals aimed at closing that gap.  Specifically</w:t>
      </w:r>
      <w:r w:rsidRPr="00AE799A">
        <w:rPr>
          <w:rStyle w:val="stylenumberedparagraphs11ptchar0"/>
          <w:rFonts w:cs="Arial"/>
          <w:szCs w:val="22"/>
        </w:rPr>
        <w:t xml:space="preserve">, we propose </w:t>
      </w:r>
      <w:r w:rsidRPr="002F34FB">
        <w:rPr>
          <w:rStyle w:val="stylenumberedparagraphs11ptchar0"/>
          <w:szCs w:val="22"/>
        </w:rPr>
        <w:t>the</w:t>
      </w:r>
      <w:r w:rsidRPr="00AE799A">
        <w:rPr>
          <w:rStyle w:val="stylenumberedparagraphs11ptchar0"/>
          <w:rFonts w:cs="Arial"/>
          <w:szCs w:val="22"/>
        </w:rPr>
        <w:t xml:space="preserve"> following three goals: (1) ensuring that schools and libraries have affordable access to </w:t>
      </w:r>
      <w:r w:rsidR="003D5731">
        <w:rPr>
          <w:rStyle w:val="stylenumberedparagraphs11ptchar0"/>
          <w:rFonts w:cs="Arial"/>
          <w:szCs w:val="22"/>
        </w:rPr>
        <w:t>21</w:t>
      </w:r>
      <w:r w:rsidR="005A5535">
        <w:rPr>
          <w:rStyle w:val="stylenumberedparagraphs11ptchar0"/>
          <w:rFonts w:cs="Arial"/>
          <w:szCs w:val="22"/>
        </w:rPr>
        <w:t xml:space="preserve">st Century </w:t>
      </w:r>
      <w:r w:rsidRPr="00AE799A">
        <w:rPr>
          <w:rStyle w:val="stylenumberedparagraphs11ptchar0"/>
          <w:rFonts w:cs="Arial"/>
          <w:szCs w:val="22"/>
        </w:rPr>
        <w:t xml:space="preserve">broadband </w:t>
      </w:r>
      <w:r w:rsidR="005A5535">
        <w:rPr>
          <w:rStyle w:val="stylenumberedparagraphs11ptchar0"/>
          <w:rFonts w:cs="Arial"/>
          <w:szCs w:val="22"/>
        </w:rPr>
        <w:t xml:space="preserve">that </w:t>
      </w:r>
      <w:r w:rsidRPr="00AE799A">
        <w:rPr>
          <w:rStyle w:val="stylenumberedparagraphs11ptchar0"/>
          <w:rFonts w:cs="Arial"/>
          <w:szCs w:val="22"/>
        </w:rPr>
        <w:t>support</w:t>
      </w:r>
      <w:r w:rsidR="002F7254">
        <w:rPr>
          <w:rStyle w:val="stylenumberedparagraphs11ptchar0"/>
          <w:rFonts w:cs="Arial"/>
          <w:szCs w:val="22"/>
        </w:rPr>
        <w:t>s</w:t>
      </w:r>
      <w:r w:rsidRPr="00AE799A">
        <w:rPr>
          <w:rStyle w:val="stylenumberedparagraphs11ptchar0"/>
          <w:rFonts w:cs="Arial"/>
          <w:szCs w:val="22"/>
        </w:rPr>
        <w:t xml:space="preserve"> digital learning;</w:t>
      </w:r>
      <w:r>
        <w:rPr>
          <w:rStyle w:val="stylenumberedparagraphs11ptchar0"/>
          <w:rFonts w:cs="Arial"/>
          <w:szCs w:val="22"/>
        </w:rPr>
        <w:t xml:space="preserve"> </w:t>
      </w:r>
      <w:r w:rsidRPr="00AE799A">
        <w:rPr>
          <w:rStyle w:val="stylenumberedparagraphs11ptchar0"/>
          <w:rFonts w:cs="Arial"/>
          <w:szCs w:val="22"/>
        </w:rPr>
        <w:t xml:space="preserve">(2) maximizing the cost-effectiveness of </w:t>
      </w:r>
      <w:r>
        <w:rPr>
          <w:rStyle w:val="stylenumberedparagraphs11ptchar0"/>
          <w:rFonts w:cs="Arial"/>
          <w:szCs w:val="22"/>
        </w:rPr>
        <w:t>E-rate</w:t>
      </w:r>
      <w:r w:rsidRPr="00AE799A">
        <w:rPr>
          <w:rStyle w:val="stylenumberedparagraphs11ptchar0"/>
          <w:rFonts w:cs="Arial"/>
          <w:szCs w:val="22"/>
        </w:rPr>
        <w:t xml:space="preserve"> funds;</w:t>
      </w:r>
      <w:r>
        <w:rPr>
          <w:rStyle w:val="stylenumberedparagraphs11ptchar0"/>
          <w:rFonts w:cs="Arial"/>
          <w:szCs w:val="22"/>
        </w:rPr>
        <w:t xml:space="preserve"> </w:t>
      </w:r>
      <w:r w:rsidRPr="00AE799A">
        <w:rPr>
          <w:rStyle w:val="stylenumberedparagraphs11ptchar0"/>
          <w:rFonts w:cs="Arial"/>
          <w:szCs w:val="22"/>
        </w:rPr>
        <w:t xml:space="preserve">and (3) </w:t>
      </w:r>
      <w:r w:rsidR="00AB1373">
        <w:rPr>
          <w:rStyle w:val="stylenumberedparagraphs11ptchar0"/>
          <w:rFonts w:cs="Arial"/>
          <w:szCs w:val="22"/>
        </w:rPr>
        <w:t>streamlining</w:t>
      </w:r>
      <w:r w:rsidRPr="00AE799A">
        <w:rPr>
          <w:rStyle w:val="stylenumberedparagraphs11ptchar0"/>
          <w:rFonts w:cs="Arial"/>
          <w:szCs w:val="22"/>
        </w:rPr>
        <w:t xml:space="preserve"> the administrati</w:t>
      </w:r>
      <w:r w:rsidR="00AB1373">
        <w:rPr>
          <w:rStyle w:val="stylenumberedparagraphs11ptchar0"/>
          <w:rFonts w:cs="Arial"/>
          <w:szCs w:val="22"/>
        </w:rPr>
        <w:t>on</w:t>
      </w:r>
      <w:r w:rsidRPr="00AE799A">
        <w:rPr>
          <w:rStyle w:val="stylenumberedparagraphs11ptchar0"/>
          <w:rFonts w:cs="Arial"/>
          <w:szCs w:val="22"/>
        </w:rPr>
        <w:t xml:space="preserve"> of the </w:t>
      </w:r>
      <w:r>
        <w:rPr>
          <w:rStyle w:val="stylenumberedparagraphs11ptchar0"/>
          <w:rFonts w:cs="Arial"/>
          <w:szCs w:val="22"/>
        </w:rPr>
        <w:t>E-rate</w:t>
      </w:r>
      <w:r w:rsidRPr="00AE799A">
        <w:rPr>
          <w:rStyle w:val="stylenumberedparagraphs11ptchar0"/>
          <w:rFonts w:cs="Arial"/>
          <w:szCs w:val="22"/>
        </w:rPr>
        <w:t xml:space="preserve"> program.</w:t>
      </w:r>
      <w:r>
        <w:rPr>
          <w:rStyle w:val="stylenumberedparagraphs11ptchar0"/>
          <w:rFonts w:cs="Arial"/>
          <w:szCs w:val="22"/>
        </w:rPr>
        <w:t xml:space="preserve">  </w:t>
      </w:r>
      <w:r w:rsidRPr="00AE799A" w:rsidDel="0035207C">
        <w:t>W</w:t>
      </w:r>
      <w:r w:rsidRPr="00AE799A">
        <w:t xml:space="preserve">e seek comment below on the three proposed goals for the </w:t>
      </w:r>
      <w:r>
        <w:t>E-rate</w:t>
      </w:r>
      <w:r w:rsidRPr="00AE799A">
        <w:t xml:space="preserve"> program a</w:t>
      </w:r>
      <w:r>
        <w:t xml:space="preserve">nd on </w:t>
      </w:r>
      <w:r w:rsidRPr="00AE799A">
        <w:t>defined objective, measurable standards to track progress toward meeting those goals.</w:t>
      </w:r>
      <w:r w:rsidRPr="00AE799A">
        <w:rPr>
          <w:color w:val="000000"/>
        </w:rPr>
        <w:t xml:space="preserve">  </w:t>
      </w:r>
    </w:p>
    <w:p w14:paraId="612475BB" w14:textId="407A2131" w:rsidR="000627C7" w:rsidRPr="00AE799A" w:rsidRDefault="000627C7" w:rsidP="0036678A">
      <w:pPr>
        <w:pStyle w:val="ParaNum"/>
      </w:pPr>
      <w:r w:rsidRPr="00AE799A">
        <w:t xml:space="preserve">These </w:t>
      </w:r>
      <w:r w:rsidR="00B65B03">
        <w:t xml:space="preserve">proposed </w:t>
      </w:r>
      <w:r w:rsidRPr="00AE799A">
        <w:t>goals are consistent with Congressional directives in sections 254(b) and (h) of the Communications Act (the Act), which outline the principles upon which the Commission is to base policies for the “preservation and advancement of universal service.”</w:t>
      </w:r>
      <w:r w:rsidRPr="00AE799A">
        <w:rPr>
          <w:vertAlign w:val="superscript"/>
        </w:rPr>
        <w:footnoteReference w:id="33"/>
      </w:r>
      <w:r w:rsidRPr="00AE799A">
        <w:t xml:space="preserve">  These principles include the notion that quality services should be available at “just, reasonable and affordable” rates, and that schools and libraries in all regions of the nation should have access to advanced telecommunications and information services at rates less than the </w:t>
      </w:r>
      <w:r w:rsidRPr="004F322C">
        <w:rPr>
          <w:rStyle w:val="stylenumberedparagraphs11ptchar0"/>
        </w:rPr>
        <w:t>amounts</w:t>
      </w:r>
      <w:r w:rsidRPr="00AE799A">
        <w:t xml:space="preserve"> charged for similar services to other parties.</w:t>
      </w:r>
      <w:r w:rsidRPr="00AE799A">
        <w:rPr>
          <w:vertAlign w:val="superscript"/>
        </w:rPr>
        <w:footnoteReference w:id="34"/>
      </w:r>
      <w:r w:rsidRPr="00AE799A">
        <w:t xml:space="preserve">  The statute specifies that there should be specific, predictable, and sufficient federal and state mechanisms to preserve and advance universal service.</w:t>
      </w:r>
      <w:r w:rsidRPr="00AE799A">
        <w:rPr>
          <w:vertAlign w:val="superscript"/>
        </w:rPr>
        <w:footnoteReference w:id="35"/>
      </w:r>
      <w:r w:rsidRPr="00AE799A">
        <w:t xml:space="preserve">  Indeed, in implementing these statutory mandates, in the 1997 </w:t>
      </w:r>
      <w:r w:rsidRPr="00AE799A">
        <w:rPr>
          <w:i/>
        </w:rPr>
        <w:t>Universal Service First Report and Order</w:t>
      </w:r>
      <w:r w:rsidRPr="00AE799A">
        <w:t>, the Commission recognized that Congress intended to ensure that eligible schools and libraries have affordable access to advanced telecommunications and information services that would enable them to provide educational services to all parts of the nation.</w:t>
      </w:r>
      <w:r w:rsidRPr="00AE799A">
        <w:rPr>
          <w:vertAlign w:val="superscript"/>
        </w:rPr>
        <w:footnoteReference w:id="36"/>
      </w:r>
      <w:r w:rsidRPr="00AE799A">
        <w:t xml:space="preserve">   </w:t>
      </w:r>
    </w:p>
    <w:p w14:paraId="4EC57D18" w14:textId="2F674718" w:rsidR="000627C7" w:rsidRPr="00AE799A" w:rsidRDefault="000627C7" w:rsidP="0036678A">
      <w:pPr>
        <w:pStyle w:val="ParaNum"/>
      </w:pPr>
      <w:r w:rsidRPr="00AE799A">
        <w:lastRenderedPageBreak/>
        <w:t xml:space="preserve">The goals we propose today also respond to recommendations made about the </w:t>
      </w:r>
      <w:r>
        <w:t>E-rate</w:t>
      </w:r>
      <w:r w:rsidRPr="00AE799A">
        <w:t xml:space="preserve"> program by the U.S. Government Accountability Office (GAO).  In a February 2005 report to Congress, for example, the GAO observed that the </w:t>
      </w:r>
      <w:r w:rsidRPr="004F322C">
        <w:rPr>
          <w:rStyle w:val="stylenumberedparagraphs11ptchar0"/>
        </w:rPr>
        <w:t>Commission</w:t>
      </w:r>
      <w:r w:rsidRPr="00AE799A">
        <w:t xml:space="preserve"> was responsible, under the Government Performance and Results Act of 1993 (GPRA),</w:t>
      </w:r>
      <w:r w:rsidRPr="00AE799A">
        <w:rPr>
          <w:vertAlign w:val="superscript"/>
        </w:rPr>
        <w:footnoteReference w:id="37"/>
      </w:r>
      <w:r w:rsidRPr="00AE799A">
        <w:t xml:space="preserve"> for establishing the </w:t>
      </w:r>
      <w:r>
        <w:t>E-rate</w:t>
      </w:r>
      <w:r w:rsidRPr="00AE799A">
        <w:t xml:space="preserve"> program’s long-term strategic goals and annual goals, despite the fact that the Act does not include specific goals for the universal service programs.</w:t>
      </w:r>
      <w:r w:rsidRPr="00AE799A">
        <w:rPr>
          <w:vertAlign w:val="superscript"/>
        </w:rPr>
        <w:footnoteReference w:id="38"/>
      </w:r>
      <w:r w:rsidRPr="00AE799A">
        <w:t xml:space="preserve">  Partly in response to that GAO Report, in 2007, the Commission adopted measures to safeguard the USF from waste, fraud, and abuse as well as measures to improve the management, administration, and oversight of the USF.</w:t>
      </w:r>
      <w:r w:rsidRPr="00AE799A">
        <w:rPr>
          <w:vertAlign w:val="superscript"/>
        </w:rPr>
        <w:footnoteReference w:id="39"/>
      </w:r>
      <w:r w:rsidRPr="00AE799A">
        <w:t xml:space="preserve">  </w:t>
      </w:r>
      <w:r>
        <w:t xml:space="preserve">Even so, the </w:t>
      </w:r>
      <w:r w:rsidRPr="00AE799A">
        <w:t xml:space="preserve">GAO </w:t>
      </w:r>
      <w:r>
        <w:t xml:space="preserve">subsequently found </w:t>
      </w:r>
      <w:r w:rsidRPr="00AE799A">
        <w:t xml:space="preserve">that the </w:t>
      </w:r>
      <w:r>
        <w:t>E-rate</w:t>
      </w:r>
      <w:r w:rsidRPr="00AE799A">
        <w:t xml:space="preserve"> program lack</w:t>
      </w:r>
      <w:r>
        <w:t>s</w:t>
      </w:r>
      <w:r w:rsidRPr="00AE799A">
        <w:t xml:space="preserve"> sufficient performance goals and measures.</w:t>
      </w:r>
      <w:r w:rsidRPr="00AE799A">
        <w:rPr>
          <w:vertAlign w:val="superscript"/>
        </w:rPr>
        <w:footnoteReference w:id="40"/>
      </w:r>
      <w:r w:rsidRPr="00AE799A">
        <w:t xml:space="preserve"> </w:t>
      </w:r>
      <w:r>
        <w:t xml:space="preserve"> Over the last several years, the Commission has adopted goals and measures for the other universal service programs in order to identify how best to focus the resources of </w:t>
      </w:r>
      <w:r w:rsidR="003E5587">
        <w:t xml:space="preserve">those </w:t>
      </w:r>
      <w:r>
        <w:t>programs and to track our progress in meeting our defined goals.</w:t>
      </w:r>
      <w:r>
        <w:rPr>
          <w:rStyle w:val="FootnoteReference"/>
        </w:rPr>
        <w:footnoteReference w:id="41"/>
      </w:r>
      <w:r>
        <w:t xml:space="preserve">  Likewise, w</w:t>
      </w:r>
      <w:r w:rsidRPr="00AE799A">
        <w:t xml:space="preserve">e believe that the clear performance goals and measures we propose in this NPRM will enable the Commission to determine whether the </w:t>
      </w:r>
      <w:r w:rsidR="003E5587">
        <w:t xml:space="preserve">E-rate program </w:t>
      </w:r>
      <w:r w:rsidRPr="00AE799A">
        <w:t xml:space="preserve">is being used for its intended purpose and whether that funding is accomplishing the intended results.  </w:t>
      </w:r>
    </w:p>
    <w:p w14:paraId="095CECB8" w14:textId="7AC0B103" w:rsidR="000627C7" w:rsidRPr="00AE799A" w:rsidRDefault="000627C7" w:rsidP="0036678A">
      <w:pPr>
        <w:pStyle w:val="ParaNum"/>
      </w:pPr>
      <w:r w:rsidRPr="00AE799A">
        <w:lastRenderedPageBreak/>
        <w:t xml:space="preserve">To the extent </w:t>
      </w:r>
      <w:r>
        <w:t xml:space="preserve">our </w:t>
      </w:r>
      <w:r w:rsidRPr="00AE799A">
        <w:t xml:space="preserve">three proposed goals, or any others </w:t>
      </w:r>
      <w:r w:rsidR="00D33642">
        <w:t>that</w:t>
      </w:r>
      <w:r w:rsidR="00D33642" w:rsidRPr="00AE799A">
        <w:t xml:space="preserve"> </w:t>
      </w:r>
      <w:r w:rsidRPr="00AE799A">
        <w:t xml:space="preserve">commenters propose, may be in tension with each other, commenters </w:t>
      </w:r>
      <w:r w:rsidRPr="004F322C">
        <w:rPr>
          <w:rStyle w:val="stylenumberedparagraphs11ptchar0"/>
        </w:rPr>
        <w:t>should</w:t>
      </w:r>
      <w:r w:rsidRPr="00AE799A">
        <w:t xml:space="preserve"> suggest how we should prioritize or balance them.</w:t>
      </w:r>
      <w:r w:rsidRPr="00AB168E">
        <w:t xml:space="preserve">  </w:t>
      </w:r>
      <w:r w:rsidRPr="00AE799A">
        <w:rPr>
          <w:color w:val="000000"/>
        </w:rPr>
        <w:t xml:space="preserve">We also </w:t>
      </w:r>
      <w:r w:rsidRPr="00AE799A">
        <w:t>seek comment on ways to collect</w:t>
      </w:r>
      <w:r>
        <w:t>, manage and share</w:t>
      </w:r>
      <w:r w:rsidRPr="00AE799A">
        <w:t xml:space="preserve"> data to track our progress in meeting these goals.  In establishing performance goals and measures, w</w:t>
      </w:r>
      <w:r w:rsidRPr="00AE799A">
        <w:rPr>
          <w:color w:val="000000"/>
        </w:rPr>
        <w:t xml:space="preserve">e recognize that the </w:t>
      </w:r>
      <w:r>
        <w:rPr>
          <w:color w:val="000000"/>
        </w:rPr>
        <w:t>E-rate</w:t>
      </w:r>
      <w:r w:rsidRPr="00AE799A">
        <w:rPr>
          <w:color w:val="000000"/>
        </w:rPr>
        <w:t xml:space="preserve"> program’s goals and measures will likely need to be sufficiently flexible to accommodate the evolving technological needs of schools and libraries.  We invite commenters to propose </w:t>
      </w:r>
      <w:r w:rsidRPr="00AE799A">
        <w:t xml:space="preserve">additional or alternative goals and specific performance measures.  </w:t>
      </w:r>
      <w:r w:rsidRPr="00BD260B">
        <w:t xml:space="preserve">We also invite comment on the </w:t>
      </w:r>
      <w:r w:rsidRPr="00B03906">
        <w:t>extent to which certain fundamental terms (</w:t>
      </w:r>
      <w:r w:rsidR="00741EF7" w:rsidRPr="00AB168E">
        <w:rPr>
          <w:i/>
        </w:rPr>
        <w:t>i.e</w:t>
      </w:r>
      <w:r w:rsidR="00741EF7">
        <w:rPr>
          <w:i/>
        </w:rPr>
        <w:t>.</w:t>
      </w:r>
      <w:r w:rsidRPr="00AB168E">
        <w:rPr>
          <w:i/>
        </w:rPr>
        <w:t>,</w:t>
      </w:r>
      <w:r w:rsidRPr="00B03906">
        <w:t xml:space="preserve"> “per</w:t>
      </w:r>
      <w:r w:rsidR="00A340FC">
        <w:t>-</w:t>
      </w:r>
      <w:r w:rsidRPr="00B03906">
        <w:t>school,” “</w:t>
      </w:r>
      <w:r w:rsidR="003D5731">
        <w:t>per-student</w:t>
      </w:r>
      <w:r w:rsidRPr="00B03906">
        <w:t xml:space="preserve">”) need to be </w:t>
      </w:r>
      <w:r>
        <w:t xml:space="preserve">consistently </w:t>
      </w:r>
      <w:r w:rsidRPr="00B03906">
        <w:t>defined</w:t>
      </w:r>
      <w:r>
        <w:t xml:space="preserve"> and invite commenters to identify and offer proposed definitions for key terms</w:t>
      </w:r>
      <w:r w:rsidR="003A39BC">
        <w:t>.  W</w:t>
      </w:r>
      <w:r w:rsidRPr="00AE799A">
        <w:t xml:space="preserve">e also propose to periodically review whether we are making progress in addressing these goals by measuring the specific outcomes.  </w:t>
      </w:r>
    </w:p>
    <w:p w14:paraId="4CF21101" w14:textId="1F83A053" w:rsidR="000627C7" w:rsidRPr="00AE799A" w:rsidRDefault="00730264" w:rsidP="00B9652C">
      <w:pPr>
        <w:pStyle w:val="Heading2"/>
      </w:pPr>
      <w:bookmarkStart w:id="150" w:name="_Toc359853138"/>
      <w:bookmarkStart w:id="151" w:name="_Toc359853371"/>
      <w:bookmarkStart w:id="152" w:name="_Toc359853637"/>
      <w:bookmarkStart w:id="153" w:name="_Toc359858597"/>
      <w:bookmarkStart w:id="154" w:name="_Toc352078308"/>
      <w:bookmarkStart w:id="155" w:name="_Toc352078360"/>
      <w:bookmarkStart w:id="156" w:name="_Toc352078422"/>
      <w:bookmarkStart w:id="157" w:name="_Toc352079013"/>
      <w:bookmarkStart w:id="158" w:name="_Toc352080374"/>
      <w:bookmarkStart w:id="159" w:name="_Toc352139757"/>
      <w:bookmarkStart w:id="160" w:name="_Toc354478060"/>
      <w:bookmarkStart w:id="161" w:name="_Toc354478682"/>
      <w:bookmarkStart w:id="162" w:name="_Toc354660698"/>
      <w:bookmarkStart w:id="163" w:name="_Toc358208778"/>
      <w:bookmarkStart w:id="164" w:name="_Toc358210276"/>
      <w:bookmarkStart w:id="165" w:name="_Toc358210423"/>
      <w:bookmarkStart w:id="166" w:name="_Toc358210601"/>
      <w:bookmarkStart w:id="167" w:name="_Toc358210702"/>
      <w:bookmarkStart w:id="168" w:name="_Toc358213636"/>
      <w:bookmarkStart w:id="169" w:name="_Toc358213768"/>
      <w:bookmarkStart w:id="170" w:name="_Toc358301264"/>
      <w:bookmarkStart w:id="171" w:name="_Toc358720010"/>
      <w:bookmarkStart w:id="172" w:name="_Toc358971236"/>
      <w:bookmarkStart w:id="173" w:name="_Toc358974837"/>
      <w:bookmarkStart w:id="174" w:name="_Toc358975735"/>
      <w:bookmarkStart w:id="175" w:name="_Toc358975897"/>
      <w:bookmarkStart w:id="176" w:name="_Toc358976138"/>
      <w:bookmarkStart w:id="177" w:name="_Toc358980993"/>
      <w:bookmarkStart w:id="178" w:name="_Toc358981109"/>
      <w:bookmarkStart w:id="179" w:name="_Toc358982373"/>
      <w:bookmarkStart w:id="180" w:name="_Toc358982463"/>
      <w:bookmarkStart w:id="181" w:name="_Toc359239245"/>
      <w:bookmarkStart w:id="182" w:name="_Toc359239302"/>
      <w:bookmarkStart w:id="183" w:name="_Toc359252261"/>
      <w:bookmarkStart w:id="184" w:name="_Toc359326010"/>
      <w:bookmarkStart w:id="185" w:name="_Toc359333258"/>
      <w:bookmarkStart w:id="186" w:name="_Toc359339912"/>
      <w:bookmarkStart w:id="187" w:name="_Toc359343176"/>
      <w:bookmarkStart w:id="188" w:name="_Toc359346985"/>
      <w:bookmarkStart w:id="189" w:name="_Toc359598673"/>
      <w:bookmarkStart w:id="190" w:name="_Toc359859581"/>
      <w:bookmarkStart w:id="191" w:name="_Toc359940039"/>
      <w:bookmarkStart w:id="192" w:name="_Toc360025413"/>
      <w:bookmarkStart w:id="193" w:name="_Toc360107469"/>
      <w:bookmarkStart w:id="194" w:name="_Toc360111593"/>
      <w:bookmarkStart w:id="195" w:name="_Toc360172778"/>
      <w:bookmarkStart w:id="196" w:name="_Toc360186111"/>
      <w:bookmarkStart w:id="197" w:name="_Toc360186188"/>
      <w:bookmarkStart w:id="198" w:name="_Toc360186392"/>
      <w:bookmarkStart w:id="199" w:name="_Toc360186469"/>
      <w:bookmarkStart w:id="200" w:name="_Toc360187265"/>
      <w:bookmarkStart w:id="201" w:name="_Toc360187431"/>
      <w:bookmarkStart w:id="202" w:name="_Toc360208880"/>
      <w:bookmarkStart w:id="203" w:name="_Toc360212013"/>
      <w:bookmarkStart w:id="204" w:name="_Toc361663081"/>
      <w:bookmarkStart w:id="205" w:name="_Toc361857661"/>
      <w:bookmarkStart w:id="206" w:name="_Toc361918753"/>
      <w:bookmarkStart w:id="207" w:name="_Toc362272533"/>
      <w:r>
        <w:t>Ensur</w:t>
      </w:r>
      <w:r w:rsidR="002E746E">
        <w:t>ing</w:t>
      </w:r>
      <w:r>
        <w:t xml:space="preserve"> Schools and Libraries </w:t>
      </w:r>
      <w:r w:rsidR="002F7254">
        <w:t>H</w:t>
      </w:r>
      <w:r>
        <w:t>ave Affordable Access to 21</w:t>
      </w:r>
      <w:r>
        <w:rPr>
          <w:vertAlign w:val="superscript"/>
        </w:rPr>
        <w:t>st</w:t>
      </w:r>
      <w:r>
        <w:t xml:space="preserve"> Century Broadband </w:t>
      </w:r>
      <w:r>
        <w:rPr>
          <w:color w:val="000000"/>
        </w:rPr>
        <w:t>that Supports Digital Learning</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r w:rsidR="000627C7" w:rsidRPr="00AE799A">
        <w:t xml:space="preserve">  </w:t>
      </w:r>
    </w:p>
    <w:p w14:paraId="7D833C1C" w14:textId="77777777" w:rsidR="000627C7" w:rsidRPr="007518E6" w:rsidRDefault="000627C7" w:rsidP="004F322C">
      <w:pPr>
        <w:pStyle w:val="Heading3"/>
      </w:pPr>
      <w:bookmarkStart w:id="208" w:name="_Toc352078309"/>
      <w:bookmarkStart w:id="209" w:name="_Toc352078361"/>
      <w:bookmarkStart w:id="210" w:name="_Toc352078423"/>
      <w:bookmarkStart w:id="211" w:name="_Toc352079014"/>
      <w:bookmarkStart w:id="212" w:name="_Toc352080375"/>
      <w:bookmarkStart w:id="213" w:name="_Toc352139758"/>
      <w:bookmarkStart w:id="214" w:name="_Toc354478061"/>
      <w:bookmarkStart w:id="215" w:name="_Toc354478683"/>
      <w:bookmarkStart w:id="216" w:name="_Toc354660699"/>
      <w:bookmarkStart w:id="217" w:name="_Toc358208779"/>
      <w:bookmarkStart w:id="218" w:name="_Toc358210277"/>
      <w:bookmarkStart w:id="219" w:name="_Toc358210424"/>
      <w:bookmarkStart w:id="220" w:name="_Toc358210602"/>
      <w:bookmarkStart w:id="221" w:name="_Toc358210703"/>
      <w:bookmarkStart w:id="222" w:name="_Toc358213637"/>
      <w:bookmarkStart w:id="223" w:name="_Toc358213769"/>
      <w:bookmarkStart w:id="224" w:name="_Toc358301265"/>
      <w:bookmarkStart w:id="225" w:name="_Toc358720011"/>
      <w:bookmarkStart w:id="226" w:name="_Toc358971237"/>
      <w:bookmarkStart w:id="227" w:name="_Toc358974838"/>
      <w:bookmarkStart w:id="228" w:name="_Toc358975736"/>
      <w:bookmarkStart w:id="229" w:name="_Toc358975898"/>
      <w:bookmarkStart w:id="230" w:name="_Toc358976139"/>
      <w:bookmarkStart w:id="231" w:name="_Toc358980994"/>
      <w:bookmarkStart w:id="232" w:name="_Toc358981110"/>
      <w:bookmarkStart w:id="233" w:name="_Toc358982374"/>
      <w:bookmarkStart w:id="234" w:name="_Toc358982464"/>
      <w:bookmarkStart w:id="235" w:name="_Toc359239246"/>
      <w:bookmarkStart w:id="236" w:name="_Toc359239303"/>
      <w:bookmarkStart w:id="237" w:name="_Toc359252262"/>
      <w:bookmarkStart w:id="238" w:name="_Toc359326011"/>
      <w:bookmarkStart w:id="239" w:name="_Toc359333259"/>
      <w:bookmarkStart w:id="240" w:name="_Toc359339913"/>
      <w:bookmarkStart w:id="241" w:name="_Toc359343177"/>
      <w:bookmarkStart w:id="242" w:name="_Toc359346986"/>
      <w:bookmarkStart w:id="243" w:name="_Toc359598674"/>
      <w:bookmarkStart w:id="244" w:name="_Toc359853139"/>
      <w:bookmarkStart w:id="245" w:name="_Toc359853372"/>
      <w:bookmarkStart w:id="246" w:name="_Toc359853638"/>
      <w:bookmarkStart w:id="247" w:name="_Toc359858598"/>
      <w:bookmarkStart w:id="248" w:name="_Toc359859582"/>
      <w:bookmarkStart w:id="249" w:name="_Toc359940040"/>
      <w:bookmarkStart w:id="250" w:name="_Toc360025414"/>
      <w:bookmarkStart w:id="251" w:name="_Toc360107470"/>
      <w:bookmarkStart w:id="252" w:name="_Toc360111594"/>
      <w:bookmarkStart w:id="253" w:name="_Toc360172779"/>
      <w:bookmarkStart w:id="254" w:name="_Toc360186112"/>
      <w:bookmarkStart w:id="255" w:name="_Toc360186189"/>
      <w:bookmarkStart w:id="256" w:name="_Toc360186393"/>
      <w:bookmarkStart w:id="257" w:name="_Toc360186470"/>
      <w:bookmarkStart w:id="258" w:name="_Toc360187266"/>
      <w:bookmarkStart w:id="259" w:name="_Toc360187432"/>
      <w:bookmarkStart w:id="260" w:name="_Toc360208881"/>
      <w:bookmarkStart w:id="261" w:name="_Toc360212014"/>
      <w:bookmarkStart w:id="262" w:name="_Toc361663082"/>
      <w:bookmarkStart w:id="263" w:name="_Toc361857662"/>
      <w:bookmarkStart w:id="264" w:name="_Toc361918754"/>
      <w:bookmarkStart w:id="265" w:name="_Toc362272534"/>
      <w:r w:rsidRPr="007518E6">
        <w:t>Proposed Goal</w:t>
      </w:r>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r w:rsidRPr="007518E6">
        <w:t xml:space="preserve"> </w:t>
      </w:r>
    </w:p>
    <w:p w14:paraId="2EA5FBD4" w14:textId="48877640" w:rsidR="000627C7" w:rsidRPr="007518E6" w:rsidRDefault="00B65B03" w:rsidP="007518E6">
      <w:pPr>
        <w:pStyle w:val="ParaNum"/>
        <w:rPr>
          <w:rStyle w:val="stylenumberedparagraphs11ptchar0"/>
        </w:rPr>
      </w:pPr>
      <w:r w:rsidRPr="007518E6">
        <w:t>T</w:t>
      </w:r>
      <w:r w:rsidR="000627C7" w:rsidRPr="007518E6">
        <w:t>he first goal of the E-rate program</w:t>
      </w:r>
      <w:r w:rsidRPr="007518E6">
        <w:t xml:space="preserve"> we propose to adopt is to ensure that schools and libraries have affordable access to 21</w:t>
      </w:r>
      <w:r w:rsidRPr="007518E6">
        <w:rPr>
          <w:vertAlign w:val="superscript"/>
        </w:rPr>
        <w:t>st</w:t>
      </w:r>
      <w:r w:rsidRPr="007518E6">
        <w:t xml:space="preserve"> Century broadband </w:t>
      </w:r>
      <w:r w:rsidRPr="007518E6">
        <w:rPr>
          <w:color w:val="000000"/>
        </w:rPr>
        <w:t>that supports digital learning.</w:t>
      </w:r>
      <w:r w:rsidR="000627C7" w:rsidRPr="007518E6">
        <w:t xml:space="preserve"> </w:t>
      </w:r>
      <w:r w:rsidRPr="007518E6">
        <w:t xml:space="preserve"> </w:t>
      </w:r>
      <w:r w:rsidR="000627C7" w:rsidRPr="007518E6">
        <w:t>As</w:t>
      </w:r>
      <w:r w:rsidR="00BC1AD2" w:rsidRPr="007518E6">
        <w:t xml:space="preserve"> </w:t>
      </w:r>
      <w:r w:rsidR="000627C7" w:rsidRPr="007518E6">
        <w:t>discussed above, the communications priorities of schools and libraries have shifted as they seek access to higher-speed connectivity and to allow students and teachers to take advantage of the rapidly expanding opportunities for interactive digital learning.</w:t>
      </w:r>
      <w:r w:rsidR="000627C7" w:rsidRPr="007518E6">
        <w:rPr>
          <w:rStyle w:val="FootnoteReference"/>
          <w:szCs w:val="22"/>
        </w:rPr>
        <w:footnoteReference w:id="42"/>
      </w:r>
      <w:r w:rsidR="000627C7" w:rsidRPr="007518E6">
        <w:t xml:space="preserve">   </w:t>
      </w:r>
    </w:p>
    <w:p w14:paraId="30BABF05" w14:textId="55661CC9" w:rsidR="000627C7" w:rsidRDefault="000627C7" w:rsidP="0036678A">
      <w:pPr>
        <w:pStyle w:val="ParaNum"/>
      </w:pPr>
      <w:r w:rsidRPr="002E7AA5">
        <w:t>Section 254(h) of the Act, requires the Commission to enhance access to advanced  telecommunications and information services to schools and libraries “to the extent technically feasible and economically reasonable,”</w:t>
      </w:r>
      <w:r w:rsidRPr="002E7AA5">
        <w:rPr>
          <w:rStyle w:val="FootnoteReference"/>
          <w:szCs w:val="22"/>
        </w:rPr>
        <w:footnoteReference w:id="43"/>
      </w:r>
      <w:r>
        <w:t xml:space="preserve"> and determine a discount level for all E-rate funded services that is “appropriate and necessary to ensure </w:t>
      </w:r>
      <w:r w:rsidRPr="004F322C">
        <w:rPr>
          <w:rStyle w:val="stylenumberedparagraphs11ptchar0"/>
        </w:rPr>
        <w:t>affordable</w:t>
      </w:r>
      <w:r>
        <w:t xml:space="preserve"> access to and use of such services.”</w:t>
      </w:r>
      <w:r>
        <w:rPr>
          <w:rStyle w:val="FootnoteReference"/>
          <w:szCs w:val="22"/>
        </w:rPr>
        <w:footnoteReference w:id="44"/>
      </w:r>
      <w:r>
        <w:t xml:space="preserve">  </w:t>
      </w:r>
      <w:r w:rsidRPr="00170651">
        <w:rPr>
          <w:rStyle w:val="stylenumberedparagraphs11ptchar0"/>
          <w:rFonts w:cs="Arial"/>
          <w:szCs w:val="22"/>
        </w:rPr>
        <w:t>Thus,</w:t>
      </w:r>
      <w:r>
        <w:rPr>
          <w:rStyle w:val="stylenumberedparagraphs11ptchar0"/>
          <w:rFonts w:cs="Arial"/>
          <w:szCs w:val="22"/>
        </w:rPr>
        <w:t xml:space="preserve"> in considering our statutory obligations and in light of the growing technological needs of schools and libraries, t</w:t>
      </w:r>
      <w:r w:rsidRPr="00170651">
        <w:t xml:space="preserve">his proposed goal has two components.  The first component of this </w:t>
      </w:r>
      <w:r>
        <w:t xml:space="preserve">proposed </w:t>
      </w:r>
      <w:r w:rsidRPr="00170651">
        <w:t xml:space="preserve">goal requires that all schools and libraries have access to </w:t>
      </w:r>
      <w:r w:rsidR="00AE5162">
        <w:t>high-capacity broadband</w:t>
      </w:r>
      <w:r w:rsidR="003B5401">
        <w:t xml:space="preserve"> </w:t>
      </w:r>
      <w:r>
        <w:t xml:space="preserve">connectivity </w:t>
      </w:r>
      <w:r w:rsidRPr="00170651">
        <w:t>necessary to support digital learning.</w:t>
      </w:r>
      <w:r>
        <w:rPr>
          <w:rStyle w:val="FootnoteReference"/>
          <w:szCs w:val="22"/>
        </w:rPr>
        <w:footnoteReference w:id="45"/>
      </w:r>
      <w:r w:rsidRPr="00170651">
        <w:t xml:space="preserve"> </w:t>
      </w:r>
      <w:r>
        <w:t xml:space="preserve"> The second component of </w:t>
      </w:r>
      <w:r>
        <w:lastRenderedPageBreak/>
        <w:t>this goal is that schools and libraries be able to afford su</w:t>
      </w:r>
      <w:r w:rsidR="005E0BF1">
        <w:t>c</w:t>
      </w:r>
      <w:r>
        <w:t>h services.</w:t>
      </w:r>
    </w:p>
    <w:p w14:paraId="4290E698" w14:textId="5F0CD7E2" w:rsidR="002F3FCC" w:rsidRDefault="003B5401" w:rsidP="0036678A">
      <w:pPr>
        <w:pStyle w:val="ParaNum"/>
      </w:pPr>
      <w:r>
        <w:t>We also seek comment on whether</w:t>
      </w:r>
      <w:r w:rsidR="000777BF">
        <w:t xml:space="preserve"> we should adopt specific goals for other communications services, including voice services.  If so, what should those goals be and how can we best harmonize those goals with our proposed goal of </w:t>
      </w:r>
      <w:r w:rsidR="000777BF" w:rsidRPr="004F322C">
        <w:rPr>
          <w:rStyle w:val="stylenumberedparagraphs11ptchar0"/>
        </w:rPr>
        <w:t>ensuring</w:t>
      </w:r>
      <w:r w:rsidR="000777BF">
        <w:t xml:space="preserve"> schools and libraries have access to 21</w:t>
      </w:r>
      <w:r w:rsidR="000777BF" w:rsidRPr="00B9652C">
        <w:rPr>
          <w:vertAlign w:val="superscript"/>
        </w:rPr>
        <w:t>st</w:t>
      </w:r>
      <w:r w:rsidR="000777BF">
        <w:t xml:space="preserve"> Century broadband that supports digital learning?</w:t>
      </w:r>
      <w:r w:rsidR="002F3FCC">
        <w:t xml:space="preserve"> </w:t>
      </w:r>
      <w:r w:rsidR="000627C7">
        <w:t xml:space="preserve"> </w:t>
      </w:r>
    </w:p>
    <w:p w14:paraId="7C89772B" w14:textId="22DF941F" w:rsidR="000627C7" w:rsidRPr="00856B63" w:rsidRDefault="000627C7" w:rsidP="009A436B">
      <w:pPr>
        <w:pStyle w:val="Heading3"/>
        <w:keepNext w:val="0"/>
      </w:pPr>
      <w:bookmarkStart w:id="266" w:name="_Toc359853140"/>
      <w:bookmarkStart w:id="267" w:name="_Toc359853373"/>
      <w:bookmarkStart w:id="268" w:name="_Toc359853639"/>
      <w:bookmarkStart w:id="269" w:name="_Toc359858599"/>
      <w:bookmarkStart w:id="270" w:name="_Toc352078310"/>
      <w:bookmarkStart w:id="271" w:name="_Toc352078362"/>
      <w:bookmarkStart w:id="272" w:name="_Toc352078424"/>
      <w:bookmarkStart w:id="273" w:name="_Toc352079015"/>
      <w:bookmarkStart w:id="274" w:name="_Toc352080376"/>
      <w:bookmarkStart w:id="275" w:name="_Toc352139759"/>
      <w:bookmarkStart w:id="276" w:name="_Toc354478062"/>
      <w:bookmarkStart w:id="277" w:name="_Toc354478684"/>
      <w:bookmarkStart w:id="278" w:name="_Toc354660700"/>
      <w:bookmarkStart w:id="279" w:name="_Toc358208780"/>
      <w:bookmarkStart w:id="280" w:name="_Toc358210278"/>
      <w:bookmarkStart w:id="281" w:name="_Toc358210425"/>
      <w:bookmarkStart w:id="282" w:name="_Toc358210603"/>
      <w:bookmarkStart w:id="283" w:name="_Toc358210704"/>
      <w:bookmarkStart w:id="284" w:name="_Toc358213638"/>
      <w:bookmarkStart w:id="285" w:name="_Toc358213770"/>
      <w:bookmarkStart w:id="286" w:name="_Toc358301266"/>
      <w:bookmarkStart w:id="287" w:name="_Toc358720012"/>
      <w:bookmarkStart w:id="288" w:name="_Toc358971238"/>
      <w:bookmarkStart w:id="289" w:name="_Toc358974839"/>
      <w:bookmarkStart w:id="290" w:name="_Toc358975737"/>
      <w:bookmarkStart w:id="291" w:name="_Toc358975899"/>
      <w:bookmarkStart w:id="292" w:name="_Toc358976140"/>
      <w:bookmarkStart w:id="293" w:name="_Toc358980995"/>
      <w:bookmarkStart w:id="294" w:name="_Toc358981111"/>
      <w:bookmarkStart w:id="295" w:name="_Toc358982375"/>
      <w:bookmarkStart w:id="296" w:name="_Toc358982465"/>
      <w:bookmarkStart w:id="297" w:name="_Toc359239247"/>
      <w:bookmarkStart w:id="298" w:name="_Toc359239304"/>
      <w:bookmarkStart w:id="299" w:name="_Toc359252263"/>
      <w:bookmarkStart w:id="300" w:name="_Ref359325617"/>
      <w:bookmarkStart w:id="301" w:name="_Ref359325703"/>
      <w:bookmarkStart w:id="302" w:name="_Toc359326012"/>
      <w:bookmarkStart w:id="303" w:name="_Toc359333260"/>
      <w:bookmarkStart w:id="304" w:name="_Toc359339914"/>
      <w:bookmarkStart w:id="305" w:name="_Toc359343178"/>
      <w:bookmarkStart w:id="306" w:name="_Toc359346987"/>
      <w:bookmarkStart w:id="307" w:name="_Toc359598675"/>
      <w:bookmarkStart w:id="308" w:name="_Toc359853141"/>
      <w:bookmarkStart w:id="309" w:name="_Toc359853374"/>
      <w:bookmarkStart w:id="310" w:name="_Toc359853640"/>
      <w:bookmarkStart w:id="311" w:name="_Toc359858600"/>
      <w:bookmarkStart w:id="312" w:name="_Toc359859583"/>
      <w:bookmarkStart w:id="313" w:name="_Toc359940041"/>
      <w:bookmarkStart w:id="314" w:name="_Toc360025415"/>
      <w:bookmarkStart w:id="315" w:name="_Toc360107471"/>
      <w:bookmarkStart w:id="316" w:name="_Toc360111595"/>
      <w:bookmarkStart w:id="317" w:name="_Toc360172780"/>
      <w:bookmarkStart w:id="318" w:name="_Toc360186113"/>
      <w:bookmarkStart w:id="319" w:name="_Toc360186190"/>
      <w:bookmarkStart w:id="320" w:name="_Toc360186394"/>
      <w:bookmarkStart w:id="321" w:name="_Toc360186471"/>
      <w:bookmarkStart w:id="322" w:name="_Toc360187267"/>
      <w:bookmarkStart w:id="323" w:name="_Toc360187433"/>
      <w:bookmarkStart w:id="324" w:name="_Toc360208882"/>
      <w:bookmarkStart w:id="325" w:name="_Toc360212015"/>
      <w:bookmarkStart w:id="326" w:name="_Toc361663083"/>
      <w:bookmarkStart w:id="327" w:name="_Toc361857663"/>
      <w:bookmarkStart w:id="328" w:name="_Toc361918755"/>
      <w:bookmarkStart w:id="329" w:name="_Toc362272535"/>
      <w:bookmarkEnd w:id="266"/>
      <w:bookmarkEnd w:id="267"/>
      <w:bookmarkEnd w:id="268"/>
      <w:bookmarkEnd w:id="269"/>
      <w:r>
        <w:t xml:space="preserve">Proposed </w:t>
      </w:r>
      <w:r w:rsidRPr="00AE799A">
        <w:t>Measurements</w:t>
      </w:r>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r w:rsidRPr="00AE799A">
        <w:t xml:space="preserve"> </w:t>
      </w:r>
    </w:p>
    <w:p w14:paraId="62E68976" w14:textId="31127F55" w:rsidR="002F3FCC" w:rsidRDefault="000627C7" w:rsidP="002F34FB">
      <w:pPr>
        <w:pStyle w:val="ParaNum"/>
      </w:pPr>
      <w:bookmarkStart w:id="330" w:name="_Ref360204115"/>
      <w:r w:rsidRPr="00AE799A">
        <w:t>We seek comment on what performance measure or measures we should adopt to support our proposed goal of ensuring eligible</w:t>
      </w:r>
      <w:r w:rsidRPr="00AE799A">
        <w:rPr>
          <w:color w:val="000000"/>
        </w:rPr>
        <w:t xml:space="preserve"> schools and libraries have affordable access to </w:t>
      </w:r>
      <w:r w:rsidR="00AE5162">
        <w:rPr>
          <w:color w:val="000000"/>
        </w:rPr>
        <w:t>high-capacity broadband</w:t>
      </w:r>
      <w:r w:rsidRPr="00AE799A">
        <w:rPr>
          <w:color w:val="000000"/>
        </w:rPr>
        <w:t xml:space="preserve"> at speeds that will support </w:t>
      </w:r>
      <w:r w:rsidRPr="004F322C">
        <w:rPr>
          <w:rStyle w:val="stylenumberedparagraphs11ptchar0"/>
        </w:rPr>
        <w:t>digital</w:t>
      </w:r>
      <w:r w:rsidRPr="00AE799A">
        <w:rPr>
          <w:color w:val="000000"/>
        </w:rPr>
        <w:t xml:space="preserve"> learning</w:t>
      </w:r>
      <w:r w:rsidRPr="00AE799A">
        <w:t>.  We also seek comment on how best to perform the relevant measurements.</w:t>
      </w:r>
      <w:bookmarkEnd w:id="330"/>
      <w:r w:rsidRPr="00AE799A">
        <w:t xml:space="preserve">  </w:t>
      </w:r>
    </w:p>
    <w:p w14:paraId="10FA2EE2" w14:textId="542FE058" w:rsidR="002F3FCC" w:rsidRDefault="00E54C46" w:rsidP="0036678A">
      <w:pPr>
        <w:pStyle w:val="ParaNum"/>
      </w:pPr>
      <w:r>
        <w:t xml:space="preserve">One of the </w:t>
      </w:r>
      <w:r w:rsidR="002F3FCC">
        <w:t>primary</w:t>
      </w:r>
      <w:r w:rsidR="002F3FCC" w:rsidRPr="00AE799A">
        <w:t xml:space="preserve"> </w:t>
      </w:r>
      <w:r w:rsidR="000627C7" w:rsidRPr="00AE799A">
        <w:t>measure</w:t>
      </w:r>
      <w:r>
        <w:t>s</w:t>
      </w:r>
      <w:r w:rsidR="000627C7" w:rsidRPr="00AE799A">
        <w:t xml:space="preserve"> </w:t>
      </w:r>
      <w:r w:rsidR="00E65936">
        <w:t xml:space="preserve">of </w:t>
      </w:r>
      <w:r w:rsidR="000627C7" w:rsidRPr="00AE799A">
        <w:t>progress towards meeting this goal</w:t>
      </w:r>
      <w:r>
        <w:t xml:space="preserve"> would be benchmarking</w:t>
      </w:r>
      <w:r w:rsidR="002F3FCC" w:rsidRPr="00AE799A">
        <w:t xml:space="preserve"> </w:t>
      </w:r>
      <w:r w:rsidR="000627C7" w:rsidRPr="00AE799A">
        <w:t xml:space="preserve">the </w:t>
      </w:r>
      <w:r w:rsidR="000627C7">
        <w:t xml:space="preserve">performance </w:t>
      </w:r>
      <w:r w:rsidR="000627C7" w:rsidRPr="00AE799A">
        <w:t>of schools’ and libraries’ broadband connections</w:t>
      </w:r>
      <w:r w:rsidR="002F3FCC">
        <w:t xml:space="preserve"> against specific speed targets.  We also seek comment on other measures of </w:t>
      </w:r>
      <w:r w:rsidR="000627C7" w:rsidRPr="00AE799A">
        <w:t xml:space="preserve">the </w:t>
      </w:r>
      <w:r w:rsidR="002F3FCC" w:rsidRPr="004F322C">
        <w:rPr>
          <w:rStyle w:val="stylenumberedparagraphs11ptchar0"/>
        </w:rPr>
        <w:t>availability</w:t>
      </w:r>
      <w:r w:rsidR="002F3FCC">
        <w:t xml:space="preserve"> and </w:t>
      </w:r>
      <w:r w:rsidR="000627C7" w:rsidRPr="00AE799A">
        <w:t xml:space="preserve">affordability of </w:t>
      </w:r>
      <w:r w:rsidR="00AE5162">
        <w:t>high-capacity broadband</w:t>
      </w:r>
      <w:r w:rsidR="000627C7" w:rsidRPr="00AE799A">
        <w:t xml:space="preserve"> </w:t>
      </w:r>
      <w:r w:rsidR="000627C7">
        <w:t xml:space="preserve">to schools and the educational impact of </w:t>
      </w:r>
      <w:r w:rsidR="00AE5162">
        <w:t>high-capacity broadband</w:t>
      </w:r>
      <w:r w:rsidR="000627C7">
        <w:t xml:space="preserve"> in the classroom.  </w:t>
      </w:r>
      <w:r w:rsidR="000627C7" w:rsidRPr="00AE799A">
        <w:t xml:space="preserve">We seek comment on whether these are the areas on which we should focus in measuring progress towards this goal.  </w:t>
      </w:r>
      <w:r w:rsidR="000627C7">
        <w:t>We also seek comment on how other network performance measurement efforts, including the Commission’s own Measuring Broadband America Program,</w:t>
      </w:r>
      <w:r w:rsidR="000627C7">
        <w:rPr>
          <w:rStyle w:val="FootnoteReference"/>
        </w:rPr>
        <w:footnoteReference w:id="46"/>
      </w:r>
      <w:r w:rsidR="000627C7">
        <w:t xml:space="preserve"> should inform our consideration of how to measure network performance.  </w:t>
      </w:r>
      <w:r w:rsidR="000627C7" w:rsidRPr="00AE799A">
        <w:t xml:space="preserve">Commenters are encouraged to propose any additional or alternative measures. </w:t>
      </w:r>
    </w:p>
    <w:p w14:paraId="6AE29719" w14:textId="5C0A3440" w:rsidR="002F3FCC" w:rsidRDefault="002F3FCC" w:rsidP="0036678A">
      <w:pPr>
        <w:pStyle w:val="ParaNum"/>
      </w:pPr>
      <w:r>
        <w:rPr>
          <w:i/>
        </w:rPr>
        <w:t xml:space="preserve">Connectivity metrics. </w:t>
      </w:r>
      <w:r>
        <w:t xml:space="preserve"> We seek comment on how to define “broadband that supports digital learning” for purposes of measuring progress toward </w:t>
      </w:r>
      <w:r w:rsidRPr="004F322C">
        <w:rPr>
          <w:rStyle w:val="stylenumberedparagraphs11ptchar0"/>
        </w:rPr>
        <w:t>our</w:t>
      </w:r>
      <w:r>
        <w:t xml:space="preserve"> first goal.  President Obama’s ConnectE</w:t>
      </w:r>
      <w:r w:rsidR="003D5731">
        <w:t>D</w:t>
      </w:r>
      <w:r>
        <w:t xml:space="preserve"> initiative set a target </w:t>
      </w:r>
      <w:r w:rsidRPr="00AB168E">
        <w:t xml:space="preserve">of at least </w:t>
      </w:r>
      <w:r>
        <w:t xml:space="preserve">100 Mbps service with a target of </w:t>
      </w:r>
      <w:r w:rsidRPr="00AB168E">
        <w:t xml:space="preserve">1 Gbps to </w:t>
      </w:r>
      <w:r>
        <w:t>most schools and libraries within 5 years.</w:t>
      </w:r>
      <w:r>
        <w:rPr>
          <w:rStyle w:val="FootnoteReference"/>
        </w:rPr>
        <w:footnoteReference w:id="47"/>
      </w:r>
      <w:r>
        <w:t xml:space="preserve">  The ConnectE</w:t>
      </w:r>
      <w:r w:rsidR="003D5731">
        <w:t>D</w:t>
      </w:r>
      <w:r>
        <w:t xml:space="preserve"> proposals are consistent with those made by the State Education Technology Directors Association (SETDA).  According to SETDA, in order to have sufficient broadband access for enhanced teaching and learning, K-12 </w:t>
      </w:r>
      <w:r w:rsidRPr="00170651">
        <w:t xml:space="preserve">schools will need Internet connections of </w:t>
      </w:r>
      <w:r>
        <w:t xml:space="preserve">at least </w:t>
      </w:r>
      <w:r w:rsidRPr="00170651">
        <w:t>1</w:t>
      </w:r>
      <w:r>
        <w:t>00 Mbps</w:t>
      </w:r>
      <w:r w:rsidRPr="00170651">
        <w:t xml:space="preserve"> per 1,000 students and </w:t>
      </w:r>
      <w:r w:rsidRPr="00170651">
        <w:lastRenderedPageBreak/>
        <w:t xml:space="preserve">staff </w:t>
      </w:r>
      <w:r>
        <w:t xml:space="preserve">(users) </w:t>
      </w:r>
      <w:r w:rsidRPr="00170651">
        <w:t xml:space="preserve">by the 2014-15 school year and </w:t>
      </w:r>
      <w:r>
        <w:t>at least</w:t>
      </w:r>
      <w:r w:rsidRPr="00170651">
        <w:t xml:space="preserve"> 1 Gbps </w:t>
      </w:r>
      <w:r>
        <w:t xml:space="preserve">Internet access </w:t>
      </w:r>
      <w:r w:rsidRPr="00170651">
        <w:t xml:space="preserve">per 1,000 </w:t>
      </w:r>
      <w:r>
        <w:t xml:space="preserve">users </w:t>
      </w:r>
      <w:r w:rsidRPr="00170651">
        <w:t>by the 2017-18 school year.</w:t>
      </w:r>
      <w:r w:rsidRPr="00170651">
        <w:rPr>
          <w:rStyle w:val="FootnoteReference"/>
          <w:szCs w:val="22"/>
        </w:rPr>
        <w:footnoteReference w:id="48"/>
      </w:r>
      <w:r w:rsidRPr="00170651">
        <w:t xml:space="preserve"> </w:t>
      </w:r>
      <w:r>
        <w:t xml:space="preserve"> </w:t>
      </w:r>
    </w:p>
    <w:p w14:paraId="21B76CBF" w14:textId="63865504" w:rsidR="00B412BA" w:rsidRDefault="002F3FCC" w:rsidP="0036678A">
      <w:pPr>
        <w:pStyle w:val="ParaNum"/>
      </w:pPr>
      <w:r w:rsidRPr="00170651">
        <w:t>We</w:t>
      </w:r>
      <w:r w:rsidRPr="00AE799A">
        <w:t xml:space="preserve"> </w:t>
      </w:r>
      <w:r>
        <w:t>seek comment on a</w:t>
      </w:r>
      <w:r w:rsidRPr="00AE799A">
        <w:t>dopt</w:t>
      </w:r>
      <w:r>
        <w:t xml:space="preserve">ing </w:t>
      </w:r>
      <w:r w:rsidRPr="004F322C">
        <w:rPr>
          <w:rStyle w:val="stylenumberedparagraphs11ptchar0"/>
        </w:rPr>
        <w:t>the</w:t>
      </w:r>
      <w:r w:rsidRPr="00AE799A">
        <w:t xml:space="preserve"> SETDA target of ensur</w:t>
      </w:r>
      <w:r>
        <w:t>ing</w:t>
      </w:r>
      <w:r w:rsidRPr="00AE799A">
        <w:t xml:space="preserve"> that schools have </w:t>
      </w:r>
      <w:r>
        <w:t>100 Mb</w:t>
      </w:r>
      <w:r w:rsidR="004A70B0">
        <w:t>p</w:t>
      </w:r>
      <w:r>
        <w:t xml:space="preserve">s per 1,000 users increasing to </w:t>
      </w:r>
      <w:r w:rsidRPr="00AE799A">
        <w:t xml:space="preserve">1 Gbps per 1,000 </w:t>
      </w:r>
      <w:r>
        <w:t>users</w:t>
      </w:r>
      <w:r w:rsidRPr="00AE799A">
        <w:t>.</w:t>
      </w:r>
      <w:r>
        <w:rPr>
          <w:rStyle w:val="FootnoteReference"/>
        </w:rPr>
        <w:footnoteReference w:id="49"/>
      </w:r>
      <w:r>
        <w:t xml:space="preserve">  SETDA also recommends that a school within a district have Wide Area Network (WAN)</w:t>
      </w:r>
      <w:r>
        <w:rPr>
          <w:rStyle w:val="FootnoteReference"/>
        </w:rPr>
        <w:footnoteReference w:id="50"/>
      </w:r>
      <w:r>
        <w:t xml:space="preserve"> connectivity to other schools within their district of at least 10 Gbps per 1,000 students and staff by 2017-2018.</w:t>
      </w:r>
      <w:r>
        <w:rPr>
          <w:rStyle w:val="FootnoteReference"/>
        </w:rPr>
        <w:footnoteReference w:id="51"/>
      </w:r>
      <w:r>
        <w:t xml:space="preserve">  We also seek comment on adopting that target for WAN connectivity.  </w:t>
      </w:r>
    </w:p>
    <w:p w14:paraId="48A8EE56" w14:textId="33785F9B" w:rsidR="002F3FCC" w:rsidRDefault="002F3FCC" w:rsidP="002C6BE9">
      <w:pPr>
        <w:pStyle w:val="ParaNum"/>
      </w:pPr>
      <w:r>
        <w:t>More specifically, w</w:t>
      </w:r>
      <w:r w:rsidRPr="00AE799A">
        <w:t>e seek comment on whether the SETDA target</w:t>
      </w:r>
      <w:r>
        <w:t>s</w:t>
      </w:r>
      <w:r w:rsidRPr="00AE799A">
        <w:t xml:space="preserve"> </w:t>
      </w:r>
      <w:r>
        <w:t>are</w:t>
      </w:r>
      <w:r w:rsidRPr="00AE799A">
        <w:t xml:space="preserve"> appropriate for </w:t>
      </w:r>
      <w:r>
        <w:t xml:space="preserve">all </w:t>
      </w:r>
      <w:r w:rsidRPr="00AE799A">
        <w:t>schools, or whether we should set some other minimum levels of broadband speed necessary to meet our proposed</w:t>
      </w:r>
      <w:r>
        <w:t xml:space="preserve"> goal, and what those levels should be.  How much capacity do schools currently use?  How are schools’ bandwidth needs changing, particularly in those schools that have one-to-one device initiatives?  We also seek comment on what our goals should be for schools or school districts with less than 1,000 students and staff if we do adopt the SETDA targets.  Will schools with 500 students need 500 Mbps Internet capacity</w:t>
      </w:r>
      <w:r w:rsidR="00D33642">
        <w:t>,</w:t>
      </w:r>
      <w:r>
        <w:t xml:space="preserve"> and how much WAN connectivity </w:t>
      </w:r>
      <w:r w:rsidR="00C3552C">
        <w:t xml:space="preserve">will </w:t>
      </w:r>
      <w:r>
        <w:t>they need?  How about schools with 100 students?  We also seek comment on the timing of reaching these proposed bandwidth targets</w:t>
      </w:r>
      <w:r w:rsidR="00B65B03">
        <w:t xml:space="preserve"> for schools</w:t>
      </w:r>
      <w:r>
        <w:t>.  What percent of schools currently have 100 Mbps per 1,000 users?  What percent of schools currently have 1 Gbps per 1,000 users?  How quickly are schools already moving towards these targets?  What percent of schools currently have fiber connectivity to the school?  How much would it cost to reach these targets?</w:t>
      </w:r>
      <w:r>
        <w:rPr>
          <w:rStyle w:val="FootnoteReference"/>
        </w:rPr>
        <w:footnoteReference w:id="52"/>
      </w:r>
      <w:r>
        <w:t xml:space="preserve">  What are the challenges for schools and the E-rate program in meeting these targets? </w:t>
      </w:r>
    </w:p>
    <w:p w14:paraId="13CC30E9" w14:textId="2BF89F64" w:rsidR="002F3FCC" w:rsidRDefault="002F3FCC" w:rsidP="008B7F95">
      <w:pPr>
        <w:pStyle w:val="ParaNum"/>
      </w:pPr>
      <w:r w:rsidRPr="00AE799A">
        <w:t xml:space="preserve">We also seek comment on the </w:t>
      </w:r>
      <w:r>
        <w:t xml:space="preserve">appropriate </w:t>
      </w:r>
      <w:r w:rsidRPr="00AE799A">
        <w:t xml:space="preserve">bandwidth </w:t>
      </w:r>
      <w:r>
        <w:t xml:space="preserve">target </w:t>
      </w:r>
      <w:r w:rsidRPr="00AE799A">
        <w:t xml:space="preserve">for libraries.  According to the Gates Foundation, the State Library of Kansas has developed a broadband capacity tool that recommends </w:t>
      </w:r>
      <w:r w:rsidR="00A73101">
        <w:t xml:space="preserve">that </w:t>
      </w:r>
      <w:r w:rsidRPr="00AE799A">
        <w:t>all libraries have a minimum of 1 Gbps</w:t>
      </w:r>
      <w:r>
        <w:t xml:space="preserve"> Internet connectivity</w:t>
      </w:r>
      <w:r w:rsidR="00A73101">
        <w:t xml:space="preserve"> </w:t>
      </w:r>
      <w:r w:rsidR="00A73101" w:rsidRPr="00AE799A">
        <w:t>by 2020</w:t>
      </w:r>
      <w:r w:rsidRPr="00AE799A">
        <w:t xml:space="preserve"> and recognizes that libraries with a large number of connected users will likely need even greater capacity.</w:t>
      </w:r>
      <w:r w:rsidRPr="00AE799A">
        <w:rPr>
          <w:rStyle w:val="FootnoteReference"/>
          <w:szCs w:val="22"/>
        </w:rPr>
        <w:footnoteReference w:id="53"/>
      </w:r>
      <w:r w:rsidRPr="00AE799A">
        <w:t xml:space="preserve">  We seek comment on whether </w:t>
      </w:r>
      <w:r>
        <w:t>a target of 1 G</w:t>
      </w:r>
      <w:r w:rsidRPr="00AE799A">
        <w:t xml:space="preserve">bps for all </w:t>
      </w:r>
      <w:r w:rsidRPr="00AE799A">
        <w:lastRenderedPageBreak/>
        <w:t xml:space="preserve">libraries by 2020 is an appropriate </w:t>
      </w:r>
      <w:r w:rsidR="00FF4D00">
        <w:t>measure</w:t>
      </w:r>
      <w:r w:rsidR="00FF4D00" w:rsidRPr="00AE799A">
        <w:t xml:space="preserve"> </w:t>
      </w:r>
      <w:r w:rsidRPr="00AE799A">
        <w:t xml:space="preserve">or whether we should set some other minimum level of broadband speed for libraries necessary to meet our proposed </w:t>
      </w:r>
      <w:r w:rsidR="00FF4D00">
        <w:t xml:space="preserve">measure </w:t>
      </w:r>
      <w:r w:rsidRPr="00AE799A">
        <w:t>and what that should be</w:t>
      </w:r>
      <w:r>
        <w:t xml:space="preserve">.  We also seek comment on whether we should adopt a WAN connectivity target for libraries interconnected by WANs, and if so, what that target should be.  We also seek comment on the </w:t>
      </w:r>
      <w:r w:rsidR="000B138E">
        <w:t xml:space="preserve">target date of 2020 for libraries to have </w:t>
      </w:r>
      <w:r w:rsidR="000B138E" w:rsidRPr="00AE799A">
        <w:t>1 Gbps</w:t>
      </w:r>
      <w:r w:rsidR="000B138E">
        <w:t xml:space="preserve"> Internet connectivity</w:t>
      </w:r>
      <w:r>
        <w:t xml:space="preserve">.  What are the challenges to libraries and the E-rate program of meeting this goal?  What percent of libraries currently have 100 Mbps connectivity?  What percent of libraries currently have 1 Gbps connectivity?  </w:t>
      </w:r>
    </w:p>
    <w:p w14:paraId="1B7D220E" w14:textId="29219883" w:rsidR="002F3FCC" w:rsidRDefault="002F3FCC" w:rsidP="00C9356F">
      <w:pPr>
        <w:pStyle w:val="ParaNum"/>
      </w:pPr>
      <w:r>
        <w:t>Further, w</w:t>
      </w:r>
      <w:r w:rsidRPr="00AE799A">
        <w:t xml:space="preserve">e seek </w:t>
      </w:r>
      <w:r w:rsidRPr="004F322C">
        <w:rPr>
          <w:rStyle w:val="stylenumberedparagraphs11ptchar0"/>
        </w:rPr>
        <w:t>comment</w:t>
      </w:r>
      <w:r w:rsidRPr="00AE799A">
        <w:t xml:space="preserve"> on whether there are schools and libraries in some extremely remote parts of our country where the SETDA and the State Library of Kansas </w:t>
      </w:r>
      <w:r>
        <w:t xml:space="preserve">capacity </w:t>
      </w:r>
      <w:r w:rsidRPr="00AE799A">
        <w:t xml:space="preserve">targets </w:t>
      </w:r>
      <w:r w:rsidR="000B138E">
        <w:t xml:space="preserve">may </w:t>
      </w:r>
      <w:r w:rsidRPr="00AE799A">
        <w:t xml:space="preserve">not </w:t>
      </w:r>
      <w:r w:rsidR="000B138E">
        <w:t xml:space="preserve">be </w:t>
      </w:r>
      <w:r>
        <w:t xml:space="preserve">economically </w:t>
      </w:r>
      <w:r w:rsidRPr="00AE799A">
        <w:t xml:space="preserve">feasible.  If so, why are the SETDA or the State Library of Kansas targets unfeasible and what are feasible connectivity targets or benchmarks </w:t>
      </w:r>
      <w:r w:rsidR="000B138E">
        <w:t xml:space="preserve">for </w:t>
      </w:r>
      <w:r w:rsidRPr="00AE799A">
        <w:t xml:space="preserve">those </w:t>
      </w:r>
      <w:r>
        <w:t xml:space="preserve">extremely remote </w:t>
      </w:r>
      <w:r w:rsidRPr="00AE799A">
        <w:t xml:space="preserve">geographic areas?  </w:t>
      </w:r>
    </w:p>
    <w:p w14:paraId="2A902A89" w14:textId="2F3A55B9" w:rsidR="002F3FCC" w:rsidRPr="00D34B43" w:rsidRDefault="004C0B56" w:rsidP="008B7F95">
      <w:pPr>
        <w:pStyle w:val="ParaNum"/>
        <w:rPr>
          <w:szCs w:val="22"/>
        </w:rPr>
      </w:pPr>
      <w:r w:rsidRPr="00D34B43">
        <w:rPr>
          <w:szCs w:val="22"/>
        </w:rPr>
        <w:t>As part of the ConnectE</w:t>
      </w:r>
      <w:r w:rsidR="003D5731">
        <w:rPr>
          <w:szCs w:val="22"/>
        </w:rPr>
        <w:t>D</w:t>
      </w:r>
      <w:r w:rsidRPr="00D34B43">
        <w:rPr>
          <w:szCs w:val="22"/>
        </w:rPr>
        <w:t xml:space="preserve"> initiative, President Obama also called for </w:t>
      </w:r>
      <w:r w:rsidR="00006511">
        <w:rPr>
          <w:szCs w:val="22"/>
        </w:rPr>
        <w:t>high-capacity</w:t>
      </w:r>
      <w:r w:rsidRPr="00D34B43">
        <w:rPr>
          <w:szCs w:val="22"/>
        </w:rPr>
        <w:t xml:space="preserve"> connectivity within schools, and others, including the bi-partisan LEAD Commission, have echoed that proposal.</w:t>
      </w:r>
      <w:r w:rsidRPr="00D34B43">
        <w:rPr>
          <w:szCs w:val="22"/>
          <w:vertAlign w:val="superscript"/>
        </w:rPr>
        <w:footnoteReference w:id="54"/>
      </w:r>
      <w:r w:rsidRPr="00D34B43">
        <w:rPr>
          <w:szCs w:val="22"/>
        </w:rPr>
        <w:t xml:space="preserve">  We </w:t>
      </w:r>
      <w:r w:rsidR="00D73FA6">
        <w:rPr>
          <w:szCs w:val="22"/>
        </w:rPr>
        <w:t xml:space="preserve">seek comment on adopting </w:t>
      </w:r>
      <w:r w:rsidRPr="00D34B43">
        <w:rPr>
          <w:szCs w:val="22"/>
        </w:rPr>
        <w:t xml:space="preserve">specific bandwidth targets for wireless connectivity within schools, similar to our targets for Internet </w:t>
      </w:r>
      <w:r w:rsidRPr="004F322C">
        <w:rPr>
          <w:rStyle w:val="stylenumberedparagraphs11ptchar0"/>
        </w:rPr>
        <w:t>and</w:t>
      </w:r>
      <w:r w:rsidRPr="00D34B43">
        <w:rPr>
          <w:szCs w:val="22"/>
        </w:rPr>
        <w:t xml:space="preserve"> WAN bandwidth.  Specifically, we </w:t>
      </w:r>
      <w:r w:rsidR="00D73FA6">
        <w:rPr>
          <w:szCs w:val="22"/>
        </w:rPr>
        <w:t xml:space="preserve">seek comment on whether </w:t>
      </w:r>
      <w:r w:rsidRPr="00D34B43">
        <w:rPr>
          <w:szCs w:val="22"/>
        </w:rPr>
        <w:t xml:space="preserve">all schools should have internal wireless networks capable of supporting one-to-one device initiatives, and </w:t>
      </w:r>
      <w:r w:rsidR="00D73FA6">
        <w:rPr>
          <w:szCs w:val="22"/>
        </w:rPr>
        <w:t xml:space="preserve">whether </w:t>
      </w:r>
      <w:r w:rsidRPr="00D34B43">
        <w:rPr>
          <w:szCs w:val="22"/>
        </w:rPr>
        <w:t xml:space="preserve">libraries should have comparable wireless connectivity.  We seek comment on more quantitatively defining these standards.  Should we define connectivity in Mbps of wireless capacity available </w:t>
      </w:r>
      <w:r w:rsidR="003D5731">
        <w:rPr>
          <w:szCs w:val="22"/>
        </w:rPr>
        <w:t>per-student</w:t>
      </w:r>
      <w:r w:rsidRPr="00D34B43">
        <w:rPr>
          <w:szCs w:val="22"/>
        </w:rPr>
        <w:t xml:space="preserve"> in classrooms, school libraries, and other areas of schools?   Should these match the Internet or WAN connectivity recommendations of SETDA?  For example, building off SETDA’s 2017 recommendation of 100 Mbps Internet connectivity per 1000 students, should we aim for 1 Mbps of wireless capacity per 10 students in classrooms and other learning spaces?   What would this standard generally require to implement?  We seek comment on this proposal and on alternative bandwidth targets.</w:t>
      </w:r>
    </w:p>
    <w:p w14:paraId="77BC8D21" w14:textId="6BF7692E" w:rsidR="002F3FCC" w:rsidRPr="00856B63" w:rsidRDefault="00DD3D1A" w:rsidP="008B7F95">
      <w:pPr>
        <w:pStyle w:val="ParaNum"/>
      </w:pPr>
      <w:r>
        <w:t>M</w:t>
      </w:r>
      <w:r w:rsidRPr="00433F58">
        <w:t xml:space="preserve">any of the applications that enable digital learning require not just </w:t>
      </w:r>
      <w:r>
        <w:t>high-capacity</w:t>
      </w:r>
      <w:r w:rsidRPr="00433F58">
        <w:t xml:space="preserve"> connections, but also high-quality connections that have associated latency, jitter and packet loss requirements.  For example, online viewing of a </w:t>
      </w:r>
      <w:r w:rsidRPr="00433F58">
        <w:lastRenderedPageBreak/>
        <w:t>real-time science lecture and demonstration requires low latency (transmission delay)</w:t>
      </w:r>
      <w:r>
        <w:t xml:space="preserve">, </w:t>
      </w:r>
      <w:r w:rsidRPr="004F322C">
        <w:rPr>
          <w:rStyle w:val="stylenumberedparagraphs11ptchar0"/>
        </w:rPr>
        <w:t>low</w:t>
      </w:r>
      <w:r w:rsidRPr="00433F58">
        <w:t xml:space="preserve"> jitter (variability in the timing of packets’ arrival), and low packet loss.</w:t>
      </w:r>
      <w:r>
        <w:t xml:space="preserve">  Should we adopt </w:t>
      </w:r>
      <w:r w:rsidRPr="00433F58">
        <w:t xml:space="preserve">latency, jitter and packet loss performance requirements </w:t>
      </w:r>
      <w:r>
        <w:t>tailored to the specific uses of broadband connect</w:t>
      </w:r>
      <w:r w:rsidR="0001610C">
        <w:t xml:space="preserve">ivity by schools and libraries </w:t>
      </w:r>
      <w:r>
        <w:t xml:space="preserve">to ensure successful learning experiences?  If so, </w:t>
      </w:r>
      <w:r w:rsidRPr="00433F58">
        <w:t xml:space="preserve">what </w:t>
      </w:r>
      <w:r>
        <w:t>such</w:t>
      </w:r>
      <w:r w:rsidRPr="00433F58">
        <w:t xml:space="preserve"> </w:t>
      </w:r>
      <w:r>
        <w:t xml:space="preserve">requirements </w:t>
      </w:r>
      <w:r w:rsidRPr="00433F58">
        <w:t>should be</w:t>
      </w:r>
      <w:r>
        <w:t>?</w:t>
      </w:r>
      <w:r>
        <w:rPr>
          <w:rStyle w:val="FootnoteReference"/>
        </w:rPr>
        <w:footnoteReference w:id="55"/>
      </w:r>
      <w:r>
        <w:t xml:space="preserve">  We also seek comment on how best to update network performance requirements as technology and network uses evolve.</w:t>
      </w:r>
      <w:r w:rsidR="002F3FCC" w:rsidRPr="00433F58">
        <w:t xml:space="preserve"> </w:t>
      </w:r>
    </w:p>
    <w:p w14:paraId="427479DB" w14:textId="6F631E63" w:rsidR="002F3FCC" w:rsidRDefault="002F3FCC" w:rsidP="008B7F95">
      <w:pPr>
        <w:pStyle w:val="ParaNum"/>
      </w:pPr>
      <w:r>
        <w:rPr>
          <w:i/>
        </w:rPr>
        <w:t xml:space="preserve">Using adoption to measure availability and affordability. </w:t>
      </w:r>
      <w:r>
        <w:t>T</w:t>
      </w:r>
      <w:r w:rsidRPr="00AE799A">
        <w:t xml:space="preserve">he </w:t>
      </w:r>
      <w:r>
        <w:t xml:space="preserve">simplest </w:t>
      </w:r>
      <w:r w:rsidRPr="00AE799A">
        <w:t xml:space="preserve">measure </w:t>
      </w:r>
      <w:r>
        <w:t xml:space="preserve">of broadband availability and affordability for schools and libraries may </w:t>
      </w:r>
      <w:r w:rsidR="000B282B">
        <w:t>observe whether</w:t>
      </w:r>
      <w:r w:rsidRPr="00AE799A">
        <w:t xml:space="preserve"> eligible schools and libraries are </w:t>
      </w:r>
      <w:r w:rsidRPr="004F322C">
        <w:rPr>
          <w:rStyle w:val="stylenumberedparagraphs11ptchar0"/>
        </w:rPr>
        <w:t>purchasing</w:t>
      </w:r>
      <w:r w:rsidRPr="00AE799A">
        <w:t xml:space="preserve"> </w:t>
      </w:r>
      <w:r>
        <w:t xml:space="preserve">broadband </w:t>
      </w:r>
      <w:r w:rsidRPr="00AE799A">
        <w:t>services</w:t>
      </w:r>
      <w:r>
        <w:t xml:space="preserve"> that meet our proposed speed benchmarks.  We </w:t>
      </w:r>
      <w:r w:rsidR="000B282B">
        <w:t xml:space="preserve">therefore </w:t>
      </w:r>
      <w:r w:rsidR="00D73FA6">
        <w:t xml:space="preserve">seek comment on whether </w:t>
      </w:r>
      <w:r>
        <w:t xml:space="preserve">to measure school and library broadband speeds as </w:t>
      </w:r>
      <w:r w:rsidR="00D73FA6">
        <w:t xml:space="preserve">one </w:t>
      </w:r>
      <w:r>
        <w:t>metric of broadband availability and affordability.</w:t>
      </w:r>
      <w:r w:rsidRPr="00AE799A">
        <w:t xml:space="preserve">  </w:t>
      </w:r>
    </w:p>
    <w:p w14:paraId="6DB8B712" w14:textId="77777777" w:rsidR="00076376" w:rsidRDefault="000B282B" w:rsidP="008B7F95">
      <w:pPr>
        <w:pStyle w:val="ParaNum"/>
      </w:pPr>
      <w:r>
        <w:t xml:space="preserve">If we adopt this proposal, we seek comment on how best to collect data on the speed and quality of school </w:t>
      </w:r>
      <w:r w:rsidR="00E76163">
        <w:t xml:space="preserve">and library </w:t>
      </w:r>
      <w:r>
        <w:t xml:space="preserve">connections.  </w:t>
      </w:r>
      <w:r w:rsidR="000627C7" w:rsidRPr="000B282B">
        <w:t>Currently</w:t>
      </w:r>
      <w:r w:rsidR="000627C7" w:rsidRPr="00AE799A">
        <w:t xml:space="preserve">, all schools and libraries must complete an FCC Form 471 application when applying </w:t>
      </w:r>
      <w:r w:rsidR="000627C7" w:rsidRPr="004F322C">
        <w:rPr>
          <w:rStyle w:val="stylenumberedparagraphs11ptchar0"/>
        </w:rPr>
        <w:t>for</w:t>
      </w:r>
      <w:r w:rsidR="000627C7" w:rsidRPr="00AE799A">
        <w:t xml:space="preserve"> </w:t>
      </w:r>
      <w:r w:rsidR="000627C7">
        <w:t>E-rate</w:t>
      </w:r>
      <w:r w:rsidR="000627C7" w:rsidRPr="00AE799A">
        <w:t xml:space="preserve"> funding, and among other things, are requested to provide information about the level of broadband services requested on that form.</w:t>
      </w:r>
      <w:r w:rsidR="000627C7" w:rsidRPr="00AE799A">
        <w:rPr>
          <w:rStyle w:val="FootnoteReference"/>
          <w:szCs w:val="22"/>
        </w:rPr>
        <w:footnoteReference w:id="56"/>
      </w:r>
      <w:r w:rsidR="000627C7" w:rsidRPr="00AE799A">
        <w:t xml:space="preserve">  </w:t>
      </w:r>
      <w:r w:rsidR="0021796F">
        <w:t xml:space="preserve">The Commission is currently seeking comment on modifying the FCC Form 471 to collect more detailed information from applicants on connection speeds and </w:t>
      </w:r>
      <w:r w:rsidR="005B0CB6">
        <w:t>the types of technologies being used for connectivity.</w:t>
      </w:r>
      <w:r w:rsidR="005B0CB6">
        <w:rPr>
          <w:rStyle w:val="FootnoteReference"/>
        </w:rPr>
        <w:footnoteReference w:id="57"/>
      </w:r>
      <w:r w:rsidR="0021796F">
        <w:t xml:space="preserve"> </w:t>
      </w:r>
      <w:r w:rsidR="005B0CB6">
        <w:t xml:space="preserve"> </w:t>
      </w:r>
    </w:p>
    <w:p w14:paraId="7BBF7BAC" w14:textId="142020C9" w:rsidR="000B282B" w:rsidRDefault="000627C7" w:rsidP="00C9356F">
      <w:pPr>
        <w:pStyle w:val="ParaNum"/>
      </w:pPr>
      <w:r w:rsidRPr="00AE799A">
        <w:t xml:space="preserve">We seek comment on </w:t>
      </w:r>
      <w:r w:rsidR="005B0CB6">
        <w:t xml:space="preserve">additional </w:t>
      </w:r>
      <w:r>
        <w:t xml:space="preserve">ways to </w:t>
      </w:r>
      <w:r w:rsidR="00834F54">
        <w:t>update</w:t>
      </w:r>
      <w:r>
        <w:t xml:space="preserve"> the</w:t>
      </w:r>
      <w:r w:rsidR="000B138E">
        <w:t xml:space="preserve"> FCC Form 471 </w:t>
      </w:r>
      <w:r>
        <w:t>to provide information necessary to monitor and measure our proposed goal</w:t>
      </w:r>
      <w:r w:rsidRPr="00AE799A">
        <w:t>.</w:t>
      </w:r>
      <w:r>
        <w:rPr>
          <w:rStyle w:val="FootnoteReference"/>
        </w:rPr>
        <w:footnoteReference w:id="58"/>
      </w:r>
      <w:r w:rsidRPr="00AE799A">
        <w:t xml:space="preserve">  Should we require that </w:t>
      </w:r>
      <w:r>
        <w:t>E-rate</w:t>
      </w:r>
      <w:r w:rsidRPr="00AE799A">
        <w:t xml:space="preserve"> applicants provide specific information about the </w:t>
      </w:r>
      <w:r w:rsidRPr="004F322C">
        <w:rPr>
          <w:rStyle w:val="stylenumberedparagraphs11ptchar0"/>
        </w:rPr>
        <w:t>bandwidth</w:t>
      </w:r>
      <w:r>
        <w:t xml:space="preserve"> </w:t>
      </w:r>
      <w:r w:rsidR="003B5401">
        <w:t xml:space="preserve">or speed </w:t>
      </w:r>
      <w:r w:rsidRPr="00AE799A">
        <w:t xml:space="preserve">for which they seek funding?  Should we make that information publicly available?  </w:t>
      </w:r>
      <w:r>
        <w:t xml:space="preserve">Should there be specific, required </w:t>
      </w:r>
      <w:r>
        <w:lastRenderedPageBreak/>
        <w:t>mechanisms for making the information public?  For example, should we require such information be published on data.gov?</w:t>
      </w:r>
      <w:r w:rsidR="00D33642">
        <w:rPr>
          <w:rStyle w:val="FootnoteReference"/>
        </w:rPr>
        <w:footnoteReference w:id="59"/>
      </w:r>
      <w:r>
        <w:t xml:space="preserve">  </w:t>
      </w:r>
    </w:p>
    <w:p w14:paraId="616D10BD" w14:textId="7BF87383" w:rsidR="000627C7" w:rsidRPr="00856B63" w:rsidRDefault="000627C7" w:rsidP="008B7F95">
      <w:pPr>
        <w:pStyle w:val="ParaNum"/>
      </w:pPr>
      <w:r w:rsidRPr="00AE799A">
        <w:t xml:space="preserve">Should we adopt additional measures based on information we gather?  For example, should we measure the difference in </w:t>
      </w:r>
      <w:r>
        <w:t xml:space="preserve">each </w:t>
      </w:r>
      <w:r w:rsidRPr="004F322C">
        <w:rPr>
          <w:rStyle w:val="stylenumberedparagraphs11ptchar0"/>
        </w:rPr>
        <w:t>school’s</w:t>
      </w:r>
      <w:r w:rsidRPr="00AE799A">
        <w:t xml:space="preserve"> </w:t>
      </w:r>
      <w:r>
        <w:t xml:space="preserve">or </w:t>
      </w:r>
      <w:r w:rsidRPr="00AE799A">
        <w:t>library’s baseline capacity</w:t>
      </w:r>
      <w:r>
        <w:t xml:space="preserve"> and </w:t>
      </w:r>
      <w:r w:rsidRPr="00AE799A">
        <w:t xml:space="preserve">speed </w:t>
      </w:r>
      <w:r>
        <w:t>for each</w:t>
      </w:r>
      <w:r w:rsidRPr="00AE799A">
        <w:t xml:space="preserve"> workstation</w:t>
      </w:r>
      <w:r>
        <w:t xml:space="preserve"> or </w:t>
      </w:r>
      <w:r w:rsidRPr="00AE799A">
        <w:t>device over a specified time period?</w:t>
      </w:r>
    </w:p>
    <w:p w14:paraId="52CA7F6D" w14:textId="193A5764" w:rsidR="00076376" w:rsidRDefault="000627C7" w:rsidP="008B7F95">
      <w:pPr>
        <w:pStyle w:val="ParaNum"/>
      </w:pPr>
      <w:r>
        <w:t xml:space="preserve">We seek comment on whether there are </w:t>
      </w:r>
      <w:r w:rsidRPr="00AE799A">
        <w:t xml:space="preserve">other methods we should consider adopting for </w:t>
      </w:r>
      <w:r>
        <w:t>measuring broadband performance</w:t>
      </w:r>
      <w:r w:rsidR="00347EE7">
        <w:t>, including not only bandwidth available but actual usage as well.  We also seek comment on how measuring actual usage would take into account the different possible reasons for level of usage.  For example, how would such a measurement account for schools that use broadband connections less because the speeds available are too slow for use of educational software or other reasons?  In addition, how do we account for levels of usage that vary based on the availability of teacher technology training?</w:t>
      </w:r>
      <w:r>
        <w:t xml:space="preserve">  In </w:t>
      </w:r>
      <w:r w:rsidRPr="004F322C">
        <w:rPr>
          <w:rStyle w:val="stylenumberedparagraphs11ptchar0"/>
        </w:rPr>
        <w:t>addition</w:t>
      </w:r>
      <w:r>
        <w:t xml:space="preserve"> to collecting information on the FCC Form 471, should we conduct an annual or biennial survey</w:t>
      </w:r>
      <w:r w:rsidR="0021689C">
        <w:t xml:space="preserve"> to assess the broadband capability of schools and libraries</w:t>
      </w:r>
      <w:r>
        <w:t>?  If so, should it be modeled on the survey of E-rate recipients that the Commission conducted in 2010?</w:t>
      </w:r>
      <w:r>
        <w:rPr>
          <w:rStyle w:val="FootnoteReference"/>
        </w:rPr>
        <w:footnoteReference w:id="60"/>
      </w:r>
      <w:r>
        <w:t xml:space="preserve">  </w:t>
      </w:r>
    </w:p>
    <w:p w14:paraId="30281EE4" w14:textId="3D876372" w:rsidR="000627C7" w:rsidRDefault="000627C7" w:rsidP="008B7F95">
      <w:pPr>
        <w:pStyle w:val="ParaNum"/>
      </w:pPr>
      <w:r>
        <w:t>In the alternative, s</w:t>
      </w:r>
      <w:r w:rsidRPr="00AE799A">
        <w:t xml:space="preserve">hould we require some or all </w:t>
      </w:r>
      <w:r>
        <w:t>E-rate</w:t>
      </w:r>
      <w:r w:rsidRPr="00AE799A">
        <w:t xml:space="preserve"> applicants to have ded</w:t>
      </w:r>
      <w:r>
        <w:t>icated equipment measuring performance</w:t>
      </w:r>
      <w:r w:rsidRPr="00AE799A">
        <w:t xml:space="preserve"> to and within each of their buildings?  If so, what would be the cost of such a requirement a</w:t>
      </w:r>
      <w:r>
        <w:t xml:space="preserve">nd what would be the benefits?  Should we require applicants to pay for such equipment or provide E-rate support for such </w:t>
      </w:r>
      <w:r w:rsidRPr="004F322C">
        <w:rPr>
          <w:rStyle w:val="stylenumberedparagraphs11ptchar0"/>
        </w:rPr>
        <w:t>equipment</w:t>
      </w:r>
      <w:r>
        <w:t xml:space="preserve"> and the related information collection?  Should we make the collected information available to the public?  </w:t>
      </w:r>
      <w:r w:rsidRPr="00C332CC">
        <w:t xml:space="preserve">We ask for recommendations on performance measurement systems that </w:t>
      </w:r>
      <w:r>
        <w:t xml:space="preserve">are </w:t>
      </w:r>
      <w:r w:rsidRPr="00C332CC">
        <w:t>low cost</w:t>
      </w:r>
      <w:r>
        <w:t xml:space="preserve"> and of minimal burden</w:t>
      </w:r>
      <w:r w:rsidR="00900C20">
        <w:t>;</w:t>
      </w:r>
      <w:r w:rsidRPr="00C332CC">
        <w:t xml:space="preserve"> eas</w:t>
      </w:r>
      <w:r>
        <w:t>y</w:t>
      </w:r>
      <w:r w:rsidRPr="00C332CC">
        <w:t xml:space="preserve"> </w:t>
      </w:r>
      <w:r>
        <w:t xml:space="preserve">to </w:t>
      </w:r>
      <w:r w:rsidRPr="00C332CC">
        <w:t>implement</w:t>
      </w:r>
      <w:r w:rsidR="00900C20">
        <w:t>;</w:t>
      </w:r>
      <w:r w:rsidRPr="00C332CC">
        <w:t xml:space="preserve"> low-impact</w:t>
      </w:r>
      <w:r w:rsidR="00900C20">
        <w:t>;</w:t>
      </w:r>
      <w:r w:rsidRPr="00C332CC">
        <w:t xml:space="preserve"> </w:t>
      </w:r>
      <w:r>
        <w:t xml:space="preserve">that will produce </w:t>
      </w:r>
      <w:r w:rsidRPr="00C332CC">
        <w:t>uniform results</w:t>
      </w:r>
      <w:r>
        <w:t xml:space="preserve"> and </w:t>
      </w:r>
      <w:r w:rsidRPr="00C332CC">
        <w:t xml:space="preserve">test </w:t>
      </w:r>
      <w:r>
        <w:t xml:space="preserve">a </w:t>
      </w:r>
      <w:r w:rsidRPr="00C332CC">
        <w:t xml:space="preserve">full range of </w:t>
      </w:r>
      <w:r>
        <w:t xml:space="preserve">performance </w:t>
      </w:r>
      <w:r w:rsidRPr="00C332CC">
        <w:t>metrics</w:t>
      </w:r>
      <w:r w:rsidR="00900C20">
        <w:t>;</w:t>
      </w:r>
      <w:r w:rsidRPr="00C332CC">
        <w:t xml:space="preserve"> </w:t>
      </w:r>
      <w:r>
        <w:t xml:space="preserve">and that include a </w:t>
      </w:r>
      <w:r w:rsidRPr="00C332CC">
        <w:t xml:space="preserve">proven design and </w:t>
      </w:r>
      <w:r>
        <w:t xml:space="preserve">are </w:t>
      </w:r>
      <w:r w:rsidRPr="00C332CC">
        <w:t>general</w:t>
      </w:r>
      <w:r>
        <w:t>ly</w:t>
      </w:r>
      <w:r w:rsidRPr="00C332CC">
        <w:t xml:space="preserve"> accepted as valid testing.</w:t>
      </w:r>
      <w:r>
        <w:t xml:space="preserve">  </w:t>
      </w:r>
    </w:p>
    <w:p w14:paraId="0E35F0D1" w14:textId="3F6676EB" w:rsidR="000627C7" w:rsidRPr="00856B63" w:rsidRDefault="000627C7" w:rsidP="008B7F95">
      <w:pPr>
        <w:pStyle w:val="ParaNum"/>
      </w:pPr>
      <w:r>
        <w:t>A</w:t>
      </w:r>
      <w:r w:rsidRPr="00AE799A">
        <w:t xml:space="preserve">re there other less burdensome methods that </w:t>
      </w:r>
      <w:r>
        <w:t xml:space="preserve">would </w:t>
      </w:r>
      <w:r w:rsidRPr="00AE799A">
        <w:t xml:space="preserve">still ensure we are able to examine </w:t>
      </w:r>
      <w:r>
        <w:t xml:space="preserve">and employ </w:t>
      </w:r>
      <w:r w:rsidRPr="00AE799A">
        <w:t>useful information</w:t>
      </w:r>
      <w:r>
        <w:t xml:space="preserve"> in lieu of </w:t>
      </w:r>
      <w:r w:rsidRPr="00AE799A">
        <w:t>requiring all applicants to employ equipment</w:t>
      </w:r>
      <w:r w:rsidR="0021689C">
        <w:t xml:space="preserve"> to test broadband</w:t>
      </w:r>
      <w:r w:rsidRPr="00AE799A">
        <w:t xml:space="preserve">?  For example, could we test a sample of schools?  Are most schools and libraries or their service providers already measuring the speed of their broadband connections?  Are there cost-efficient ways of collecting that information from schools and libraries?  </w:t>
      </w:r>
      <w:r>
        <w:t xml:space="preserve">Several years ago, the </w:t>
      </w:r>
      <w:r>
        <w:lastRenderedPageBreak/>
        <w:t>Commission created the Measuring Broadband America Program to measure residential broadband performance.</w:t>
      </w:r>
      <w:r>
        <w:rPr>
          <w:rStyle w:val="FootnoteReference"/>
        </w:rPr>
        <w:footnoteReference w:id="61"/>
      </w:r>
      <w:r>
        <w:t xml:space="preserve">  Should we adopt</w:t>
      </w:r>
      <w:r w:rsidRPr="00C332CC">
        <w:t xml:space="preserve"> a national performance measurement system for schoo</w:t>
      </w:r>
      <w:r>
        <w:t xml:space="preserve">ls and libraries similar to our </w:t>
      </w:r>
      <w:r w:rsidRPr="00C332CC">
        <w:t xml:space="preserve">Measuring Broadband America </w:t>
      </w:r>
      <w:r>
        <w:t>P</w:t>
      </w:r>
      <w:r w:rsidRPr="00C332CC">
        <w:t>rogram?</w:t>
      </w:r>
      <w:r w:rsidRPr="00AE799A">
        <w:t xml:space="preserve"> </w:t>
      </w:r>
      <w:r>
        <w:t xml:space="preserve"> </w:t>
      </w:r>
      <w:r w:rsidR="009E2650">
        <w:t xml:space="preserve">If so, how could we accommodate measuring not only average or peak performance but also actual usage?  </w:t>
      </w:r>
      <w:r>
        <w:t>We recognize</w:t>
      </w:r>
      <w:r w:rsidRPr="00AE799A">
        <w:t xml:space="preserve"> that some third parties are already attempting to collect </w:t>
      </w:r>
      <w:r>
        <w:t xml:space="preserve">some </w:t>
      </w:r>
      <w:r w:rsidRPr="00AE799A">
        <w:t>such information.  For example, Education Superhighway is encouraging schools to participate in its national School Speed Test program.</w:t>
      </w:r>
      <w:r w:rsidRPr="00AE799A">
        <w:rPr>
          <w:rStyle w:val="FootnoteReference"/>
          <w:szCs w:val="22"/>
        </w:rPr>
        <w:footnoteReference w:id="62"/>
      </w:r>
      <w:r w:rsidRPr="00AE799A">
        <w:t xml:space="preserve">  Are there ways the Commission can use </w:t>
      </w:r>
      <w:r>
        <w:t xml:space="preserve">the </w:t>
      </w:r>
      <w:r w:rsidRPr="00AE799A">
        <w:t xml:space="preserve">information collected by Education Superhighway or other third-party groups to measure progress towards this goal?  </w:t>
      </w:r>
    </w:p>
    <w:p w14:paraId="5CEB8044" w14:textId="6E374448" w:rsidR="00F14806" w:rsidRDefault="00FC77B8" w:rsidP="008B7F95">
      <w:pPr>
        <w:pStyle w:val="ParaNum"/>
      </w:pPr>
      <w:r w:rsidRPr="00AE799A">
        <w:t>As part of measuring progress towards the goal of ensuring eligible</w:t>
      </w:r>
      <w:r w:rsidRPr="00AE799A">
        <w:rPr>
          <w:color w:val="000000"/>
        </w:rPr>
        <w:t xml:space="preserve"> schools and libraries have affordable access to </w:t>
      </w:r>
      <w:r w:rsidR="00AE5162">
        <w:rPr>
          <w:color w:val="000000"/>
        </w:rPr>
        <w:t>high-capacity broadband</w:t>
      </w:r>
      <w:r w:rsidRPr="00AE799A">
        <w:rPr>
          <w:color w:val="000000"/>
        </w:rPr>
        <w:t xml:space="preserve"> at </w:t>
      </w:r>
      <w:r w:rsidRPr="004F322C">
        <w:rPr>
          <w:rStyle w:val="stylenumberedparagraphs11ptchar0"/>
        </w:rPr>
        <w:t>speeds</w:t>
      </w:r>
      <w:r w:rsidRPr="00AE799A">
        <w:rPr>
          <w:color w:val="000000"/>
        </w:rPr>
        <w:t xml:space="preserve"> that will support digital learning</w:t>
      </w:r>
      <w:r w:rsidRPr="00AE799A">
        <w:t xml:space="preserve">, we seek comment on how to measure </w:t>
      </w:r>
      <w:r w:rsidR="00AE5162">
        <w:t>high-capacity broadband</w:t>
      </w:r>
      <w:r w:rsidR="00E76163">
        <w:t xml:space="preserve"> availability and affordability</w:t>
      </w:r>
      <w:r>
        <w:t xml:space="preserve"> and the </w:t>
      </w:r>
      <w:r w:rsidR="00283597">
        <w:t xml:space="preserve">metrics </w:t>
      </w:r>
      <w:r>
        <w:t xml:space="preserve">that </w:t>
      </w:r>
      <w:r w:rsidR="00283597">
        <w:t xml:space="preserve">should </w:t>
      </w:r>
      <w:r>
        <w:t xml:space="preserve">be </w:t>
      </w:r>
      <w:r w:rsidR="00283597">
        <w:t>use</w:t>
      </w:r>
      <w:r>
        <w:t>d.</w:t>
      </w:r>
    </w:p>
    <w:p w14:paraId="46E8640F" w14:textId="1FA160E7" w:rsidR="00E76163" w:rsidRDefault="00967A32" w:rsidP="008B7F95">
      <w:pPr>
        <w:pStyle w:val="ParaNum"/>
      </w:pPr>
      <w:r w:rsidRPr="004F322C">
        <w:t xml:space="preserve">For example, to measure availability, </w:t>
      </w:r>
      <w:r w:rsidRPr="008A6123">
        <w:t>should we use the National Broadband Map to estimate what fraction of schools and libraries have access to at least one broadband provider within the same census block offering broadband at speeds that meet our proposed performance metrics?</w:t>
      </w:r>
      <w:r>
        <w:t xml:space="preserve">  </w:t>
      </w:r>
      <w:r w:rsidR="00283597">
        <w:t>If so, what geographic vicinity should we use</w:t>
      </w:r>
      <w:r w:rsidR="003445A5">
        <w:t>?</w:t>
      </w:r>
      <w:r w:rsidR="0036678A">
        <w:t xml:space="preserve"> </w:t>
      </w:r>
      <w:r w:rsidR="003445A5">
        <w:t xml:space="preserve"> Should we use census blocks as the measure?  </w:t>
      </w:r>
      <w:r w:rsidR="00283597">
        <w:t>Should we supplement National Broadband Map data with other information?  Instead, or in addition, should we collect data on the number of zero-bid service requests</w:t>
      </w:r>
      <w:r w:rsidR="00076376">
        <w:t xml:space="preserve"> as a measure of service availability</w:t>
      </w:r>
      <w:r w:rsidR="00283597">
        <w:t xml:space="preserve">?  </w:t>
      </w:r>
    </w:p>
    <w:p w14:paraId="058100FD" w14:textId="0A827491" w:rsidR="00283597" w:rsidRDefault="00283597" w:rsidP="008B7F95">
      <w:pPr>
        <w:pStyle w:val="ParaNum"/>
      </w:pPr>
      <w:r>
        <w:t xml:space="preserve">Similarly, to measure affordability, we could benchmark the post-discount prices paid by schools for broadband connections against some objective measure.  We seek comment on this </w:t>
      </w:r>
      <w:r w:rsidR="00076376">
        <w:t>approach</w:t>
      </w:r>
      <w:r>
        <w:t xml:space="preserve">, and on what measures we could use.  </w:t>
      </w:r>
      <w:r w:rsidRPr="004F322C">
        <w:rPr>
          <w:rStyle w:val="stylenumberedparagraphs11ptchar0"/>
        </w:rPr>
        <w:t>Would</w:t>
      </w:r>
      <w:r>
        <w:t xml:space="preserve"> there be benefit to conducting an annual or biennial survey to measure s</w:t>
      </w:r>
      <w:r w:rsidR="00076376">
        <w:t>c</w:t>
      </w:r>
      <w:r>
        <w:t xml:space="preserve">hool and library </w:t>
      </w:r>
      <w:r w:rsidR="00076376">
        <w:t xml:space="preserve">perceptions </w:t>
      </w:r>
      <w:r>
        <w:t>about affordability?  If so, what questions should we ask?  Alternatively, should we survey just those schools that do not adopt broadband connections meeting our performance targets to find out why they have not done so?</w:t>
      </w:r>
    </w:p>
    <w:p w14:paraId="0B8CF72C" w14:textId="4E6CE8D1" w:rsidR="000627C7" w:rsidRPr="00AE799A" w:rsidRDefault="00076376" w:rsidP="008B7F95">
      <w:pPr>
        <w:pStyle w:val="ParaNum"/>
      </w:pPr>
      <w:r>
        <w:t>W</w:t>
      </w:r>
      <w:r w:rsidR="000627C7" w:rsidRPr="00AE799A">
        <w:t xml:space="preserve">e </w:t>
      </w:r>
      <w:r>
        <w:t xml:space="preserve">also </w:t>
      </w:r>
      <w:r w:rsidR="000627C7" w:rsidRPr="00AE799A">
        <w:t xml:space="preserve">seek comment on whether the Commission should measure compliance with its “lowest corresponding price” rule </w:t>
      </w:r>
      <w:r w:rsidR="00283597">
        <w:t xml:space="preserve">as a measure of affordability </w:t>
      </w:r>
      <w:r w:rsidR="000627C7" w:rsidRPr="00AE799A">
        <w:t xml:space="preserve">to ensure that service providers are providing schools and libraries </w:t>
      </w:r>
      <w:r w:rsidR="000627C7" w:rsidRPr="004F322C">
        <w:rPr>
          <w:rStyle w:val="stylenumberedparagraphs11ptchar0"/>
        </w:rPr>
        <w:t>with</w:t>
      </w:r>
      <w:r w:rsidR="000627C7" w:rsidRPr="00AE799A">
        <w:t xml:space="preserve"> the lowest corresponding price</w:t>
      </w:r>
      <w:r w:rsidR="000627C7">
        <w:t xml:space="preserve"> for E-rate supported services that a provider charges to a </w:t>
      </w:r>
      <w:r w:rsidR="000627C7">
        <w:lastRenderedPageBreak/>
        <w:t>similarly situated non-residential customer</w:t>
      </w:r>
      <w:r w:rsidR="000627C7" w:rsidRPr="00AE799A">
        <w:t>.</w:t>
      </w:r>
      <w:r w:rsidR="000627C7" w:rsidRPr="00AE799A">
        <w:rPr>
          <w:rStyle w:val="FootnoteReference"/>
          <w:szCs w:val="22"/>
        </w:rPr>
        <w:footnoteReference w:id="63"/>
      </w:r>
      <w:r w:rsidR="000627C7" w:rsidRPr="00AE799A">
        <w:t xml:space="preserve">  The rule mandates that service providers cannot charge schools, school districts, libraries, library consortia, or consortia including any of these entities a price above the lowest corresponding price for supported services, unless the Commission, with respect to interstate services, or the state commission with respect to intrastate services, finds that the lowest corresponding price is not compensatory.</w:t>
      </w:r>
      <w:r w:rsidR="000627C7" w:rsidRPr="00AE799A">
        <w:rPr>
          <w:rStyle w:val="FootnoteReference"/>
          <w:szCs w:val="22"/>
        </w:rPr>
        <w:footnoteReference w:id="64"/>
      </w:r>
      <w:r w:rsidR="000627C7" w:rsidRPr="00AE799A">
        <w:t xml:space="preserve">  </w:t>
      </w:r>
    </w:p>
    <w:p w14:paraId="3E28AD90" w14:textId="7CFBA870" w:rsidR="000627C7" w:rsidRPr="00500DAE" w:rsidRDefault="000627C7" w:rsidP="008B7F95">
      <w:pPr>
        <w:pStyle w:val="ParaNum"/>
      </w:pPr>
      <w:bookmarkStart w:id="331" w:name="_Ref360204131"/>
      <w:r w:rsidRPr="00500DAE">
        <w:rPr>
          <w:i/>
        </w:rPr>
        <w:t>Educational Impact Measurements</w:t>
      </w:r>
      <w:r w:rsidRPr="00500DAE">
        <w:t xml:space="preserve">.  </w:t>
      </w:r>
      <w:r w:rsidR="00A45639">
        <w:t xml:space="preserve">Is there a way to measure how success in the classroom is affected by access to E-rate funding or services supported by E-rate?  </w:t>
      </w:r>
      <w:r w:rsidRPr="00500DAE">
        <w:t xml:space="preserve">Stakeholders have, in the past, raised concerns with attempts to correlate </w:t>
      </w:r>
      <w:r>
        <w:t>E-rate</w:t>
      </w:r>
      <w:r w:rsidRPr="00500DAE">
        <w:t xml:space="preserve"> funding with educational outcomes.  Critics claim that because classroom performance is affected by many factors, there </w:t>
      </w:r>
      <w:r>
        <w:t xml:space="preserve">are </w:t>
      </w:r>
      <w:r w:rsidRPr="00500DAE">
        <w:t xml:space="preserve">no reliable conclusions to be drawn.  </w:t>
      </w:r>
      <w:r w:rsidR="00A45639">
        <w:t xml:space="preserve">However, proponents believe that assessing the contribution of digital learning and E-rate funded connectivity towards student outcomes may guide schools in determining the bandwidth and usage of broadband that are most effective as well as provide us guidance in ensuring that universal service dollars are efficiently spent.  </w:t>
      </w:r>
      <w:r w:rsidRPr="00500DAE">
        <w:t xml:space="preserve">Is there a way to measure how success in the classroom is </w:t>
      </w:r>
      <w:r w:rsidR="00900C20">
        <w:t>affect</w:t>
      </w:r>
      <w:r w:rsidRPr="00500DAE">
        <w:t xml:space="preserve">ed by access to </w:t>
      </w:r>
      <w:r>
        <w:t>E-rate</w:t>
      </w:r>
      <w:r w:rsidRPr="00500DAE">
        <w:t xml:space="preserve"> funding or access to Internet access services?  If so, </w:t>
      </w:r>
      <w:r w:rsidR="00A45639">
        <w:t>what should such measures look like, and should they be tied specifically to E-rate funding or more generally to the deployment or use of broadband and next-generation infrastructure</w:t>
      </w:r>
      <w:r w:rsidR="00A45639" w:rsidRPr="00500DAE">
        <w:t xml:space="preserve">?  </w:t>
      </w:r>
      <w:r w:rsidR="00A45639">
        <w:t>A 2006 study by Austan Goolsbee and Jonathan Guryan found that E-rate support substantially increased the investment of some public schools in Internet and communications technologies, but did not find a statistically significant effect on student test scores.</w:t>
      </w:r>
      <w:r w:rsidR="00A45639">
        <w:rPr>
          <w:rStyle w:val="FootnoteReference"/>
        </w:rPr>
        <w:footnoteReference w:id="65"/>
      </w:r>
      <w:r w:rsidR="00A45639">
        <w:t xml:space="preserve">  Have more recent studies suggested otherwise?  We also seek comment on whether the Commission should adopt educational-outcome measurements.  Is it </w:t>
      </w:r>
      <w:r w:rsidR="00A45639">
        <w:lastRenderedPageBreak/>
        <w:t>appropriate for the Commission to do so, given that educational outcomes are outside the agency’s core competence?  Are there any legal or jurisdictional issues with doing so?</w:t>
      </w:r>
      <w:bookmarkEnd w:id="331"/>
      <w:r w:rsidRPr="00500DAE">
        <w:t xml:space="preserve">  </w:t>
      </w:r>
    </w:p>
    <w:p w14:paraId="399737A4" w14:textId="5D79C0B4" w:rsidR="000627C7" w:rsidRPr="00AE799A" w:rsidRDefault="000627C7" w:rsidP="00B9652C">
      <w:pPr>
        <w:pStyle w:val="Heading2"/>
      </w:pPr>
      <w:bookmarkStart w:id="332" w:name="_Toc352078311"/>
      <w:bookmarkStart w:id="333" w:name="_Toc352078363"/>
      <w:bookmarkStart w:id="334" w:name="_Toc352078425"/>
      <w:bookmarkStart w:id="335" w:name="_Toc352079016"/>
      <w:bookmarkStart w:id="336" w:name="_Toc352080377"/>
      <w:bookmarkStart w:id="337" w:name="_Toc352139760"/>
      <w:bookmarkStart w:id="338" w:name="_Toc354478063"/>
      <w:bookmarkStart w:id="339" w:name="_Toc354478685"/>
      <w:bookmarkStart w:id="340" w:name="_Toc354660701"/>
      <w:bookmarkStart w:id="341" w:name="_Toc358208781"/>
      <w:bookmarkStart w:id="342" w:name="_Toc358210279"/>
      <w:bookmarkStart w:id="343" w:name="_Toc358210426"/>
      <w:bookmarkStart w:id="344" w:name="_Toc358210604"/>
      <w:bookmarkStart w:id="345" w:name="_Toc358210705"/>
      <w:bookmarkStart w:id="346" w:name="_Toc358213639"/>
      <w:bookmarkStart w:id="347" w:name="_Toc358213771"/>
      <w:bookmarkStart w:id="348" w:name="_Toc358301267"/>
      <w:bookmarkStart w:id="349" w:name="_Toc358720013"/>
      <w:bookmarkStart w:id="350" w:name="_Toc358971239"/>
      <w:bookmarkStart w:id="351" w:name="_Toc358974840"/>
      <w:bookmarkStart w:id="352" w:name="_Toc358975738"/>
      <w:bookmarkStart w:id="353" w:name="_Toc358975900"/>
      <w:bookmarkStart w:id="354" w:name="_Toc358976141"/>
      <w:bookmarkStart w:id="355" w:name="_Toc358980996"/>
      <w:bookmarkStart w:id="356" w:name="_Toc358981112"/>
      <w:bookmarkStart w:id="357" w:name="_Toc358982376"/>
      <w:bookmarkStart w:id="358" w:name="_Toc358982466"/>
      <w:bookmarkStart w:id="359" w:name="_Toc359239248"/>
      <w:bookmarkStart w:id="360" w:name="_Toc359239305"/>
      <w:bookmarkStart w:id="361" w:name="_Toc359252264"/>
      <w:bookmarkStart w:id="362" w:name="_Toc359326013"/>
      <w:bookmarkStart w:id="363" w:name="_Toc359333261"/>
      <w:bookmarkStart w:id="364" w:name="_Toc359339915"/>
      <w:bookmarkStart w:id="365" w:name="_Toc359343179"/>
      <w:bookmarkStart w:id="366" w:name="_Toc359346988"/>
      <w:bookmarkStart w:id="367" w:name="_Toc359598676"/>
      <w:bookmarkStart w:id="368" w:name="_Toc359853142"/>
      <w:bookmarkStart w:id="369" w:name="_Toc359853375"/>
      <w:bookmarkStart w:id="370" w:name="_Toc359853641"/>
      <w:bookmarkStart w:id="371" w:name="_Toc359858601"/>
      <w:bookmarkStart w:id="372" w:name="_Toc359859584"/>
      <w:bookmarkStart w:id="373" w:name="_Toc359940042"/>
      <w:bookmarkStart w:id="374" w:name="_Toc360025416"/>
      <w:bookmarkStart w:id="375" w:name="_Toc360107472"/>
      <w:bookmarkStart w:id="376" w:name="_Toc360111596"/>
      <w:bookmarkStart w:id="377" w:name="_Toc360172781"/>
      <w:bookmarkStart w:id="378" w:name="_Toc360186114"/>
      <w:bookmarkStart w:id="379" w:name="_Toc360186191"/>
      <w:bookmarkStart w:id="380" w:name="_Toc360186395"/>
      <w:bookmarkStart w:id="381" w:name="_Toc360186472"/>
      <w:bookmarkStart w:id="382" w:name="_Toc360187268"/>
      <w:bookmarkStart w:id="383" w:name="_Toc360187434"/>
      <w:bookmarkStart w:id="384" w:name="_Toc360208883"/>
      <w:bookmarkStart w:id="385" w:name="_Toc360212016"/>
      <w:bookmarkStart w:id="386" w:name="_Toc361663084"/>
      <w:bookmarkStart w:id="387" w:name="_Toc361857664"/>
      <w:bookmarkStart w:id="388" w:name="_Toc361918756"/>
      <w:bookmarkStart w:id="389" w:name="_Toc362272536"/>
      <w:r w:rsidRPr="00AE799A">
        <w:t>Maximiz</w:t>
      </w:r>
      <w:r w:rsidR="002E746E">
        <w:t>ing</w:t>
      </w:r>
      <w:r w:rsidRPr="00AE799A">
        <w:t xml:space="preserve"> the Cost-Effectiveness of </w:t>
      </w:r>
      <w:r>
        <w:t>E-rate</w:t>
      </w:r>
      <w:r w:rsidRPr="00AE799A">
        <w:t xml:space="preserve"> Funds</w:t>
      </w:r>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r w:rsidRPr="00AE799A">
        <w:t xml:space="preserve"> </w:t>
      </w:r>
    </w:p>
    <w:p w14:paraId="793E6F9B" w14:textId="77777777" w:rsidR="000627C7" w:rsidRPr="00AE799A" w:rsidRDefault="000627C7" w:rsidP="001E128A">
      <w:pPr>
        <w:pStyle w:val="Heading3"/>
        <w:keepNext w:val="0"/>
      </w:pPr>
      <w:bookmarkStart w:id="390" w:name="_Toc352078312"/>
      <w:bookmarkStart w:id="391" w:name="_Toc352078364"/>
      <w:bookmarkStart w:id="392" w:name="_Toc352078426"/>
      <w:bookmarkStart w:id="393" w:name="_Toc352079017"/>
      <w:bookmarkStart w:id="394" w:name="_Toc352080378"/>
      <w:bookmarkStart w:id="395" w:name="_Toc352139761"/>
      <w:bookmarkStart w:id="396" w:name="_Toc354478064"/>
      <w:bookmarkStart w:id="397" w:name="_Toc354478686"/>
      <w:bookmarkStart w:id="398" w:name="_Toc354660702"/>
      <w:bookmarkStart w:id="399" w:name="_Toc358208782"/>
      <w:bookmarkStart w:id="400" w:name="_Toc358210280"/>
      <w:bookmarkStart w:id="401" w:name="_Toc358210427"/>
      <w:bookmarkStart w:id="402" w:name="_Toc358210605"/>
      <w:bookmarkStart w:id="403" w:name="_Toc358210706"/>
      <w:bookmarkStart w:id="404" w:name="_Toc358213640"/>
      <w:bookmarkStart w:id="405" w:name="_Toc358213772"/>
      <w:bookmarkStart w:id="406" w:name="_Toc358301268"/>
      <w:bookmarkStart w:id="407" w:name="_Toc358720014"/>
      <w:bookmarkStart w:id="408" w:name="_Toc358971240"/>
      <w:bookmarkStart w:id="409" w:name="_Toc358974841"/>
      <w:bookmarkStart w:id="410" w:name="_Toc358975739"/>
      <w:bookmarkStart w:id="411" w:name="_Toc358975901"/>
      <w:bookmarkStart w:id="412" w:name="_Toc358976142"/>
      <w:bookmarkStart w:id="413" w:name="_Toc358980997"/>
      <w:bookmarkStart w:id="414" w:name="_Toc358981113"/>
      <w:bookmarkStart w:id="415" w:name="_Toc358982377"/>
      <w:bookmarkStart w:id="416" w:name="_Toc358982467"/>
      <w:bookmarkStart w:id="417" w:name="_Toc359239249"/>
      <w:bookmarkStart w:id="418" w:name="_Toc359239306"/>
      <w:bookmarkStart w:id="419" w:name="_Toc359252265"/>
      <w:bookmarkStart w:id="420" w:name="_Toc359326014"/>
      <w:bookmarkStart w:id="421" w:name="_Toc359333262"/>
      <w:bookmarkStart w:id="422" w:name="_Toc359339916"/>
      <w:bookmarkStart w:id="423" w:name="_Toc359343180"/>
      <w:bookmarkStart w:id="424" w:name="_Toc359346989"/>
      <w:bookmarkStart w:id="425" w:name="_Toc359598677"/>
      <w:bookmarkStart w:id="426" w:name="_Toc359853143"/>
      <w:bookmarkStart w:id="427" w:name="_Toc359853376"/>
      <w:bookmarkStart w:id="428" w:name="_Toc359853642"/>
      <w:bookmarkStart w:id="429" w:name="_Toc359858602"/>
      <w:bookmarkStart w:id="430" w:name="_Toc359859585"/>
      <w:bookmarkStart w:id="431" w:name="_Toc359940043"/>
      <w:bookmarkStart w:id="432" w:name="_Toc360025417"/>
      <w:bookmarkStart w:id="433" w:name="_Toc360107473"/>
      <w:bookmarkStart w:id="434" w:name="_Toc360111597"/>
      <w:bookmarkStart w:id="435" w:name="_Toc360172782"/>
      <w:bookmarkStart w:id="436" w:name="_Toc360186115"/>
      <w:bookmarkStart w:id="437" w:name="_Toc360186192"/>
      <w:bookmarkStart w:id="438" w:name="_Toc360186396"/>
      <w:bookmarkStart w:id="439" w:name="_Toc360186473"/>
      <w:bookmarkStart w:id="440" w:name="_Toc360187269"/>
      <w:bookmarkStart w:id="441" w:name="_Toc360187435"/>
      <w:bookmarkStart w:id="442" w:name="_Toc360208884"/>
      <w:bookmarkStart w:id="443" w:name="_Toc360212017"/>
      <w:bookmarkStart w:id="444" w:name="_Toc361663085"/>
      <w:bookmarkStart w:id="445" w:name="_Toc361857665"/>
      <w:bookmarkStart w:id="446" w:name="_Toc361918757"/>
      <w:bookmarkStart w:id="447" w:name="_Toc362272537"/>
      <w:r>
        <w:t xml:space="preserve">Proposed </w:t>
      </w:r>
      <w:r w:rsidRPr="00AE799A">
        <w:t>Goal</w:t>
      </w:r>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p>
    <w:p w14:paraId="6B4C9620" w14:textId="66751013" w:rsidR="000627C7" w:rsidRPr="004F322C" w:rsidRDefault="000627C7" w:rsidP="002F34FB">
      <w:pPr>
        <w:pStyle w:val="ParaNum"/>
        <w:rPr>
          <w:rStyle w:val="stylenumberedparagraphs11ptchar0"/>
        </w:rPr>
      </w:pPr>
      <w:r w:rsidRPr="00AE799A">
        <w:t>We propose to adopt, as the seco</w:t>
      </w:r>
      <w:r>
        <w:t xml:space="preserve">nd goal of the E-rate program, to </w:t>
      </w:r>
      <w:r w:rsidRPr="00AE799A">
        <w:t>maximiz</w:t>
      </w:r>
      <w:r>
        <w:t>e</w:t>
      </w:r>
      <w:r w:rsidRPr="00AE799A">
        <w:t xml:space="preserve"> the cost-effectiveness of </w:t>
      </w:r>
      <w:r>
        <w:t>E-</w:t>
      </w:r>
      <w:r w:rsidRPr="004F322C">
        <w:rPr>
          <w:rStyle w:val="stylenumberedparagraphs11ptchar0"/>
        </w:rPr>
        <w:t>rate funds.</w:t>
      </w:r>
      <w:r w:rsidRPr="008B7F95">
        <w:rPr>
          <w:rStyle w:val="FootnoteReference"/>
          <w:szCs w:val="22"/>
        </w:rPr>
        <w:footnoteReference w:id="66"/>
      </w:r>
      <w:r w:rsidRPr="004F322C">
        <w:rPr>
          <w:rStyle w:val="stylenumberedparagraphs11ptchar0"/>
        </w:rPr>
        <w:t xml:space="preserve">  </w:t>
      </w:r>
      <w:r w:rsidR="00C37593" w:rsidRPr="004F322C">
        <w:rPr>
          <w:rStyle w:val="stylenumberedparagraphs11ptchar0"/>
        </w:rPr>
        <w:t>E</w:t>
      </w:r>
      <w:r w:rsidRPr="002F34FB">
        <w:rPr>
          <w:rStyle w:val="stylenumberedparagraphs11ptchar0"/>
          <w:szCs w:val="22"/>
        </w:rPr>
        <w:t>nsur</w:t>
      </w:r>
      <w:r w:rsidR="00C37593" w:rsidRPr="005C0814">
        <w:rPr>
          <w:rStyle w:val="stylenumberedparagraphs11ptchar0"/>
          <w:szCs w:val="22"/>
        </w:rPr>
        <w:t>ing</w:t>
      </w:r>
      <w:r w:rsidRPr="005C0814">
        <w:rPr>
          <w:rStyle w:val="stylenumberedparagraphs11ptchar0"/>
          <w:szCs w:val="22"/>
        </w:rPr>
        <w:t xml:space="preserve"> that schools and libraries spend E-rate money in the most cost-effective ways possible maximize</w:t>
      </w:r>
      <w:r w:rsidR="00C37593" w:rsidRPr="0036678A">
        <w:rPr>
          <w:rStyle w:val="stylenumberedparagraphs11ptchar0"/>
          <w:szCs w:val="22"/>
        </w:rPr>
        <w:t>s</w:t>
      </w:r>
      <w:r w:rsidRPr="0036678A">
        <w:rPr>
          <w:rStyle w:val="stylenumberedparagraphs11ptchar0"/>
          <w:szCs w:val="22"/>
        </w:rPr>
        <w:t xml:space="preserve"> the </w:t>
      </w:r>
      <w:r w:rsidR="00C37593" w:rsidRPr="0036678A">
        <w:rPr>
          <w:rStyle w:val="stylenumberedparagraphs11ptchar0"/>
          <w:szCs w:val="22"/>
        </w:rPr>
        <w:t xml:space="preserve">impact </w:t>
      </w:r>
      <w:r w:rsidRPr="0036678A">
        <w:rPr>
          <w:rStyle w:val="stylenumberedparagraphs11ptchar0"/>
          <w:szCs w:val="22"/>
        </w:rPr>
        <w:t xml:space="preserve">of </w:t>
      </w:r>
      <w:r w:rsidR="00C37593" w:rsidRPr="0036678A">
        <w:rPr>
          <w:rStyle w:val="stylenumberedparagraphs11ptchar0"/>
          <w:szCs w:val="22"/>
        </w:rPr>
        <w:t xml:space="preserve">limited </w:t>
      </w:r>
      <w:r w:rsidRPr="0036678A">
        <w:rPr>
          <w:rStyle w:val="stylenumberedparagraphs11ptchar0"/>
          <w:szCs w:val="22"/>
        </w:rPr>
        <w:t>E-rate funds and</w:t>
      </w:r>
      <w:r w:rsidR="00C37593" w:rsidRPr="0036678A">
        <w:rPr>
          <w:rStyle w:val="stylenumberedparagraphs11ptchar0"/>
          <w:szCs w:val="22"/>
        </w:rPr>
        <w:t xml:space="preserve"> helps</w:t>
      </w:r>
      <w:r w:rsidRPr="0036678A">
        <w:rPr>
          <w:rStyle w:val="stylenumberedparagraphs11ptchar0"/>
          <w:szCs w:val="22"/>
        </w:rPr>
        <w:t xml:space="preserve"> ensure that all eligible schools and libraries are able to receive all the support they need.  </w:t>
      </w:r>
      <w:r w:rsidRPr="004F322C">
        <w:rPr>
          <w:rStyle w:val="stylenumberedparagraphs11ptchar0"/>
        </w:rPr>
        <w:t xml:space="preserve">Funds available through the E-rate program come from contributions made by consumers and businesses to the USF, and the Commission has a responsibility to ensure they are spent </w:t>
      </w:r>
      <w:r w:rsidR="00B12A21" w:rsidRPr="004F322C">
        <w:rPr>
          <w:rStyle w:val="stylenumberedparagraphs11ptchar0"/>
        </w:rPr>
        <w:t>effectively</w:t>
      </w:r>
      <w:r w:rsidRPr="004F322C">
        <w:rPr>
          <w:rStyle w:val="stylenumberedparagraphs11ptchar0"/>
        </w:rPr>
        <w:t>.</w:t>
      </w:r>
    </w:p>
    <w:p w14:paraId="74283D89" w14:textId="22E2A883" w:rsidR="000627C7" w:rsidRPr="00AE799A" w:rsidRDefault="000627C7" w:rsidP="0036678A">
      <w:pPr>
        <w:pStyle w:val="ParaNum"/>
      </w:pPr>
      <w:r w:rsidRPr="004F322C">
        <w:rPr>
          <w:rStyle w:val="stylenumberedparagraphs11ptchar0"/>
        </w:rPr>
        <w:t>This proposed goal is consistent with section 254(h)(2)(A) of the Communications Act, which requires that support to schools and libraries</w:t>
      </w:r>
      <w:r w:rsidRPr="00AE799A">
        <w:t xml:space="preserve"> be “economically reasonable.”</w:t>
      </w:r>
      <w:r w:rsidRPr="00AE799A">
        <w:rPr>
          <w:vertAlign w:val="superscript"/>
        </w:rPr>
        <w:footnoteReference w:id="67"/>
      </w:r>
      <w:r w:rsidRPr="00AE799A">
        <w:t xml:space="preserve">  As the Commission has previously observed, we have a “responsibility to be a prudent guardian of the public’s resources.”</w:t>
      </w:r>
      <w:r w:rsidRPr="00AE799A">
        <w:rPr>
          <w:rStyle w:val="FootnoteReference"/>
          <w:szCs w:val="22"/>
        </w:rPr>
        <w:footnoteReference w:id="68"/>
      </w:r>
      <w:r w:rsidRPr="00AE799A">
        <w:t xml:space="preserve"> We seek comment on this proposed goal. </w:t>
      </w:r>
    </w:p>
    <w:p w14:paraId="46CDB0F9" w14:textId="77777777" w:rsidR="000627C7" w:rsidRPr="00AE799A" w:rsidRDefault="000627C7" w:rsidP="001E128A">
      <w:pPr>
        <w:pStyle w:val="Heading3"/>
        <w:keepNext w:val="0"/>
      </w:pPr>
      <w:bookmarkStart w:id="448" w:name="_Toc352078313"/>
      <w:bookmarkStart w:id="449" w:name="_Toc352078365"/>
      <w:bookmarkStart w:id="450" w:name="_Toc352078427"/>
      <w:bookmarkStart w:id="451" w:name="_Toc352079018"/>
      <w:bookmarkStart w:id="452" w:name="_Toc352080379"/>
      <w:bookmarkStart w:id="453" w:name="_Toc352139762"/>
      <w:bookmarkStart w:id="454" w:name="_Toc354478065"/>
      <w:bookmarkStart w:id="455" w:name="_Toc354478687"/>
      <w:bookmarkStart w:id="456" w:name="_Toc354660703"/>
      <w:bookmarkStart w:id="457" w:name="_Toc358208783"/>
      <w:bookmarkStart w:id="458" w:name="_Toc358210281"/>
      <w:bookmarkStart w:id="459" w:name="_Toc358210428"/>
      <w:bookmarkStart w:id="460" w:name="_Toc358210606"/>
      <w:bookmarkStart w:id="461" w:name="_Toc358210707"/>
      <w:bookmarkStart w:id="462" w:name="_Toc358213641"/>
      <w:bookmarkStart w:id="463" w:name="_Toc358213773"/>
      <w:bookmarkStart w:id="464" w:name="_Toc358301269"/>
      <w:bookmarkStart w:id="465" w:name="_Toc358720015"/>
      <w:bookmarkStart w:id="466" w:name="_Toc358971241"/>
      <w:bookmarkStart w:id="467" w:name="_Toc358974842"/>
      <w:bookmarkStart w:id="468" w:name="_Toc358975740"/>
      <w:bookmarkStart w:id="469" w:name="_Toc358975902"/>
      <w:bookmarkStart w:id="470" w:name="_Toc358976143"/>
      <w:bookmarkStart w:id="471" w:name="_Toc358980998"/>
      <w:bookmarkStart w:id="472" w:name="_Toc358981114"/>
      <w:bookmarkStart w:id="473" w:name="_Toc358982378"/>
      <w:bookmarkStart w:id="474" w:name="_Toc358982468"/>
      <w:bookmarkStart w:id="475" w:name="_Toc359239250"/>
      <w:bookmarkStart w:id="476" w:name="_Toc359239307"/>
      <w:bookmarkStart w:id="477" w:name="_Toc359252266"/>
      <w:bookmarkStart w:id="478" w:name="_Toc359326015"/>
      <w:bookmarkStart w:id="479" w:name="_Toc359333263"/>
      <w:bookmarkStart w:id="480" w:name="_Toc359339917"/>
      <w:bookmarkStart w:id="481" w:name="_Toc359343181"/>
      <w:bookmarkStart w:id="482" w:name="_Toc359346990"/>
      <w:bookmarkStart w:id="483" w:name="_Toc359598678"/>
      <w:bookmarkStart w:id="484" w:name="_Toc359853144"/>
      <w:bookmarkStart w:id="485" w:name="_Toc359853377"/>
      <w:bookmarkStart w:id="486" w:name="_Toc359853643"/>
      <w:bookmarkStart w:id="487" w:name="_Toc359858603"/>
      <w:bookmarkStart w:id="488" w:name="_Toc359859586"/>
      <w:bookmarkStart w:id="489" w:name="_Toc359940044"/>
      <w:bookmarkStart w:id="490" w:name="_Toc360025418"/>
      <w:bookmarkStart w:id="491" w:name="_Toc360107474"/>
      <w:bookmarkStart w:id="492" w:name="_Toc360111598"/>
      <w:bookmarkStart w:id="493" w:name="_Toc360172783"/>
      <w:bookmarkStart w:id="494" w:name="_Toc360186116"/>
      <w:bookmarkStart w:id="495" w:name="_Toc360186193"/>
      <w:bookmarkStart w:id="496" w:name="_Toc360186397"/>
      <w:bookmarkStart w:id="497" w:name="_Toc360186474"/>
      <w:bookmarkStart w:id="498" w:name="_Toc360187270"/>
      <w:bookmarkStart w:id="499" w:name="_Toc360187436"/>
      <w:bookmarkStart w:id="500" w:name="_Toc360208885"/>
      <w:bookmarkStart w:id="501" w:name="_Toc360212018"/>
      <w:bookmarkStart w:id="502" w:name="_Toc361663086"/>
      <w:bookmarkStart w:id="503" w:name="_Toc361857666"/>
      <w:bookmarkStart w:id="504" w:name="_Toc361918758"/>
      <w:bookmarkStart w:id="505" w:name="_Toc362272538"/>
      <w:r>
        <w:t xml:space="preserve">Proposed </w:t>
      </w:r>
      <w:r w:rsidRPr="00AE799A">
        <w:t>Measurements</w:t>
      </w:r>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r w:rsidRPr="00AE799A">
        <w:t xml:space="preserve"> </w:t>
      </w:r>
    </w:p>
    <w:p w14:paraId="5C0B1234" w14:textId="1E262FD5" w:rsidR="000627C7" w:rsidRPr="004F322C" w:rsidRDefault="000627C7" w:rsidP="0036678A">
      <w:pPr>
        <w:pStyle w:val="ParaNum"/>
        <w:rPr>
          <w:rStyle w:val="stylenumberedparagraphs11ptchar0"/>
        </w:rPr>
      </w:pPr>
      <w:bookmarkStart w:id="506" w:name="_Ref360204159"/>
      <w:r w:rsidRPr="00AE799A">
        <w:t xml:space="preserve">We seek comment on what performance measure or measures we should adopt to support the goal of maximizing the </w:t>
      </w:r>
      <w:r w:rsidRPr="004F322C">
        <w:rPr>
          <w:rStyle w:val="stylenumberedparagraphs11ptchar0"/>
        </w:rPr>
        <w:t xml:space="preserve">cost-effectiveness of purchases made using E-rate funds.  Should we measure the value delivered to schools and libraries with support from the E-rate program by tracking the prices and speed of the broadband connections supported by the program?  Should we measure an applicant’s costs </w:t>
      </w:r>
      <w:r w:rsidR="003D5731" w:rsidRPr="004F322C">
        <w:rPr>
          <w:rStyle w:val="stylenumberedparagraphs11ptchar0"/>
        </w:rPr>
        <w:t>per-student</w:t>
      </w:r>
      <w:r w:rsidRPr="004F322C">
        <w:rPr>
          <w:rStyle w:val="stylenumberedparagraphs11ptchar0"/>
        </w:rPr>
        <w:t xml:space="preserve"> and costs of products and services in comparison with other costs for products and services available in the marketplace?  Are there additional data we would need to require from applicants to track relevant measures, or are there existing data repositories we could use for this purpose?</w:t>
      </w:r>
      <w:bookmarkEnd w:id="506"/>
      <w:r w:rsidR="0036678A">
        <w:rPr>
          <w:rStyle w:val="stylenumberedparagraphs11ptchar0"/>
          <w:szCs w:val="22"/>
        </w:rPr>
        <w:t xml:space="preserve">  </w:t>
      </w:r>
      <w:r w:rsidR="0036678A" w:rsidRPr="0036678A">
        <w:t>Above, we seek comment on a number of possible affordability measures.  Should we use any of these to measure cost-effectiveness instead</w:t>
      </w:r>
      <w:r w:rsidR="003445A5">
        <w:t xml:space="preserve"> of</w:t>
      </w:r>
      <w:r w:rsidR="0036678A" w:rsidRPr="0036678A">
        <w:t>, or in addition to, affordability?</w:t>
      </w:r>
    </w:p>
    <w:p w14:paraId="76CC8D2E" w14:textId="6C676B60" w:rsidR="00F9076C" w:rsidRDefault="000627C7" w:rsidP="0036678A">
      <w:pPr>
        <w:pStyle w:val="ParaNum"/>
      </w:pPr>
      <w:r w:rsidRPr="004F322C">
        <w:rPr>
          <w:rStyle w:val="stylenumberedparagraphs11ptchar0"/>
        </w:rPr>
        <w:lastRenderedPageBreak/>
        <w:t xml:space="preserve"> </w:t>
      </w:r>
      <w:bookmarkStart w:id="507" w:name="_Ref360204166"/>
      <w:r w:rsidR="009C3A40" w:rsidRPr="004F322C">
        <w:rPr>
          <w:rStyle w:val="stylenumberedparagraphs11ptchar0"/>
        </w:rPr>
        <w:t>W</w:t>
      </w:r>
      <w:r w:rsidRPr="004F322C">
        <w:rPr>
          <w:rStyle w:val="stylenumberedparagraphs11ptchar0"/>
        </w:rPr>
        <w:t xml:space="preserve">hat </w:t>
      </w:r>
      <w:r w:rsidR="001A5640" w:rsidRPr="004F322C">
        <w:rPr>
          <w:rStyle w:val="stylenumberedparagraphs11ptchar0"/>
        </w:rPr>
        <w:t xml:space="preserve">data </w:t>
      </w:r>
      <w:r w:rsidR="009C3A40" w:rsidRPr="004F322C">
        <w:rPr>
          <w:rStyle w:val="stylenumberedparagraphs11ptchar0"/>
        </w:rPr>
        <w:t>will best allow us to track these metrics</w:t>
      </w:r>
      <w:r w:rsidRPr="004F322C">
        <w:rPr>
          <w:rStyle w:val="stylenumberedparagraphs11ptchar0"/>
        </w:rPr>
        <w:t xml:space="preserve">?  Should we encourage studies on the impact of E-rate support on prices paid for services?  </w:t>
      </w:r>
      <w:r w:rsidR="00076376" w:rsidRPr="004F322C">
        <w:rPr>
          <w:rStyle w:val="stylenumberedparagraphs11ptchar0"/>
        </w:rPr>
        <w:t>W</w:t>
      </w:r>
      <w:r w:rsidR="00900C20" w:rsidRPr="004F322C">
        <w:rPr>
          <w:rStyle w:val="stylenumberedparagraphs11ptchar0"/>
        </w:rPr>
        <w:t>e currently report on the results of USAC’s audits, and progress in reducing improper payments and waste, fraud and abuse</w:t>
      </w:r>
      <w:r w:rsidR="00076376" w:rsidRPr="004F322C">
        <w:rPr>
          <w:rStyle w:val="stylenumberedparagraphs11ptchar0"/>
        </w:rPr>
        <w:t>.</w:t>
      </w:r>
      <w:r w:rsidR="00900C20" w:rsidRPr="004F322C">
        <w:rPr>
          <w:rStyle w:val="stylenumberedparagraphs11ptchar0"/>
        </w:rPr>
        <w:t xml:space="preserve"> </w:t>
      </w:r>
      <w:r w:rsidR="00076376" w:rsidRPr="004F322C">
        <w:rPr>
          <w:rStyle w:val="stylenumberedparagraphs11ptchar0"/>
        </w:rPr>
        <w:t xml:space="preserve"> S</w:t>
      </w:r>
      <w:r w:rsidRPr="004F322C">
        <w:rPr>
          <w:rStyle w:val="stylenumberedparagraphs11ptchar0"/>
        </w:rPr>
        <w:t xml:space="preserve">hould we </w:t>
      </w:r>
      <w:r w:rsidR="00900C20" w:rsidRPr="004F322C">
        <w:rPr>
          <w:rStyle w:val="stylenumberedparagraphs11ptchar0"/>
        </w:rPr>
        <w:t xml:space="preserve">use this information as </w:t>
      </w:r>
      <w:r w:rsidRPr="004F322C">
        <w:rPr>
          <w:rStyle w:val="stylenumberedparagraphs11ptchar0"/>
        </w:rPr>
        <w:t>part of this measurement</w:t>
      </w:r>
      <w:r w:rsidRPr="000D6D9E">
        <w:t>?</w:t>
      </w:r>
      <w:bookmarkEnd w:id="507"/>
      <w:r w:rsidR="0036678A">
        <w:t xml:space="preserve">  </w:t>
      </w:r>
    </w:p>
    <w:p w14:paraId="61F5A25A" w14:textId="68F29AF3" w:rsidR="000627C7" w:rsidRPr="000D6D9E" w:rsidRDefault="00FA1084" w:rsidP="00B9652C">
      <w:pPr>
        <w:pStyle w:val="Heading2"/>
      </w:pPr>
      <w:bookmarkStart w:id="508" w:name="_Toc361663087"/>
      <w:bookmarkStart w:id="509" w:name="_Toc352078314"/>
      <w:bookmarkStart w:id="510" w:name="_Toc352078366"/>
      <w:bookmarkStart w:id="511" w:name="_Toc352078428"/>
      <w:bookmarkStart w:id="512" w:name="_Toc352079019"/>
      <w:bookmarkStart w:id="513" w:name="_Toc352080380"/>
      <w:bookmarkStart w:id="514" w:name="_Toc352139763"/>
      <w:bookmarkStart w:id="515" w:name="_Toc354478066"/>
      <w:bookmarkStart w:id="516" w:name="_Toc354478688"/>
      <w:bookmarkStart w:id="517" w:name="_Toc354660704"/>
      <w:bookmarkStart w:id="518" w:name="_Toc358208784"/>
      <w:bookmarkStart w:id="519" w:name="_Toc358210282"/>
      <w:bookmarkStart w:id="520" w:name="_Toc358210429"/>
      <w:bookmarkStart w:id="521" w:name="_Toc358210607"/>
      <w:bookmarkStart w:id="522" w:name="_Toc358210708"/>
      <w:bookmarkStart w:id="523" w:name="_Toc358213642"/>
      <w:bookmarkStart w:id="524" w:name="_Toc358213774"/>
      <w:bookmarkStart w:id="525" w:name="_Toc358301270"/>
      <w:bookmarkStart w:id="526" w:name="_Toc358720016"/>
      <w:bookmarkStart w:id="527" w:name="_Toc358971242"/>
      <w:bookmarkStart w:id="528" w:name="_Toc358974843"/>
      <w:bookmarkStart w:id="529" w:name="_Toc358975741"/>
      <w:bookmarkStart w:id="530" w:name="_Toc358975903"/>
      <w:bookmarkStart w:id="531" w:name="_Toc358976144"/>
      <w:bookmarkStart w:id="532" w:name="_Toc358980999"/>
      <w:bookmarkStart w:id="533" w:name="_Toc358981115"/>
      <w:bookmarkStart w:id="534" w:name="_Toc358982379"/>
      <w:bookmarkStart w:id="535" w:name="_Toc358982469"/>
      <w:bookmarkStart w:id="536" w:name="_Toc359239251"/>
      <w:bookmarkStart w:id="537" w:name="_Toc359239308"/>
      <w:bookmarkStart w:id="538" w:name="_Toc359252267"/>
      <w:bookmarkStart w:id="539" w:name="_Toc359326016"/>
      <w:bookmarkStart w:id="540" w:name="_Toc359333264"/>
      <w:bookmarkStart w:id="541" w:name="_Toc359339918"/>
      <w:bookmarkStart w:id="542" w:name="_Toc359343182"/>
      <w:bookmarkStart w:id="543" w:name="_Toc359346991"/>
      <w:bookmarkStart w:id="544" w:name="_Toc359598679"/>
      <w:bookmarkStart w:id="545" w:name="_Toc359853145"/>
      <w:bookmarkStart w:id="546" w:name="_Toc359853378"/>
      <w:bookmarkStart w:id="547" w:name="_Toc359853644"/>
      <w:bookmarkStart w:id="548" w:name="_Toc359858604"/>
      <w:bookmarkStart w:id="549" w:name="_Toc359859587"/>
      <w:bookmarkStart w:id="550" w:name="_Toc359940045"/>
      <w:bookmarkStart w:id="551" w:name="_Toc360025419"/>
      <w:bookmarkStart w:id="552" w:name="_Toc360107475"/>
      <w:bookmarkStart w:id="553" w:name="_Toc360111599"/>
      <w:bookmarkStart w:id="554" w:name="_Toc360172784"/>
      <w:bookmarkStart w:id="555" w:name="_Toc360186117"/>
      <w:bookmarkStart w:id="556" w:name="_Toc360186194"/>
      <w:bookmarkStart w:id="557" w:name="_Toc360186398"/>
      <w:bookmarkStart w:id="558" w:name="_Toc360186475"/>
      <w:bookmarkStart w:id="559" w:name="_Toc360187271"/>
      <w:bookmarkStart w:id="560" w:name="_Toc360187437"/>
      <w:bookmarkStart w:id="561" w:name="_Toc360208886"/>
      <w:bookmarkStart w:id="562" w:name="_Toc360212019"/>
      <w:bookmarkStart w:id="563" w:name="_Toc361663088"/>
      <w:bookmarkStart w:id="564" w:name="_Toc361857667"/>
      <w:bookmarkStart w:id="565" w:name="_Toc361918759"/>
      <w:bookmarkStart w:id="566" w:name="_Toc362272539"/>
      <w:bookmarkEnd w:id="508"/>
      <w:r>
        <w:t>Streamlining</w:t>
      </w:r>
      <w:r w:rsidR="000627C7" w:rsidRPr="000D6D9E">
        <w:t xml:space="preserve"> the </w:t>
      </w:r>
      <w:r>
        <w:t xml:space="preserve">Administration </w:t>
      </w:r>
      <w:r w:rsidR="000627C7" w:rsidRPr="000D6D9E">
        <w:t>of the E-rate Program</w:t>
      </w:r>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p>
    <w:p w14:paraId="27624930" w14:textId="77777777" w:rsidR="000627C7" w:rsidRPr="00F9076C" w:rsidRDefault="000627C7" w:rsidP="004F322C">
      <w:pPr>
        <w:pStyle w:val="Heading3"/>
      </w:pPr>
      <w:bookmarkStart w:id="567" w:name="_Toc352078315"/>
      <w:bookmarkStart w:id="568" w:name="_Toc352078367"/>
      <w:bookmarkStart w:id="569" w:name="_Toc352078429"/>
      <w:bookmarkStart w:id="570" w:name="_Toc352079020"/>
      <w:bookmarkStart w:id="571" w:name="_Toc352080381"/>
      <w:bookmarkStart w:id="572" w:name="_Toc352139764"/>
      <w:bookmarkStart w:id="573" w:name="_Toc354478067"/>
      <w:bookmarkStart w:id="574" w:name="_Toc354478689"/>
      <w:bookmarkStart w:id="575" w:name="_Toc354660705"/>
      <w:bookmarkStart w:id="576" w:name="_Toc358208785"/>
      <w:bookmarkStart w:id="577" w:name="_Toc358210283"/>
      <w:bookmarkStart w:id="578" w:name="_Toc358210430"/>
      <w:bookmarkStart w:id="579" w:name="_Toc358210608"/>
      <w:bookmarkStart w:id="580" w:name="_Toc358210709"/>
      <w:bookmarkStart w:id="581" w:name="_Toc358213643"/>
      <w:bookmarkStart w:id="582" w:name="_Toc358213775"/>
      <w:bookmarkStart w:id="583" w:name="_Toc358301271"/>
      <w:bookmarkStart w:id="584" w:name="_Toc358720017"/>
      <w:bookmarkStart w:id="585" w:name="_Toc358971243"/>
      <w:bookmarkStart w:id="586" w:name="_Toc358974844"/>
      <w:bookmarkStart w:id="587" w:name="_Toc358975742"/>
      <w:bookmarkStart w:id="588" w:name="_Toc358975904"/>
      <w:bookmarkStart w:id="589" w:name="_Toc358976145"/>
      <w:bookmarkStart w:id="590" w:name="_Toc358981000"/>
      <w:bookmarkStart w:id="591" w:name="_Toc358981116"/>
      <w:bookmarkStart w:id="592" w:name="_Toc358982380"/>
      <w:bookmarkStart w:id="593" w:name="_Toc358982470"/>
      <w:bookmarkStart w:id="594" w:name="_Toc359239252"/>
      <w:bookmarkStart w:id="595" w:name="_Toc359239309"/>
      <w:bookmarkStart w:id="596" w:name="_Toc359252268"/>
      <w:bookmarkStart w:id="597" w:name="_Toc359326017"/>
      <w:bookmarkStart w:id="598" w:name="_Toc359333265"/>
      <w:bookmarkStart w:id="599" w:name="_Toc359339919"/>
      <w:bookmarkStart w:id="600" w:name="_Toc359343183"/>
      <w:bookmarkStart w:id="601" w:name="_Toc359346992"/>
      <w:bookmarkStart w:id="602" w:name="_Toc359598680"/>
      <w:bookmarkStart w:id="603" w:name="_Toc359853146"/>
      <w:bookmarkStart w:id="604" w:name="_Toc359853379"/>
      <w:bookmarkStart w:id="605" w:name="_Toc359853645"/>
      <w:bookmarkStart w:id="606" w:name="_Toc359858605"/>
      <w:bookmarkStart w:id="607" w:name="_Toc359859588"/>
      <w:bookmarkStart w:id="608" w:name="_Toc359940046"/>
      <w:bookmarkStart w:id="609" w:name="_Toc360025420"/>
      <w:bookmarkStart w:id="610" w:name="_Toc360107476"/>
      <w:bookmarkStart w:id="611" w:name="_Toc360111600"/>
      <w:bookmarkStart w:id="612" w:name="_Toc360172785"/>
      <w:bookmarkStart w:id="613" w:name="_Toc360186118"/>
      <w:bookmarkStart w:id="614" w:name="_Toc360186195"/>
      <w:bookmarkStart w:id="615" w:name="_Toc360186399"/>
      <w:bookmarkStart w:id="616" w:name="_Toc360186476"/>
      <w:bookmarkStart w:id="617" w:name="_Toc360187272"/>
      <w:bookmarkStart w:id="618" w:name="_Toc360187438"/>
      <w:bookmarkStart w:id="619" w:name="_Toc360208887"/>
      <w:bookmarkStart w:id="620" w:name="_Toc360212020"/>
      <w:bookmarkStart w:id="621" w:name="_Toc361663089"/>
      <w:bookmarkStart w:id="622" w:name="_Toc361857668"/>
      <w:bookmarkStart w:id="623" w:name="_Toc361918760"/>
      <w:bookmarkStart w:id="624" w:name="_Toc362272540"/>
      <w:r w:rsidRPr="00F9076C">
        <w:t>Proposed Goal</w:t>
      </w:r>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r w:rsidRPr="00F9076C">
        <w:t xml:space="preserve"> </w:t>
      </w:r>
    </w:p>
    <w:p w14:paraId="262C94DF" w14:textId="21A3F14C" w:rsidR="00F9076C" w:rsidRPr="004F322C" w:rsidRDefault="00F9076C" w:rsidP="00F9076C">
      <w:pPr>
        <w:pStyle w:val="ParaNum"/>
      </w:pPr>
      <w:r>
        <w:t>We propose to adopt</w:t>
      </w:r>
      <w:r w:rsidRPr="00A558CB">
        <w:t>, as the third goal of the E-rate program, to streamline the administration of the</w:t>
      </w:r>
      <w:r w:rsidRPr="000D6D9E">
        <w:t xml:space="preserve"> E-rate program. </w:t>
      </w:r>
      <w:r w:rsidR="003A39BC">
        <w:t xml:space="preserve"> </w:t>
      </w:r>
      <w:r w:rsidRPr="000D6D9E">
        <w:rPr>
          <w:rStyle w:val="stylenumberedparagraphs11ptchar0"/>
          <w:rFonts w:cs="Arial"/>
          <w:szCs w:val="22"/>
        </w:rPr>
        <w:t xml:space="preserve">The number of applications the Administrator, </w:t>
      </w:r>
      <w:r w:rsidRPr="002F34FB">
        <w:rPr>
          <w:rStyle w:val="stylenumberedparagraphs11ptchar0"/>
          <w:szCs w:val="22"/>
        </w:rPr>
        <w:t>USAC</w:t>
      </w:r>
      <w:r w:rsidR="005814BB">
        <w:rPr>
          <w:rStyle w:val="stylenumberedparagraphs11ptchar0"/>
          <w:szCs w:val="22"/>
        </w:rPr>
        <w:t>,</w:t>
      </w:r>
      <w:r w:rsidRPr="002F34FB">
        <w:rPr>
          <w:rStyle w:val="stylenumberedparagraphs11ptchar0"/>
          <w:szCs w:val="22"/>
        </w:rPr>
        <w:t xml:space="preserve"> receives from schools and libraries see</w:t>
      </w:r>
      <w:r w:rsidRPr="005C0814">
        <w:rPr>
          <w:rStyle w:val="stylenumberedparagraphs11ptchar0"/>
          <w:szCs w:val="22"/>
        </w:rPr>
        <w:t>king E-rate support is daunting.  For example, in funding year 2013, at the close of the application filing window, USAC received 46,189 applications seeking an estimated $4.986 billion in support.</w:t>
      </w:r>
      <w:r w:rsidRPr="008B7F95">
        <w:rPr>
          <w:rStyle w:val="FootnoteReference"/>
          <w:szCs w:val="22"/>
        </w:rPr>
        <w:footnoteReference w:id="69"/>
      </w:r>
      <w:r w:rsidRPr="002F34FB">
        <w:rPr>
          <w:rStyle w:val="stylenumberedparagraphs11ptchar0"/>
          <w:szCs w:val="22"/>
        </w:rPr>
        <w:t xml:space="preserve">  In some cases applicants request more in funding commitm</w:t>
      </w:r>
      <w:r w:rsidRPr="0036678A">
        <w:rPr>
          <w:rStyle w:val="stylenumberedparagraphs11ptchar0"/>
          <w:szCs w:val="22"/>
        </w:rPr>
        <w:t xml:space="preserve">ents than they actually use, and there is no requirement or incentive for applicants to notify USAC in a timely fashion that they have received funding commitments that they will not use.  Moreover, the application and disbursement processes are complicated, so that many schools and libraries now feel compelled to spend money on E-rate consultants just to navigate the E-rate processes.  Thus, it is essential that we continue to improve the E-rate program procedures and continue to simplify and streamline the program’s application review and disbursement processes. </w:t>
      </w:r>
      <w:r w:rsidRPr="004F322C">
        <w:t xml:space="preserve"> </w:t>
      </w:r>
      <w:r w:rsidRPr="000D6D9E">
        <w:t xml:space="preserve">   </w:t>
      </w:r>
    </w:p>
    <w:p w14:paraId="5B76E378" w14:textId="4AC7AF3D" w:rsidR="000627C7" w:rsidRPr="00AE799A" w:rsidRDefault="000627C7" w:rsidP="005C0814">
      <w:pPr>
        <w:pStyle w:val="ParaNum"/>
      </w:pPr>
      <w:r w:rsidRPr="002F34FB">
        <w:rPr>
          <w:rStyle w:val="stylenumberedparagraphs11ptchar0"/>
          <w:szCs w:val="22"/>
        </w:rPr>
        <w:t>T</w:t>
      </w:r>
      <w:r w:rsidRPr="004F322C">
        <w:rPr>
          <w:rStyle w:val="stylenumberedparagraphs11ptchar0"/>
        </w:rPr>
        <w:t xml:space="preserve">his goal therefore includes further streamlining and simplification of the application, review, commitment and disbursement processes, in order to make the most of E-rate funding and accelerate the delivery of support for </w:t>
      </w:r>
      <w:r w:rsidR="00AE5162" w:rsidRPr="004F322C">
        <w:rPr>
          <w:rStyle w:val="stylenumberedparagraphs11ptchar0"/>
        </w:rPr>
        <w:t>high-capacity broadband</w:t>
      </w:r>
      <w:r w:rsidRPr="004F322C">
        <w:rPr>
          <w:rStyle w:val="stylenumberedparagraphs11ptchar0"/>
        </w:rPr>
        <w:t xml:space="preserve"> at speeds that will support digital learning, while maintaining appropriate safeguards against waste and abuse.</w:t>
      </w:r>
      <w:r w:rsidRPr="008B7F95">
        <w:rPr>
          <w:rStyle w:val="FootnoteReference"/>
          <w:szCs w:val="22"/>
        </w:rPr>
        <w:footnoteReference w:id="70"/>
      </w:r>
      <w:r w:rsidRPr="004F322C">
        <w:rPr>
          <w:rStyle w:val="stylenumberedparagraphs11ptchar0"/>
        </w:rPr>
        <w:t xml:space="preserve"> </w:t>
      </w:r>
      <w:r w:rsidR="002F4333">
        <w:rPr>
          <w:rStyle w:val="stylenumberedparagraphs11ptchar0"/>
        </w:rPr>
        <w:t xml:space="preserve"> </w:t>
      </w:r>
      <w:r w:rsidRPr="004F322C">
        <w:rPr>
          <w:rStyle w:val="stylenumberedparagraphs11ptchar0"/>
        </w:rPr>
        <w:t xml:space="preserve">We seek comment on this proposed goal.  We are mindful that the Commission and USAC have a duty to </w:t>
      </w:r>
      <w:r w:rsidR="00B12A21" w:rsidRPr="004F322C">
        <w:rPr>
          <w:rStyle w:val="stylenumberedparagraphs11ptchar0"/>
        </w:rPr>
        <w:t xml:space="preserve">protect against </w:t>
      </w:r>
      <w:r w:rsidRPr="004F322C">
        <w:rPr>
          <w:rStyle w:val="stylenumberedparagraphs11ptchar0"/>
        </w:rPr>
        <w:t>waste, fraud and abuse in the program and that the procedures intended to protect against waste, fraud and abuse can complicate and slow down program</w:t>
      </w:r>
      <w:r w:rsidRPr="00AE799A">
        <w:t xml:space="preserve"> administration.  Therefore, we also seek comment on ways to reconcile the need to simplify the program with the need to protect against waste, fraud and abuse.   </w:t>
      </w:r>
    </w:p>
    <w:p w14:paraId="7B0148FC" w14:textId="77777777" w:rsidR="000627C7" w:rsidRPr="00AE799A" w:rsidRDefault="000627C7" w:rsidP="001E128A">
      <w:pPr>
        <w:pStyle w:val="Heading3"/>
        <w:keepNext w:val="0"/>
      </w:pPr>
      <w:bookmarkStart w:id="625" w:name="_Toc352078316"/>
      <w:bookmarkStart w:id="626" w:name="_Toc352078368"/>
      <w:bookmarkStart w:id="627" w:name="_Toc352078430"/>
      <w:bookmarkStart w:id="628" w:name="_Toc352079021"/>
      <w:bookmarkStart w:id="629" w:name="_Toc352080382"/>
      <w:bookmarkStart w:id="630" w:name="_Toc352139765"/>
      <w:bookmarkStart w:id="631" w:name="_Toc354478068"/>
      <w:bookmarkStart w:id="632" w:name="_Toc354478690"/>
      <w:bookmarkStart w:id="633" w:name="_Toc354660706"/>
      <w:bookmarkStart w:id="634" w:name="_Toc358208786"/>
      <w:bookmarkStart w:id="635" w:name="_Toc358210284"/>
      <w:bookmarkStart w:id="636" w:name="_Toc358210431"/>
      <w:bookmarkStart w:id="637" w:name="_Toc358210609"/>
      <w:bookmarkStart w:id="638" w:name="_Toc358210710"/>
      <w:bookmarkStart w:id="639" w:name="_Toc358213644"/>
      <w:bookmarkStart w:id="640" w:name="_Toc358213776"/>
      <w:bookmarkStart w:id="641" w:name="_Toc358301272"/>
      <w:bookmarkStart w:id="642" w:name="_Toc358720018"/>
      <w:bookmarkStart w:id="643" w:name="_Toc358971244"/>
      <w:bookmarkStart w:id="644" w:name="_Toc358974845"/>
      <w:bookmarkStart w:id="645" w:name="_Toc358975743"/>
      <w:bookmarkStart w:id="646" w:name="_Toc358975905"/>
      <w:bookmarkStart w:id="647" w:name="_Toc358976146"/>
      <w:bookmarkStart w:id="648" w:name="_Toc358981001"/>
      <w:bookmarkStart w:id="649" w:name="_Toc358981117"/>
      <w:bookmarkStart w:id="650" w:name="_Toc358982381"/>
      <w:bookmarkStart w:id="651" w:name="_Toc358982471"/>
      <w:bookmarkStart w:id="652" w:name="_Toc359239253"/>
      <w:bookmarkStart w:id="653" w:name="_Toc359239310"/>
      <w:bookmarkStart w:id="654" w:name="_Toc359252269"/>
      <w:bookmarkStart w:id="655" w:name="_Toc359326018"/>
      <w:bookmarkStart w:id="656" w:name="_Toc359333266"/>
      <w:bookmarkStart w:id="657" w:name="_Toc359339920"/>
      <w:bookmarkStart w:id="658" w:name="_Toc359343184"/>
      <w:bookmarkStart w:id="659" w:name="_Toc359346993"/>
      <w:bookmarkStart w:id="660" w:name="_Toc359598681"/>
      <w:bookmarkStart w:id="661" w:name="_Toc359853147"/>
      <w:bookmarkStart w:id="662" w:name="_Toc359853380"/>
      <w:bookmarkStart w:id="663" w:name="_Toc359853646"/>
      <w:bookmarkStart w:id="664" w:name="_Toc359858606"/>
      <w:bookmarkStart w:id="665" w:name="_Toc359859589"/>
      <w:bookmarkStart w:id="666" w:name="_Toc359940047"/>
      <w:bookmarkStart w:id="667" w:name="_Toc360025421"/>
      <w:bookmarkStart w:id="668" w:name="_Toc360107477"/>
      <w:bookmarkStart w:id="669" w:name="_Toc360111601"/>
      <w:bookmarkStart w:id="670" w:name="_Toc360172786"/>
      <w:bookmarkStart w:id="671" w:name="_Toc360186119"/>
      <w:bookmarkStart w:id="672" w:name="_Toc360186196"/>
      <w:bookmarkStart w:id="673" w:name="_Toc360186400"/>
      <w:bookmarkStart w:id="674" w:name="_Toc360186477"/>
      <w:bookmarkStart w:id="675" w:name="_Toc360187273"/>
      <w:bookmarkStart w:id="676" w:name="_Toc360187439"/>
      <w:bookmarkStart w:id="677" w:name="_Toc360208888"/>
      <w:bookmarkStart w:id="678" w:name="_Toc360212021"/>
      <w:bookmarkStart w:id="679" w:name="_Toc361663090"/>
      <w:bookmarkStart w:id="680" w:name="_Toc361857669"/>
      <w:bookmarkStart w:id="681" w:name="_Toc361918761"/>
      <w:bookmarkStart w:id="682" w:name="_Toc362272541"/>
      <w:r>
        <w:t xml:space="preserve">Proposed </w:t>
      </w:r>
      <w:r w:rsidRPr="00AE799A">
        <w:t>Measurements</w:t>
      </w:r>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r w:rsidRPr="00AE799A">
        <w:t xml:space="preserve">  </w:t>
      </w:r>
    </w:p>
    <w:p w14:paraId="7B59E168" w14:textId="2EBB5605" w:rsidR="000627C7" w:rsidRPr="004F322C" w:rsidRDefault="000627C7" w:rsidP="002F34FB">
      <w:pPr>
        <w:pStyle w:val="ParaNum"/>
        <w:rPr>
          <w:rStyle w:val="stylenumberedparagraphs11ptchar0"/>
        </w:rPr>
      </w:pPr>
      <w:bookmarkStart w:id="683" w:name="_Ref360204193"/>
      <w:r w:rsidRPr="002A23A9">
        <w:t>We seek comment on what performance measure or measures we should adopt to support the proposed goal of</w:t>
      </w:r>
      <w:r w:rsidR="003D0CB2">
        <w:t xml:space="preserve"> </w:t>
      </w:r>
      <w:r w:rsidR="003D0CB2" w:rsidRPr="004F322C">
        <w:rPr>
          <w:rStyle w:val="stylenumberedparagraphs11ptchar0"/>
        </w:rPr>
        <w:lastRenderedPageBreak/>
        <w:t xml:space="preserve">streamlining the administration </w:t>
      </w:r>
      <w:r w:rsidRPr="004F322C">
        <w:rPr>
          <w:rStyle w:val="stylenumberedparagraphs11ptchar0"/>
        </w:rPr>
        <w:t>of the E-rate program.  In 2007, the Commission adopted certain output measurements for evaluating the effectiveness of the E-rate program related to the application and invoicing processes and the resolution of appeals submitted to USAC.</w:t>
      </w:r>
      <w:r w:rsidRPr="008A6123">
        <w:rPr>
          <w:rStyle w:val="FootnoteReference"/>
        </w:rPr>
        <w:footnoteReference w:id="71"/>
      </w:r>
      <w:r w:rsidRPr="008A6123">
        <w:rPr>
          <w:rStyle w:val="FootnoteReference"/>
        </w:rPr>
        <w:t xml:space="preserve"> </w:t>
      </w:r>
      <w:r w:rsidRPr="004F322C">
        <w:rPr>
          <w:rStyle w:val="stylenumberedparagraphs11ptchar0"/>
        </w:rPr>
        <w:t xml:space="preserve"> Specifically, the Commission required USAC to provide data, on a funding year basis</w:t>
      </w:r>
      <w:r w:rsidR="002F4333">
        <w:rPr>
          <w:rStyle w:val="stylenumberedparagraphs11ptchar0"/>
        </w:rPr>
        <w:t xml:space="preserve"> by</w:t>
      </w:r>
      <w:r w:rsidRPr="004F322C">
        <w:rPr>
          <w:rStyle w:val="stylenumberedparagraphs11ptchar0"/>
        </w:rPr>
        <w:t xml:space="preserve"> reporting the number of applications and funding request numbers (FRNs) submitted, rejected, and granted, and the processing time for applications and FRNs.</w:t>
      </w:r>
      <w:r w:rsidRPr="008B7F95">
        <w:rPr>
          <w:rStyle w:val="FootnoteReference"/>
          <w:szCs w:val="22"/>
        </w:rPr>
        <w:footnoteReference w:id="72"/>
      </w:r>
      <w:r w:rsidRPr="008A6123">
        <w:rPr>
          <w:rStyle w:val="FootnoteReference"/>
        </w:rPr>
        <w:t xml:space="preserve"> </w:t>
      </w:r>
      <w:r w:rsidRPr="004F322C">
        <w:rPr>
          <w:rStyle w:val="stylenumberedparagraphs11ptchar0"/>
        </w:rPr>
        <w:t xml:space="preserve"> The Commission also required USAC to document the amount of time it takes to make a billed entity applicant reimbursement payment to the service provider, and the number of paid and rejected invoices.</w:t>
      </w:r>
      <w:r w:rsidRPr="008B7F95">
        <w:rPr>
          <w:rStyle w:val="FootnoteReference"/>
          <w:szCs w:val="22"/>
        </w:rPr>
        <w:footnoteReference w:id="73"/>
      </w:r>
      <w:r w:rsidRPr="008A6123">
        <w:rPr>
          <w:rStyle w:val="FootnoteReference"/>
        </w:rPr>
        <w:t xml:space="preserve">  </w:t>
      </w:r>
      <w:r w:rsidRPr="004F322C">
        <w:rPr>
          <w:rStyle w:val="stylenumberedparagraphs11ptchar0"/>
        </w:rPr>
        <w:t>Additionally, the Commission required USAC to determine the percentage of appeals resolved by USAC within 90 days from the date of appeal, and how long it takes to process 50 percent, 75 percent, and 100 percent of the pending appeals from the schools and libraries division.</w:t>
      </w:r>
      <w:r w:rsidRPr="008B7F95">
        <w:rPr>
          <w:rStyle w:val="FootnoteReference"/>
          <w:szCs w:val="22"/>
        </w:rPr>
        <w:footnoteReference w:id="74"/>
      </w:r>
      <w:bookmarkEnd w:id="683"/>
      <w:r w:rsidRPr="008A6123">
        <w:rPr>
          <w:rStyle w:val="FootnoteReference"/>
        </w:rPr>
        <w:t xml:space="preserve"> </w:t>
      </w:r>
      <w:r w:rsidRPr="004F322C">
        <w:rPr>
          <w:rStyle w:val="stylenumberedparagraphs11ptchar0"/>
        </w:rPr>
        <w:t xml:space="preserve"> </w:t>
      </w:r>
    </w:p>
    <w:p w14:paraId="42294858" w14:textId="5897B494" w:rsidR="00320469" w:rsidRPr="004F322C" w:rsidRDefault="00320469" w:rsidP="0036678A">
      <w:pPr>
        <w:pStyle w:val="ParaNum"/>
        <w:rPr>
          <w:rStyle w:val="stylenumberedparagraphs11ptchar0"/>
        </w:rPr>
      </w:pPr>
      <w:r w:rsidRPr="004F322C">
        <w:rPr>
          <w:rStyle w:val="stylenumberedparagraphs11ptchar0"/>
        </w:rPr>
        <w:t>What additional measurements should we adopt?  The State E-rate Coordinators Alliance (SECA) previously suggested establishing deadlines for making priority one funding commitments and the payment of invoices.</w:t>
      </w:r>
      <w:r w:rsidRPr="008B7F95">
        <w:rPr>
          <w:rStyle w:val="FootnoteReference"/>
          <w:szCs w:val="22"/>
        </w:rPr>
        <w:footnoteReference w:id="75"/>
      </w:r>
      <w:r w:rsidRPr="004F322C">
        <w:rPr>
          <w:rStyle w:val="stylenumberedparagraphs11ptchar0"/>
        </w:rPr>
        <w:t xml:space="preserve">  As noted above, the Commission currently requires USAC to report data measures for commitments, disbursements and appeals.  Should specific targets be established for each of those categories?  If so, how should we establish those targets? </w:t>
      </w:r>
      <w:r w:rsidR="00574A33">
        <w:rPr>
          <w:rStyle w:val="stylenumberedparagraphs11ptchar0"/>
        </w:rPr>
        <w:t xml:space="preserve"> </w:t>
      </w:r>
      <w:r w:rsidRPr="004F322C">
        <w:rPr>
          <w:rStyle w:val="stylenumberedparagraphs11ptchar0"/>
        </w:rPr>
        <w:t xml:space="preserve">Should we require USAC to improve on those targets each year or to maintain a certain level of performance?      </w:t>
      </w:r>
    </w:p>
    <w:p w14:paraId="44C931A8" w14:textId="1D6119B5" w:rsidR="00320469" w:rsidRPr="004F322C" w:rsidRDefault="00320469" w:rsidP="0036678A">
      <w:pPr>
        <w:pStyle w:val="ParaNum"/>
        <w:rPr>
          <w:rStyle w:val="stylenumberedparagraphs11ptchar0"/>
        </w:rPr>
      </w:pPr>
      <w:r w:rsidRPr="004F322C">
        <w:rPr>
          <w:rStyle w:val="stylenumberedparagraphs11ptchar0"/>
        </w:rPr>
        <w:t>Should we set goals for funding commitments by USAC to applicants as compared to actual disbursements by funding year?  In addition, how should we ensure the administrative budget is appropriate for the program?  Should we establish targets for the cost of administering the program compared to the program funds disbursed to recipients</w:t>
      </w:r>
      <w:r w:rsidR="004F7AF6" w:rsidRPr="004F322C">
        <w:rPr>
          <w:rStyle w:val="stylenumberedparagraphs11ptchar0"/>
        </w:rPr>
        <w:t>?</w:t>
      </w:r>
      <w:r w:rsidRPr="008B7F95">
        <w:rPr>
          <w:rStyle w:val="FootnoteReference"/>
          <w:szCs w:val="22"/>
        </w:rPr>
        <w:footnoteReference w:id="76"/>
      </w:r>
      <w:r w:rsidRPr="008A6123">
        <w:rPr>
          <w:rStyle w:val="FootnoteReference"/>
        </w:rPr>
        <w:t xml:space="preserve"> </w:t>
      </w:r>
      <w:r w:rsidR="000F4BE2" w:rsidRPr="004F322C">
        <w:rPr>
          <w:rStyle w:val="stylenumberedparagraphs11ptchar0"/>
        </w:rPr>
        <w:t xml:space="preserve"> Should we measure</w:t>
      </w:r>
      <w:r w:rsidRPr="004F322C">
        <w:rPr>
          <w:rStyle w:val="stylenumberedparagraphs11ptchar0"/>
        </w:rPr>
        <w:t xml:space="preserve"> the number of students and patrons served with E-rate funding over a specified period of time?  If so, what should we compare the results to?  For example, should we compare it to other federal programs that administer the disbursement of subsidies, such as other USF </w:t>
      </w:r>
      <w:r w:rsidRPr="004F322C">
        <w:rPr>
          <w:rStyle w:val="stylenumberedparagraphs11ptchar0"/>
        </w:rPr>
        <w:lastRenderedPageBreak/>
        <w:t xml:space="preserve">programs, the Broadband Technology Opportunities Program (BTOP) or educational grant programs?  </w:t>
      </w:r>
    </w:p>
    <w:p w14:paraId="7582E420" w14:textId="3123E7C8" w:rsidR="000627C7" w:rsidRPr="004F322C" w:rsidRDefault="00320469" w:rsidP="0036678A">
      <w:pPr>
        <w:pStyle w:val="ParaNum"/>
        <w:rPr>
          <w:rStyle w:val="stylenumberedparagraphs11ptchar0"/>
        </w:rPr>
      </w:pPr>
      <w:r w:rsidRPr="004F322C">
        <w:rPr>
          <w:rStyle w:val="stylenumberedparagraphs11ptchar0"/>
        </w:rPr>
        <w:t>We also seek comment on whether we should adopt a proposal by SECA that USAC be required to retain an independent third party to perform an annual analysis of the barriers to schools and libraries participating in the E-rate program.</w:t>
      </w:r>
      <w:r w:rsidRPr="008B7F95">
        <w:rPr>
          <w:rStyle w:val="FootnoteReference"/>
          <w:szCs w:val="22"/>
        </w:rPr>
        <w:footnoteReference w:id="77"/>
      </w:r>
      <w:r w:rsidRPr="008A6123">
        <w:rPr>
          <w:rStyle w:val="FootnoteReference"/>
        </w:rPr>
        <w:t xml:space="preserve"> </w:t>
      </w:r>
      <w:r w:rsidRPr="004F322C">
        <w:rPr>
          <w:rStyle w:val="stylenumberedparagraphs11ptchar0"/>
        </w:rPr>
        <w:t xml:space="preserve"> If such an analysis is warranted, should it be performed annually, as proposed, or on some other </w:t>
      </w:r>
      <w:r w:rsidR="00834F54" w:rsidRPr="004F322C">
        <w:rPr>
          <w:rStyle w:val="stylenumberedparagraphs11ptchar0"/>
        </w:rPr>
        <w:t>time period</w:t>
      </w:r>
      <w:r w:rsidRPr="004F322C">
        <w:rPr>
          <w:rStyle w:val="stylenumberedparagraphs11ptchar0"/>
        </w:rPr>
        <w:t xml:space="preserve">, such as every three years?  </w:t>
      </w:r>
    </w:p>
    <w:p w14:paraId="1AD133B5" w14:textId="74DDE5EF" w:rsidR="00325405" w:rsidRPr="004F322C" w:rsidRDefault="00B84D9C" w:rsidP="0036678A">
      <w:pPr>
        <w:pStyle w:val="ParaNum"/>
        <w:rPr>
          <w:rStyle w:val="stylenumberedparagraphs11ptchar0"/>
        </w:rPr>
      </w:pPr>
      <w:bookmarkStart w:id="684" w:name="_Ref360204205"/>
      <w:r w:rsidRPr="004F322C">
        <w:rPr>
          <w:rStyle w:val="stylenumberedparagraphs11ptchar0"/>
        </w:rPr>
        <w:t xml:space="preserve">We are also mindful </w:t>
      </w:r>
      <w:r w:rsidR="00A06548" w:rsidRPr="004F322C">
        <w:rPr>
          <w:rStyle w:val="stylenumberedparagraphs11ptchar0"/>
        </w:rPr>
        <w:t xml:space="preserve">of the cost to applicants associated with participating in this program and we seek ways to reduce and measure these costs.  </w:t>
      </w:r>
      <w:r w:rsidR="00A40491" w:rsidRPr="004F322C">
        <w:rPr>
          <w:rStyle w:val="stylenumberedparagraphs11ptchar0"/>
        </w:rPr>
        <w:t xml:space="preserve">Should we collect data regarding administrative costs E-rate applicants incur throughout the application process?  </w:t>
      </w:r>
      <w:r w:rsidR="00A06548" w:rsidRPr="004F322C">
        <w:rPr>
          <w:rStyle w:val="stylenumberedparagraphs11ptchar0"/>
        </w:rPr>
        <w:t xml:space="preserve">If so, what are the best methods to obtain that data?  </w:t>
      </w:r>
      <w:r w:rsidR="00A40491" w:rsidRPr="004F322C">
        <w:rPr>
          <w:rStyle w:val="stylenumberedparagraphs11ptchar0"/>
        </w:rPr>
        <w:t xml:space="preserve">Should applicants be required to disclose </w:t>
      </w:r>
      <w:r w:rsidR="00A06548" w:rsidRPr="004F322C">
        <w:rPr>
          <w:rStyle w:val="stylenumberedparagraphs11ptchar0"/>
        </w:rPr>
        <w:t>on a</w:t>
      </w:r>
      <w:r w:rsidR="00B12A21" w:rsidRPr="004F322C">
        <w:rPr>
          <w:rStyle w:val="stylenumberedparagraphs11ptchar0"/>
        </w:rPr>
        <w:t>n</w:t>
      </w:r>
      <w:r w:rsidR="00A06548" w:rsidRPr="004F322C">
        <w:rPr>
          <w:rStyle w:val="stylenumberedparagraphs11ptchar0"/>
        </w:rPr>
        <w:t xml:space="preserve"> FCC </w:t>
      </w:r>
      <w:r w:rsidR="00B12A21" w:rsidRPr="004F322C">
        <w:rPr>
          <w:rStyle w:val="stylenumberedparagraphs11ptchar0"/>
        </w:rPr>
        <w:t>f</w:t>
      </w:r>
      <w:r w:rsidR="00A06548" w:rsidRPr="004F322C">
        <w:rPr>
          <w:rStyle w:val="stylenumberedparagraphs11ptchar0"/>
        </w:rPr>
        <w:t xml:space="preserve">orm </w:t>
      </w:r>
      <w:r w:rsidR="00A40491" w:rsidRPr="004F322C">
        <w:rPr>
          <w:rStyle w:val="stylenumberedparagraphs11ptchar0"/>
        </w:rPr>
        <w:t xml:space="preserve">the amount of time </w:t>
      </w:r>
      <w:r w:rsidR="00A06548" w:rsidRPr="004F322C">
        <w:rPr>
          <w:rStyle w:val="stylenumberedparagraphs11ptchar0"/>
        </w:rPr>
        <w:t xml:space="preserve">and cost </w:t>
      </w:r>
      <w:r w:rsidR="00A40491" w:rsidRPr="004F322C">
        <w:rPr>
          <w:rStyle w:val="stylenumberedparagraphs11ptchar0"/>
        </w:rPr>
        <w:t>spent preparing an application</w:t>
      </w:r>
      <w:r w:rsidR="00A06548" w:rsidRPr="004F322C">
        <w:rPr>
          <w:rStyle w:val="stylenumberedparagraphs11ptchar0"/>
        </w:rPr>
        <w:t>?  Should we instead consider a survey or sample of participants to obtain this and other information relevant to determine the financial impact including, for example, the</w:t>
      </w:r>
      <w:r w:rsidR="00A40491" w:rsidRPr="004F322C">
        <w:rPr>
          <w:rStyle w:val="stylenumberedparagraphs11ptchar0"/>
        </w:rPr>
        <w:t xml:space="preserve"> cost of hiring an E-rate consultant?</w:t>
      </w:r>
      <w:bookmarkEnd w:id="684"/>
      <w:r w:rsidR="00A40491" w:rsidRPr="004F322C">
        <w:rPr>
          <w:rStyle w:val="stylenumberedparagraphs11ptchar0"/>
        </w:rPr>
        <w:t xml:space="preserve"> </w:t>
      </w:r>
      <w:bookmarkStart w:id="685" w:name="_Toc358208787"/>
      <w:bookmarkStart w:id="686" w:name="_Toc358210285"/>
      <w:bookmarkStart w:id="687" w:name="_Toc358210432"/>
      <w:bookmarkStart w:id="688" w:name="_Toc358210610"/>
      <w:bookmarkStart w:id="689" w:name="_Toc358210711"/>
      <w:bookmarkStart w:id="690" w:name="_Toc358213645"/>
      <w:bookmarkStart w:id="691" w:name="_Toc358213777"/>
      <w:bookmarkStart w:id="692" w:name="_Toc352078317"/>
      <w:bookmarkStart w:id="693" w:name="_Toc352078369"/>
      <w:bookmarkStart w:id="694" w:name="_Toc352078431"/>
      <w:bookmarkStart w:id="695" w:name="_Toc352079022"/>
      <w:bookmarkStart w:id="696" w:name="_Toc352080383"/>
      <w:bookmarkStart w:id="697" w:name="_Toc352139766"/>
      <w:bookmarkStart w:id="698" w:name="_Toc354478069"/>
      <w:bookmarkStart w:id="699" w:name="_Toc354478691"/>
      <w:bookmarkStart w:id="700" w:name="_Toc354660707"/>
      <w:bookmarkStart w:id="701" w:name="_Toc358208788"/>
      <w:bookmarkStart w:id="702" w:name="_Toc358210286"/>
      <w:bookmarkStart w:id="703" w:name="_Toc358210433"/>
      <w:bookmarkStart w:id="704" w:name="_Toc358210611"/>
      <w:bookmarkStart w:id="705" w:name="_Toc358210712"/>
      <w:bookmarkStart w:id="706" w:name="_Toc358213646"/>
      <w:bookmarkStart w:id="707" w:name="_Toc358213778"/>
      <w:bookmarkStart w:id="708" w:name="_Toc358301273"/>
      <w:bookmarkStart w:id="709" w:name="_Toc358720019"/>
      <w:bookmarkStart w:id="710" w:name="_Toc358971245"/>
      <w:bookmarkStart w:id="711" w:name="_Toc358974846"/>
      <w:bookmarkStart w:id="712" w:name="_Toc358975744"/>
      <w:bookmarkStart w:id="713" w:name="_Toc358975906"/>
      <w:bookmarkStart w:id="714" w:name="_Toc358976147"/>
      <w:bookmarkStart w:id="715" w:name="_Toc358981002"/>
      <w:bookmarkStart w:id="716" w:name="_Toc358981118"/>
      <w:bookmarkStart w:id="717" w:name="_Toc358982382"/>
      <w:bookmarkStart w:id="718" w:name="_Toc358982472"/>
      <w:bookmarkStart w:id="719" w:name="_Toc359239254"/>
      <w:bookmarkStart w:id="720" w:name="_Toc359239311"/>
      <w:bookmarkStart w:id="721" w:name="_Toc359252270"/>
      <w:bookmarkStart w:id="722" w:name="_Toc359326019"/>
      <w:bookmarkStart w:id="723" w:name="_Toc359333267"/>
      <w:bookmarkStart w:id="724" w:name="_Toc359339921"/>
      <w:bookmarkStart w:id="725" w:name="_Toc359343185"/>
      <w:bookmarkStart w:id="726" w:name="_Toc359346994"/>
      <w:bookmarkStart w:id="727" w:name="_Toc359598682"/>
      <w:bookmarkStart w:id="728" w:name="_Toc359853148"/>
      <w:bookmarkStart w:id="729" w:name="_Toc359853381"/>
      <w:bookmarkStart w:id="730" w:name="_Toc359853647"/>
      <w:bookmarkStart w:id="731" w:name="_Toc359858607"/>
      <w:bookmarkEnd w:id="685"/>
      <w:bookmarkEnd w:id="686"/>
      <w:bookmarkEnd w:id="687"/>
      <w:bookmarkEnd w:id="688"/>
      <w:bookmarkEnd w:id="689"/>
      <w:bookmarkEnd w:id="690"/>
      <w:bookmarkEnd w:id="691"/>
    </w:p>
    <w:p w14:paraId="18094C51" w14:textId="66B96A43" w:rsidR="000627C7" w:rsidRPr="00AE799A" w:rsidRDefault="000627C7" w:rsidP="00B9652C">
      <w:pPr>
        <w:pStyle w:val="Heading2"/>
      </w:pPr>
      <w:bookmarkStart w:id="732" w:name="_Toc359859590"/>
      <w:bookmarkStart w:id="733" w:name="_Toc359940048"/>
      <w:bookmarkStart w:id="734" w:name="_Toc360025422"/>
      <w:bookmarkStart w:id="735" w:name="_Toc360107478"/>
      <w:bookmarkStart w:id="736" w:name="_Toc360111602"/>
      <w:bookmarkStart w:id="737" w:name="_Toc360172787"/>
      <w:bookmarkStart w:id="738" w:name="_Toc360186120"/>
      <w:bookmarkStart w:id="739" w:name="_Toc360186197"/>
      <w:bookmarkStart w:id="740" w:name="_Toc360186401"/>
      <w:bookmarkStart w:id="741" w:name="_Toc360186478"/>
      <w:bookmarkStart w:id="742" w:name="_Toc360187274"/>
      <w:bookmarkStart w:id="743" w:name="_Toc360187440"/>
      <w:bookmarkStart w:id="744" w:name="_Toc360208889"/>
      <w:bookmarkStart w:id="745" w:name="_Toc360212022"/>
      <w:bookmarkStart w:id="746" w:name="_Toc361663091"/>
      <w:bookmarkStart w:id="747" w:name="_Toc361857670"/>
      <w:bookmarkStart w:id="748" w:name="_Toc361918762"/>
      <w:bookmarkStart w:id="749" w:name="_Toc362272542"/>
      <w:r w:rsidRPr="00AE799A">
        <w:t>Data Collection</w:t>
      </w:r>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r w:rsidRPr="00AE799A">
        <w:t xml:space="preserve">  </w:t>
      </w:r>
    </w:p>
    <w:p w14:paraId="37C172D4" w14:textId="42D7F6DB" w:rsidR="000627C7" w:rsidRPr="004F322C" w:rsidRDefault="000627C7" w:rsidP="002F34FB">
      <w:pPr>
        <w:pStyle w:val="ParaNum"/>
        <w:rPr>
          <w:rStyle w:val="stylenumberedparagraphs11ptchar0"/>
        </w:rPr>
      </w:pPr>
      <w:r>
        <w:t>Finally</w:t>
      </w:r>
      <w:r w:rsidRPr="00AE799A">
        <w:t xml:space="preserve">, we seek comment on </w:t>
      </w:r>
      <w:r w:rsidR="00A54789">
        <w:t>a number of cross-cutting issues regarding the</w:t>
      </w:r>
      <w:r w:rsidR="00A54789" w:rsidRPr="00AE799A">
        <w:t xml:space="preserve"> </w:t>
      </w:r>
      <w:r w:rsidRPr="00AE799A">
        <w:t>collect</w:t>
      </w:r>
      <w:r w:rsidR="00A54789">
        <w:t>ion o</w:t>
      </w:r>
      <w:r w:rsidR="00F64A10">
        <w:t>f</w:t>
      </w:r>
      <w:r w:rsidRPr="00AE799A">
        <w:t xml:space="preserve"> </w:t>
      </w:r>
      <w:r>
        <w:t xml:space="preserve">accurate, relevant </w:t>
      </w:r>
      <w:r w:rsidRPr="004F322C">
        <w:rPr>
          <w:rStyle w:val="stylenumberedparagraphs11ptchar0"/>
        </w:rPr>
        <w:t xml:space="preserve">and timely data to track our progress in meeting these goals.  We seek comment on the benefits and burdens of requiring E-rate recipients and service providers to provide data to USAC in open, machine-readable formats in order to enhance the accessibility and usefulness of the data.  </w:t>
      </w:r>
      <w:r w:rsidR="00076376" w:rsidRPr="004F322C">
        <w:rPr>
          <w:rStyle w:val="stylenumberedparagraphs11ptchar0"/>
        </w:rPr>
        <w:t xml:space="preserve">We also seek general comment on what data we </w:t>
      </w:r>
      <w:r w:rsidR="00B12A21" w:rsidRPr="004F322C">
        <w:rPr>
          <w:rStyle w:val="stylenumberedparagraphs11ptchar0"/>
        </w:rPr>
        <w:t xml:space="preserve">collect during the application and disbursement process </w:t>
      </w:r>
      <w:r w:rsidR="002F7254">
        <w:rPr>
          <w:rStyle w:val="stylenumberedparagraphs11ptchar0"/>
        </w:rPr>
        <w:t xml:space="preserve">that </w:t>
      </w:r>
      <w:r w:rsidR="00076376" w:rsidRPr="004F322C">
        <w:rPr>
          <w:rStyle w:val="stylenumberedparagraphs11ptchar0"/>
        </w:rPr>
        <w:t xml:space="preserve">should make public.  </w:t>
      </w:r>
      <w:r w:rsidRPr="004F322C">
        <w:rPr>
          <w:rStyle w:val="stylenumberedparagraphs11ptchar0"/>
        </w:rPr>
        <w:t xml:space="preserve">Are there any barriers to making public </w:t>
      </w:r>
      <w:r w:rsidR="00320469" w:rsidRPr="004F322C">
        <w:rPr>
          <w:rStyle w:val="stylenumberedparagraphs11ptchar0"/>
        </w:rPr>
        <w:t xml:space="preserve">any </w:t>
      </w:r>
      <w:r w:rsidRPr="004F322C">
        <w:rPr>
          <w:rStyle w:val="stylenumberedparagraphs11ptchar0"/>
        </w:rPr>
        <w:t>data we collect that helps measure our progress towards meeting our proposed goals?</w:t>
      </w:r>
      <w:r w:rsidR="00A90383" w:rsidRPr="008B7F95">
        <w:rPr>
          <w:rStyle w:val="FootnoteReference"/>
        </w:rPr>
        <w:footnoteReference w:id="78"/>
      </w:r>
      <w:r w:rsidRPr="008A6123">
        <w:rPr>
          <w:rStyle w:val="FootnoteReference"/>
        </w:rPr>
        <w:t xml:space="preserve"> </w:t>
      </w:r>
      <w:r w:rsidRPr="004F322C">
        <w:rPr>
          <w:rStyle w:val="stylenumberedparagraphs11ptchar0"/>
        </w:rPr>
        <w:t xml:space="preserve"> Will making such data public encourage the public to develop new and innovative methods to analyze E-rate data?  If there are concerns about protecting the confidentiality of some of the data, are there ways to protect sensitive information while still making public the most relevant data or are there ways to aggregate the data to obviate confidentiality concerns? Finally, we seek comment on the extent to which we should apply the </w:t>
      </w:r>
      <w:r w:rsidRPr="004F322C">
        <w:rPr>
          <w:rStyle w:val="stylenumberedparagraphs11ptchar0"/>
        </w:rPr>
        <w:lastRenderedPageBreak/>
        <w:t xml:space="preserve">principles of the </w:t>
      </w:r>
      <w:r w:rsidR="001336C7" w:rsidRPr="004F322C">
        <w:rPr>
          <w:rStyle w:val="stylenumberedparagraphs11ptchar0"/>
        </w:rPr>
        <w:t>Office of Management and Budget’s (</w:t>
      </w:r>
      <w:r w:rsidRPr="004F322C">
        <w:rPr>
          <w:rStyle w:val="stylenumberedparagraphs11ptchar0"/>
        </w:rPr>
        <w:t>OMB</w:t>
      </w:r>
      <w:r w:rsidR="001336C7" w:rsidRPr="004F322C">
        <w:rPr>
          <w:rStyle w:val="stylenumberedparagraphs11ptchar0"/>
        </w:rPr>
        <w:t>’s)</w:t>
      </w:r>
      <w:r w:rsidRPr="004F322C">
        <w:rPr>
          <w:rStyle w:val="stylenumberedparagraphs11ptchar0"/>
        </w:rPr>
        <w:t xml:space="preserve"> Open Data Policy to our efforts to collect and share E-rate data?</w:t>
      </w:r>
      <w:r w:rsidRPr="008B7F95">
        <w:rPr>
          <w:rStyle w:val="FootnoteReference"/>
          <w:szCs w:val="22"/>
        </w:rPr>
        <w:footnoteReference w:id="79"/>
      </w:r>
    </w:p>
    <w:p w14:paraId="605E07E6" w14:textId="5AD9B643" w:rsidR="00EB14DB" w:rsidRPr="004F322C" w:rsidRDefault="00EB14DB" w:rsidP="0036678A">
      <w:pPr>
        <w:pStyle w:val="ParaNum"/>
        <w:rPr>
          <w:rStyle w:val="stylenumberedparagraphs11ptchar0"/>
        </w:rPr>
      </w:pPr>
      <w:bookmarkStart w:id="750" w:name="_Ref360205695"/>
      <w:r w:rsidRPr="004F322C">
        <w:rPr>
          <w:rStyle w:val="stylenumberedparagraphs11ptchar0"/>
        </w:rPr>
        <w:t>In addition to the specific revisions suggested above, should we revise any of the Commission’s E-rate forms, such as the FCC Form 471 application, Item 21,</w:t>
      </w:r>
      <w:bookmarkStart w:id="751" w:name="_Ref360205721"/>
      <w:r w:rsidRPr="005F59A4">
        <w:rPr>
          <w:rStyle w:val="FootnoteReference"/>
          <w:szCs w:val="22"/>
        </w:rPr>
        <w:footnoteReference w:id="80"/>
      </w:r>
      <w:bookmarkEnd w:id="751"/>
      <w:r w:rsidRPr="008A6123">
        <w:rPr>
          <w:rStyle w:val="FootnoteReference"/>
        </w:rPr>
        <w:t xml:space="preserve"> </w:t>
      </w:r>
      <w:r w:rsidRPr="004F322C">
        <w:rPr>
          <w:rStyle w:val="stylenumberedparagraphs11ptchar0"/>
        </w:rPr>
        <w:t>or the FCC Form 500,</w:t>
      </w:r>
      <w:r w:rsidRPr="005F59A4">
        <w:rPr>
          <w:rStyle w:val="FootnoteReference"/>
          <w:szCs w:val="22"/>
        </w:rPr>
        <w:footnoteReference w:id="81"/>
      </w:r>
      <w:r w:rsidRPr="008A6123">
        <w:rPr>
          <w:rStyle w:val="FootnoteReference"/>
        </w:rPr>
        <w:t xml:space="preserve"> </w:t>
      </w:r>
      <w:r w:rsidRPr="004F322C">
        <w:rPr>
          <w:rStyle w:val="stylenumberedparagraphs11ptchar0"/>
        </w:rPr>
        <w:t>to collect new data, or to change the formats in which we collect data?  For example, should we revise the Item 21 attachment to the FCC Form 471 to collect data more consistently from all applicants?  Are there ways we can change the format of the Item 21 to collect more granular data in a way that will allow us to more easily identify what products and services applicants are purchasing and at what prices?  Commenters who advocate changes in data collection should indicate which form(s) and what specific revisions we would need to make on those forms in order to ensure that we receive useful information.</w:t>
      </w:r>
      <w:bookmarkEnd w:id="750"/>
    </w:p>
    <w:p w14:paraId="4B840BA2" w14:textId="77CFADDE" w:rsidR="00A54789" w:rsidRPr="004F322C" w:rsidRDefault="00A54789" w:rsidP="0036678A">
      <w:pPr>
        <w:pStyle w:val="ParaNum"/>
        <w:rPr>
          <w:rStyle w:val="stylenumberedparagraphs11ptchar0"/>
        </w:rPr>
      </w:pPr>
      <w:r w:rsidRPr="004F322C">
        <w:rPr>
          <w:rStyle w:val="stylenumberedparagraphs11ptchar0"/>
        </w:rPr>
        <w:t xml:space="preserve">We also seek comment on essential definitions for purposes of measurement.  When considering different policy outcomes, what are the key concepts that require </w:t>
      </w:r>
      <w:r w:rsidR="002F7254">
        <w:rPr>
          <w:rStyle w:val="stylenumberedparagraphs11ptchar0"/>
        </w:rPr>
        <w:t xml:space="preserve">a </w:t>
      </w:r>
      <w:r w:rsidRPr="004F322C">
        <w:rPr>
          <w:rStyle w:val="stylenumberedparagraphs11ptchar0"/>
        </w:rPr>
        <w:t xml:space="preserve">formal common definition upfront to enable more desirable measurements </w:t>
      </w:r>
      <w:r w:rsidRPr="00DE4564">
        <w:rPr>
          <w:rStyle w:val="stylenumberedparagraphs11ptchar0"/>
          <w:i/>
        </w:rPr>
        <w:t>(</w:t>
      </w:r>
      <w:r w:rsidR="002F7254" w:rsidRPr="00DE4564">
        <w:rPr>
          <w:rStyle w:val="stylenumberedparagraphs11ptchar0"/>
          <w:i/>
        </w:rPr>
        <w:t>e</w:t>
      </w:r>
      <w:r w:rsidRPr="00DE4564">
        <w:rPr>
          <w:rStyle w:val="stylenumberedparagraphs11ptchar0"/>
          <w:i/>
        </w:rPr>
        <w:t>.</w:t>
      </w:r>
      <w:r w:rsidR="002F7254" w:rsidRPr="00DE4564">
        <w:rPr>
          <w:rStyle w:val="stylenumberedparagraphs11ptchar0"/>
          <w:i/>
        </w:rPr>
        <w:t>g</w:t>
      </w:r>
      <w:r w:rsidRPr="00DE4564">
        <w:rPr>
          <w:rStyle w:val="stylenumberedparagraphs11ptchar0"/>
          <w:i/>
        </w:rPr>
        <w:t>.</w:t>
      </w:r>
      <w:r w:rsidRPr="004F322C">
        <w:rPr>
          <w:rStyle w:val="stylenumberedparagraphs11ptchar0"/>
        </w:rPr>
        <w:t>, “per school,” “</w:t>
      </w:r>
      <w:r w:rsidR="003D5731" w:rsidRPr="004F322C">
        <w:rPr>
          <w:rStyle w:val="stylenumberedparagraphs11ptchar0"/>
        </w:rPr>
        <w:t>per-student</w:t>
      </w:r>
      <w:r w:rsidRPr="004F322C">
        <w:rPr>
          <w:rStyle w:val="stylenumberedparagraphs11ptchar0"/>
        </w:rPr>
        <w:t xml:space="preserve">,” “per patron”)?  Unique persistent identifiers are important because they designate which entity is being dealt with and also are used to model relationships.  Are there unique persistent identifiers for schools, school districts and libraries?  </w:t>
      </w:r>
      <w:r w:rsidR="00BD299B">
        <w:t>For example, are</w:t>
      </w:r>
      <w:r w:rsidR="009D19BC" w:rsidRPr="009D19BC">
        <w:t xml:space="preserve"> </w:t>
      </w:r>
      <w:r w:rsidR="009D19BC">
        <w:t>locale codes used by the U.S. Department of Education’s National Center for Education Statistics (NCES), also known as urban-centric locale codes,</w:t>
      </w:r>
      <w:r w:rsidR="009D19BC">
        <w:rPr>
          <w:rStyle w:val="FootnoteReference"/>
          <w:szCs w:val="22"/>
        </w:rPr>
        <w:footnoteReference w:id="82"/>
      </w:r>
      <w:r w:rsidR="00BD299B">
        <w:t xml:space="preserve"> good identifiers to use for schools and school districts?  To </w:t>
      </w:r>
      <w:r w:rsidR="00BD299B">
        <w:lastRenderedPageBreak/>
        <w:t>the extent existing identifiers are missing or have problems, would there be value in creating persistent identifiers or supplementing existing identifiers for some or all such entities, or for other types of applicants?</w:t>
      </w:r>
      <w:r w:rsidR="009D19BC">
        <w:t xml:space="preserve">  </w:t>
      </w:r>
      <w:r w:rsidRPr="004F322C">
        <w:rPr>
          <w:rStyle w:val="stylenumberedparagraphs11ptchar0"/>
        </w:rPr>
        <w:t xml:space="preserve">What would be the requirements of such persistent identifiers? </w:t>
      </w:r>
    </w:p>
    <w:p w14:paraId="7C82FE65" w14:textId="2CFE72F4" w:rsidR="0017799C" w:rsidRPr="00AE799A" w:rsidRDefault="0017799C" w:rsidP="0036678A">
      <w:pPr>
        <w:pStyle w:val="ParaNum"/>
      </w:pPr>
      <w:r w:rsidRPr="004F322C">
        <w:rPr>
          <w:rStyle w:val="stylenumberedparagraphs11ptchar0"/>
        </w:rPr>
        <w:t>Finally, are there goals and measures that we should adopt that we have not already discussed?  Commenters should be as specific as possible about their proposed goals and measures</w:t>
      </w:r>
      <w:r>
        <w:t xml:space="preserve">.  </w:t>
      </w:r>
    </w:p>
    <w:p w14:paraId="13D1A1EA" w14:textId="31773807" w:rsidR="000627C7" w:rsidRPr="00CE3FA0" w:rsidRDefault="000627C7" w:rsidP="000D6D9E">
      <w:pPr>
        <w:pStyle w:val="Heading1"/>
      </w:pPr>
      <w:bookmarkStart w:id="752" w:name="_Toc359853149"/>
      <w:bookmarkStart w:id="753" w:name="_Toc359853382"/>
      <w:bookmarkStart w:id="754" w:name="_Toc359853648"/>
      <w:bookmarkStart w:id="755" w:name="_Toc359858608"/>
      <w:bookmarkStart w:id="756" w:name="_Toc352078318"/>
      <w:bookmarkStart w:id="757" w:name="_Toc352078370"/>
      <w:bookmarkStart w:id="758" w:name="_Toc352078432"/>
      <w:bookmarkStart w:id="759" w:name="_Toc352079023"/>
      <w:bookmarkStart w:id="760" w:name="_Toc352080384"/>
      <w:bookmarkStart w:id="761" w:name="_Toc352139767"/>
      <w:bookmarkStart w:id="762" w:name="_Toc354478070"/>
      <w:bookmarkStart w:id="763" w:name="_Toc354478692"/>
      <w:bookmarkStart w:id="764" w:name="_Toc354660708"/>
      <w:bookmarkStart w:id="765" w:name="_Toc358208789"/>
      <w:bookmarkStart w:id="766" w:name="_Toc358210287"/>
      <w:bookmarkStart w:id="767" w:name="_Toc358210434"/>
      <w:bookmarkStart w:id="768" w:name="_Toc358210612"/>
      <w:bookmarkStart w:id="769" w:name="_Toc358210713"/>
      <w:bookmarkStart w:id="770" w:name="_Toc358213647"/>
      <w:bookmarkStart w:id="771" w:name="_Toc358213779"/>
      <w:bookmarkStart w:id="772" w:name="_Toc358301274"/>
      <w:bookmarkStart w:id="773" w:name="_Toc358720020"/>
      <w:bookmarkStart w:id="774" w:name="_Toc358971246"/>
      <w:bookmarkStart w:id="775" w:name="_Toc358974847"/>
      <w:bookmarkStart w:id="776" w:name="_Toc358975745"/>
      <w:bookmarkStart w:id="777" w:name="_Toc358975907"/>
      <w:bookmarkStart w:id="778" w:name="_Toc358976148"/>
      <w:bookmarkStart w:id="779" w:name="_Toc358981003"/>
      <w:bookmarkStart w:id="780" w:name="_Toc358981119"/>
      <w:bookmarkStart w:id="781" w:name="_Toc358982383"/>
      <w:bookmarkStart w:id="782" w:name="_Toc358982473"/>
      <w:bookmarkStart w:id="783" w:name="_Toc359239255"/>
      <w:bookmarkStart w:id="784" w:name="_Toc359239312"/>
      <w:bookmarkStart w:id="785" w:name="_Toc359252271"/>
      <w:bookmarkStart w:id="786" w:name="_Toc359326020"/>
      <w:bookmarkStart w:id="787" w:name="_Toc359333268"/>
      <w:bookmarkStart w:id="788" w:name="_Toc359339922"/>
      <w:bookmarkStart w:id="789" w:name="_Toc359343186"/>
      <w:bookmarkStart w:id="790" w:name="_Toc359346995"/>
      <w:bookmarkStart w:id="791" w:name="_Toc359598683"/>
      <w:bookmarkStart w:id="792" w:name="_Toc359859591"/>
      <w:bookmarkStart w:id="793" w:name="_Toc359940049"/>
      <w:bookmarkStart w:id="794" w:name="_Toc360025423"/>
      <w:bookmarkStart w:id="795" w:name="_Toc360107479"/>
      <w:bookmarkStart w:id="796" w:name="_Toc360111603"/>
      <w:bookmarkStart w:id="797" w:name="_Toc360172788"/>
      <w:bookmarkStart w:id="798" w:name="_Toc360186121"/>
      <w:bookmarkStart w:id="799" w:name="_Toc360186198"/>
      <w:bookmarkStart w:id="800" w:name="_Toc360186402"/>
      <w:bookmarkStart w:id="801" w:name="_Toc360186479"/>
      <w:bookmarkStart w:id="802" w:name="_Toc360187275"/>
      <w:bookmarkStart w:id="803" w:name="_Toc360187441"/>
      <w:bookmarkStart w:id="804" w:name="_Toc360208890"/>
      <w:bookmarkStart w:id="805" w:name="_Toc360212023"/>
      <w:bookmarkStart w:id="806" w:name="_Toc361663092"/>
      <w:bookmarkStart w:id="807" w:name="_Toc361857671"/>
      <w:bookmarkStart w:id="808" w:name="_Toc361918763"/>
      <w:bookmarkStart w:id="809" w:name="_Toc362272543"/>
      <w:r w:rsidRPr="00CE3FA0">
        <w:t xml:space="preserve">Ensuring Schools and Libraries Have Affordable Access to </w:t>
      </w:r>
      <w:r w:rsidR="00465AC9">
        <w:t>21</w:t>
      </w:r>
      <w:r w:rsidR="00465AC9">
        <w:rPr>
          <w:vertAlign w:val="superscript"/>
        </w:rPr>
        <w:t>st</w:t>
      </w:r>
      <w:r w:rsidR="00465AC9">
        <w:t xml:space="preserve"> Century Broadband </w:t>
      </w:r>
      <w:r w:rsidR="00465AC9">
        <w:rPr>
          <w:color w:val="000000"/>
        </w:rPr>
        <w:t>that Supports Digital Learning</w:t>
      </w:r>
      <w:bookmarkEnd w:id="27"/>
      <w:bookmarkEnd w:id="28"/>
      <w:bookmarkEnd w:id="29"/>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p>
    <w:p w14:paraId="73AF15F8" w14:textId="589CBDE7" w:rsidR="00E32263" w:rsidRDefault="00E32263" w:rsidP="002F34FB">
      <w:pPr>
        <w:pStyle w:val="ParaNum"/>
      </w:pPr>
      <w:bookmarkStart w:id="810" w:name="_Toc351647142"/>
      <w:bookmarkStart w:id="811" w:name="_Toc352064094"/>
      <w:bookmarkStart w:id="812" w:name="_Toc352064537"/>
      <w:bookmarkStart w:id="813" w:name="_Toc352078319"/>
      <w:bookmarkStart w:id="814" w:name="_Toc352078371"/>
      <w:bookmarkStart w:id="815" w:name="_Toc352078433"/>
      <w:bookmarkStart w:id="816" w:name="_Toc352079024"/>
      <w:bookmarkStart w:id="817" w:name="_Toc352080385"/>
      <w:bookmarkStart w:id="818" w:name="_Toc352139768"/>
      <w:bookmarkStart w:id="819" w:name="_Toc354478071"/>
      <w:bookmarkStart w:id="820" w:name="_Toc354478693"/>
      <w:bookmarkStart w:id="821" w:name="_Toc354660709"/>
      <w:bookmarkStart w:id="822" w:name="_Toc358208790"/>
      <w:bookmarkStart w:id="823" w:name="_Toc358210288"/>
      <w:bookmarkStart w:id="824" w:name="_Toc358210435"/>
      <w:bookmarkStart w:id="825" w:name="_Toc358210613"/>
      <w:bookmarkStart w:id="826" w:name="_Toc358210714"/>
      <w:bookmarkStart w:id="827" w:name="_Toc358213648"/>
      <w:bookmarkStart w:id="828" w:name="_Toc358213780"/>
      <w:bookmarkStart w:id="829" w:name="_Toc358301275"/>
      <w:bookmarkStart w:id="830" w:name="_Toc358720021"/>
      <w:bookmarkStart w:id="831" w:name="_Toc358971247"/>
      <w:bookmarkStart w:id="832" w:name="_Toc358974848"/>
      <w:bookmarkStart w:id="833" w:name="_Toc358975746"/>
      <w:bookmarkStart w:id="834" w:name="_Toc358975908"/>
      <w:bookmarkStart w:id="835" w:name="_Toc358976149"/>
      <w:bookmarkStart w:id="836" w:name="_Toc358981004"/>
      <w:bookmarkStart w:id="837" w:name="_Toc358981120"/>
      <w:bookmarkStart w:id="838" w:name="_Toc358982384"/>
      <w:bookmarkStart w:id="839" w:name="_Toc358982474"/>
      <w:bookmarkStart w:id="840" w:name="_Toc359239256"/>
      <w:bookmarkStart w:id="841" w:name="_Toc359239313"/>
      <w:bookmarkStart w:id="842" w:name="_Toc359252272"/>
      <w:bookmarkStart w:id="843" w:name="_Toc359326021"/>
      <w:bookmarkStart w:id="844" w:name="_Toc359333269"/>
      <w:bookmarkStart w:id="845" w:name="_Toc359339923"/>
      <w:bookmarkStart w:id="846" w:name="_Toc359343187"/>
      <w:bookmarkStart w:id="847" w:name="_Toc359346996"/>
      <w:bookmarkStart w:id="848" w:name="_Toc359598684"/>
      <w:r w:rsidRPr="00A27954">
        <w:t xml:space="preserve">In this </w:t>
      </w:r>
      <w:r>
        <w:t>section</w:t>
      </w:r>
      <w:r w:rsidRPr="00A27954">
        <w:t xml:space="preserve">, we seek ways to further our proposed first goal for the </w:t>
      </w:r>
      <w:r>
        <w:t>E-rate</w:t>
      </w:r>
      <w:r w:rsidRPr="00A27954">
        <w:t xml:space="preserve"> program</w:t>
      </w:r>
      <w:r w:rsidR="00076376">
        <w:t>:</w:t>
      </w:r>
      <w:r w:rsidRPr="00A27954">
        <w:t xml:space="preserve"> ensuring </w:t>
      </w:r>
      <w:r w:rsidRPr="004F322C">
        <w:rPr>
          <w:rStyle w:val="stylenumberedparagraphs11ptchar0"/>
        </w:rPr>
        <w:t xml:space="preserve">schools and libraries have affordable access to </w:t>
      </w:r>
      <w:r w:rsidR="00AE5162" w:rsidRPr="004F322C">
        <w:rPr>
          <w:rStyle w:val="stylenumberedparagraphs11ptchar0"/>
        </w:rPr>
        <w:t>high-capacity broadband</w:t>
      </w:r>
      <w:r w:rsidRPr="004F322C">
        <w:rPr>
          <w:rStyle w:val="stylenumberedparagraphs11ptchar0"/>
        </w:rPr>
        <w:t xml:space="preserve"> services </w:t>
      </w:r>
      <w:r w:rsidR="002F7254">
        <w:rPr>
          <w:rStyle w:val="stylenumberedparagraphs11ptchar0"/>
        </w:rPr>
        <w:t xml:space="preserve">that </w:t>
      </w:r>
      <w:r w:rsidR="009E655C" w:rsidRPr="004F322C">
        <w:rPr>
          <w:rStyle w:val="stylenumberedparagraphs11ptchar0"/>
        </w:rPr>
        <w:t xml:space="preserve">support </w:t>
      </w:r>
      <w:r w:rsidRPr="004F322C">
        <w:rPr>
          <w:rStyle w:val="stylenumberedparagraphs11ptchar0"/>
        </w:rPr>
        <w:t xml:space="preserve">digital learning.  We explore methods to focus E-rate funds on supporting </w:t>
      </w:r>
      <w:r w:rsidR="00AE5162" w:rsidRPr="004F322C">
        <w:rPr>
          <w:rStyle w:val="stylenumberedparagraphs11ptchar0"/>
        </w:rPr>
        <w:t>high-capacity broadband</w:t>
      </w:r>
      <w:r w:rsidRPr="004F322C">
        <w:rPr>
          <w:rStyle w:val="stylenumberedparagraphs11ptchar0"/>
        </w:rPr>
        <w:t xml:space="preserve"> to and within schools and</w:t>
      </w:r>
      <w:r>
        <w:t xml:space="preserve"> libraries, to ensure equitable access to limited E-rate funds, and to lower new build costs and tap into other funding sources.  </w:t>
      </w:r>
    </w:p>
    <w:p w14:paraId="6C3D36EB" w14:textId="77777777" w:rsidR="000627C7" w:rsidRPr="00A27954" w:rsidRDefault="000627C7" w:rsidP="00B9652C">
      <w:pPr>
        <w:pStyle w:val="Heading2"/>
      </w:pPr>
      <w:bookmarkStart w:id="849" w:name="_Toc359853150"/>
      <w:bookmarkStart w:id="850" w:name="_Toc359853383"/>
      <w:bookmarkStart w:id="851" w:name="_Toc359853649"/>
      <w:bookmarkStart w:id="852" w:name="_Toc359858609"/>
      <w:bookmarkStart w:id="853" w:name="_Toc359859592"/>
      <w:bookmarkStart w:id="854" w:name="_Toc359940050"/>
      <w:bookmarkStart w:id="855" w:name="_Toc360025424"/>
      <w:bookmarkStart w:id="856" w:name="_Toc360107480"/>
      <w:bookmarkStart w:id="857" w:name="_Toc360111604"/>
      <w:bookmarkStart w:id="858" w:name="_Toc360172789"/>
      <w:bookmarkStart w:id="859" w:name="_Toc360186122"/>
      <w:bookmarkStart w:id="860" w:name="_Toc360186199"/>
      <w:bookmarkStart w:id="861" w:name="_Toc360186403"/>
      <w:bookmarkStart w:id="862" w:name="_Toc360186480"/>
      <w:bookmarkStart w:id="863" w:name="_Toc360187276"/>
      <w:bookmarkStart w:id="864" w:name="_Toc360187442"/>
      <w:bookmarkStart w:id="865" w:name="_Toc360208891"/>
      <w:bookmarkStart w:id="866" w:name="_Toc360212024"/>
      <w:bookmarkStart w:id="867" w:name="_Toc361663093"/>
      <w:bookmarkStart w:id="868" w:name="_Toc361857672"/>
      <w:bookmarkStart w:id="869" w:name="_Toc361918764"/>
      <w:bookmarkStart w:id="870" w:name="_Toc362272544"/>
      <w:r w:rsidRPr="00A27954">
        <w:t>Background</w:t>
      </w:r>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p>
    <w:p w14:paraId="4B3E1AFF" w14:textId="5199BD68" w:rsidR="00A13464" w:rsidRPr="004F322C" w:rsidRDefault="000627C7" w:rsidP="002F34FB">
      <w:pPr>
        <w:pStyle w:val="ParaNum"/>
        <w:rPr>
          <w:rStyle w:val="stylenumberedparagraphs11ptchar0"/>
        </w:rPr>
      </w:pPr>
      <w:r w:rsidRPr="004F322C">
        <w:rPr>
          <w:rStyle w:val="stylenumberedparagraphs11ptchar0"/>
        </w:rPr>
        <w:t>The E-rate program currently provides eligible schools and libraries support for telecommunications services, telecommunications, Internet access, internal connections, and basic maintenance of internal connections.</w:t>
      </w:r>
      <w:r w:rsidRPr="008A6123">
        <w:rPr>
          <w:rStyle w:val="FootnoteReference"/>
        </w:rPr>
        <w:footnoteReference w:id="83"/>
      </w:r>
      <w:r w:rsidRPr="008A6123">
        <w:rPr>
          <w:rStyle w:val="FootnoteReference"/>
        </w:rPr>
        <w:t xml:space="preserve"> </w:t>
      </w:r>
      <w:r w:rsidRPr="004F322C">
        <w:rPr>
          <w:rStyle w:val="stylenumberedparagraphs11ptchar0"/>
        </w:rPr>
        <w:t xml:space="preserve"> </w:t>
      </w:r>
      <w:r w:rsidR="004F594B" w:rsidRPr="004F322C">
        <w:rPr>
          <w:rStyle w:val="stylenumberedparagraphs11ptchar0"/>
        </w:rPr>
        <w:t xml:space="preserve">Within those broad </w:t>
      </w:r>
      <w:r w:rsidR="001D1A96" w:rsidRPr="004F322C">
        <w:rPr>
          <w:rStyle w:val="stylenumberedparagraphs11ptchar0"/>
        </w:rPr>
        <w:t>categories</w:t>
      </w:r>
      <w:r w:rsidR="004F594B" w:rsidRPr="004F322C">
        <w:rPr>
          <w:rStyle w:val="stylenumberedparagraphs11ptchar0"/>
        </w:rPr>
        <w:t>, there are</w:t>
      </w:r>
      <w:r w:rsidR="00A13464" w:rsidRPr="004F322C">
        <w:rPr>
          <w:rStyle w:val="stylenumberedparagraphs11ptchar0"/>
        </w:rPr>
        <w:t xml:space="preserve"> specific types of services and products including, but not limited to, digital transmission services, Internet access services, e</w:t>
      </w:r>
      <w:r w:rsidR="001336C7" w:rsidRPr="004F322C">
        <w:rPr>
          <w:rStyle w:val="stylenumberedparagraphs11ptchar0"/>
        </w:rPr>
        <w:t>-</w:t>
      </w:r>
      <w:r w:rsidR="00A13464" w:rsidRPr="004F322C">
        <w:rPr>
          <w:rStyle w:val="stylenumberedparagraphs11ptchar0"/>
        </w:rPr>
        <w:t xml:space="preserve">mail services, paging services and web hosting services </w:t>
      </w:r>
      <w:r w:rsidR="004F594B" w:rsidRPr="004F322C">
        <w:rPr>
          <w:rStyle w:val="stylenumberedparagraphs11ptchar0"/>
        </w:rPr>
        <w:t>that the Commission has found to be eligible for E-rate sup</w:t>
      </w:r>
      <w:r w:rsidR="00A13464" w:rsidRPr="004F322C">
        <w:rPr>
          <w:rStyle w:val="stylenumberedparagraphs11ptchar0"/>
        </w:rPr>
        <w:t>port.  T</w:t>
      </w:r>
      <w:r w:rsidR="004F594B" w:rsidRPr="004F322C">
        <w:rPr>
          <w:rStyle w:val="stylenumberedparagraphs11ptchar0"/>
        </w:rPr>
        <w:t xml:space="preserve">he Commission publishes an eligible services list (ESL) </w:t>
      </w:r>
      <w:r w:rsidR="00A13464" w:rsidRPr="004F322C">
        <w:rPr>
          <w:rStyle w:val="stylenumberedparagraphs11ptchar0"/>
        </w:rPr>
        <w:t>for each funding year for applicants to use as a tool in determining what services and products are eligible for E-rate support.</w:t>
      </w:r>
      <w:r w:rsidR="00A13464" w:rsidRPr="005F59A4">
        <w:rPr>
          <w:rStyle w:val="FootnoteReference"/>
        </w:rPr>
        <w:footnoteReference w:id="84"/>
      </w:r>
    </w:p>
    <w:p w14:paraId="5D1241F3" w14:textId="1267A420" w:rsidR="0055065E" w:rsidRPr="004F322C" w:rsidRDefault="00C014C5" w:rsidP="0036678A">
      <w:pPr>
        <w:pStyle w:val="ParaNum"/>
        <w:rPr>
          <w:rStyle w:val="stylenumberedparagraphs11ptchar0"/>
        </w:rPr>
      </w:pPr>
      <w:r w:rsidRPr="004F322C">
        <w:rPr>
          <w:rStyle w:val="stylenumberedparagraphs11ptchar0"/>
        </w:rPr>
        <w:t>I</w:t>
      </w:r>
      <w:r w:rsidR="000627C7" w:rsidRPr="004F322C">
        <w:rPr>
          <w:rStyle w:val="stylenumberedparagraphs11ptchar0"/>
        </w:rPr>
        <w:t>n 1997, the Commission established an annual funding cap for the E-rate program of $2.25 billion at the recommendation of the</w:t>
      </w:r>
      <w:r w:rsidR="001336C7" w:rsidRPr="004F322C">
        <w:rPr>
          <w:rStyle w:val="stylenumberedparagraphs11ptchar0"/>
        </w:rPr>
        <w:t xml:space="preserve"> Federal-State Joint Board on Universal Service</w:t>
      </w:r>
      <w:r w:rsidR="000627C7" w:rsidRPr="004F322C">
        <w:rPr>
          <w:rStyle w:val="stylenumberedparagraphs11ptchar0"/>
        </w:rPr>
        <w:t>.</w:t>
      </w:r>
      <w:r w:rsidR="000627C7" w:rsidRPr="008A6123">
        <w:rPr>
          <w:rStyle w:val="FootnoteReference"/>
        </w:rPr>
        <w:footnoteReference w:id="85"/>
      </w:r>
      <w:r w:rsidR="000627C7" w:rsidRPr="004F322C">
        <w:rPr>
          <w:rStyle w:val="stylenumberedparagraphs11ptchar0"/>
        </w:rPr>
        <w:t xml:space="preserve">  In adopting this cap at the start of the E-rate program, the Commission recognized that $2.25 billion was a projected amount of the cost of the needs of schools and libraries for eligible services, and that it might be necessary </w:t>
      </w:r>
      <w:r w:rsidR="000627C7" w:rsidRPr="004F322C">
        <w:rPr>
          <w:rStyle w:val="stylenumberedparagraphs11ptchar0"/>
        </w:rPr>
        <w:lastRenderedPageBreak/>
        <w:t>to adjust the cap to address changes in the program, technologies or the needs of the schools and libraries.</w:t>
      </w:r>
      <w:r w:rsidR="000627C7" w:rsidRPr="008A6123">
        <w:rPr>
          <w:rStyle w:val="FootnoteReference"/>
        </w:rPr>
        <w:footnoteReference w:id="86"/>
      </w:r>
      <w:r w:rsidR="000627C7" w:rsidRPr="008A6123">
        <w:rPr>
          <w:rStyle w:val="FootnoteReference"/>
        </w:rPr>
        <w:t xml:space="preserve">  </w:t>
      </w:r>
    </w:p>
    <w:p w14:paraId="0370B5F5" w14:textId="723D2642" w:rsidR="000627C7" w:rsidRPr="004F322C" w:rsidRDefault="000627C7" w:rsidP="0036678A">
      <w:pPr>
        <w:pStyle w:val="ParaNum"/>
        <w:rPr>
          <w:rStyle w:val="stylenumberedparagraphs11ptchar0"/>
        </w:rPr>
      </w:pPr>
      <w:bookmarkStart w:id="871" w:name="_Ref360201178"/>
      <w:r w:rsidRPr="004F322C">
        <w:rPr>
          <w:rStyle w:val="stylenumberedparagraphs11ptchar0"/>
        </w:rPr>
        <w:t xml:space="preserve">Over the years, the Commission has made some minor adjustments to the cap.  </w:t>
      </w:r>
      <w:r w:rsidR="0055065E" w:rsidRPr="004F322C">
        <w:rPr>
          <w:rStyle w:val="stylenumberedparagraphs11ptchar0"/>
        </w:rPr>
        <w:t xml:space="preserve">As discussed in more detail below, starting in 2003, the Commission </w:t>
      </w:r>
      <w:r w:rsidR="004F7AF6" w:rsidRPr="004F322C">
        <w:rPr>
          <w:rStyle w:val="stylenumberedparagraphs11ptchar0"/>
        </w:rPr>
        <w:t xml:space="preserve">directed </w:t>
      </w:r>
      <w:r w:rsidR="0055065E" w:rsidRPr="004F322C">
        <w:rPr>
          <w:rStyle w:val="stylenumberedparagraphs11ptchar0"/>
        </w:rPr>
        <w:t xml:space="preserve">USAC to identify unused funds from previous years and to carry forward those funds in order to issue funding commitment </w:t>
      </w:r>
      <w:r w:rsidR="00C014C5" w:rsidRPr="004F322C">
        <w:rPr>
          <w:rStyle w:val="stylenumberedparagraphs11ptchar0"/>
        </w:rPr>
        <w:t xml:space="preserve">decision </w:t>
      </w:r>
      <w:r w:rsidR="0055065E" w:rsidRPr="004F322C">
        <w:rPr>
          <w:rStyle w:val="stylenumberedparagraphs11ptchar0"/>
        </w:rPr>
        <w:t>letters (FCDLs) in excess of the annual cap.</w:t>
      </w:r>
      <w:r w:rsidR="0055065E" w:rsidRPr="005F59A4">
        <w:rPr>
          <w:rStyle w:val="FootnoteReference"/>
        </w:rPr>
        <w:footnoteReference w:id="87"/>
      </w:r>
      <w:r w:rsidR="0055065E" w:rsidRPr="008A6123">
        <w:rPr>
          <w:rStyle w:val="FootnoteReference"/>
        </w:rPr>
        <w:t xml:space="preserve"> </w:t>
      </w:r>
      <w:r w:rsidR="0055065E" w:rsidRPr="004F322C">
        <w:rPr>
          <w:rStyle w:val="stylenumberedparagraphs11ptchar0"/>
        </w:rPr>
        <w:t xml:space="preserve"> </w:t>
      </w:r>
      <w:r w:rsidRPr="004F322C">
        <w:rPr>
          <w:rStyle w:val="stylenumberedparagraphs11ptchar0"/>
        </w:rPr>
        <w:t xml:space="preserve">Most recently, in the </w:t>
      </w:r>
      <w:r w:rsidR="00227056" w:rsidRPr="00227056">
        <w:rPr>
          <w:rStyle w:val="stylenumberedparagraphs11ptchar0"/>
          <w:i/>
        </w:rPr>
        <w:t>Schools and Libraries Sixth Report and Order</w:t>
      </w:r>
      <w:r w:rsidRPr="004F322C">
        <w:rPr>
          <w:rStyle w:val="stylenumberedparagraphs11ptchar0"/>
        </w:rPr>
        <w:t>, the Commission directed that the cap be indexed to inflation beginning in 2010.</w:t>
      </w:r>
      <w:r w:rsidRPr="005F59A4">
        <w:rPr>
          <w:rStyle w:val="FootnoteReference"/>
        </w:rPr>
        <w:footnoteReference w:id="88"/>
      </w:r>
      <w:r w:rsidRPr="008A6123">
        <w:rPr>
          <w:rStyle w:val="FootnoteReference"/>
        </w:rPr>
        <w:t xml:space="preserve"> </w:t>
      </w:r>
      <w:r w:rsidRPr="004F322C">
        <w:rPr>
          <w:rStyle w:val="stylenumberedparagraphs11ptchar0"/>
        </w:rPr>
        <w:t xml:space="preserve"> </w:t>
      </w:r>
      <w:r w:rsidR="00C014C5" w:rsidRPr="004F322C">
        <w:rPr>
          <w:rStyle w:val="stylenumberedparagraphs11ptchar0"/>
        </w:rPr>
        <w:t>F</w:t>
      </w:r>
      <w:r w:rsidRPr="004F322C">
        <w:rPr>
          <w:rStyle w:val="stylenumberedparagraphs11ptchar0"/>
        </w:rPr>
        <w:t>or funding year 2013 the E-rate fund is capped at just over $2.38 billion.</w:t>
      </w:r>
      <w:r w:rsidRPr="005F59A4">
        <w:rPr>
          <w:rStyle w:val="FootnoteReference"/>
        </w:rPr>
        <w:footnoteReference w:id="89"/>
      </w:r>
      <w:bookmarkEnd w:id="871"/>
      <w:r w:rsidRPr="008A6123">
        <w:rPr>
          <w:rStyle w:val="FootnoteReference"/>
        </w:rPr>
        <w:t xml:space="preserve"> </w:t>
      </w:r>
    </w:p>
    <w:p w14:paraId="160130BA" w14:textId="5E260684" w:rsidR="000627C7" w:rsidRPr="00A27954" w:rsidRDefault="000627C7" w:rsidP="0036678A">
      <w:pPr>
        <w:pStyle w:val="ParaNum"/>
      </w:pPr>
      <w:bookmarkStart w:id="872" w:name="_Ref360204320"/>
      <w:r w:rsidRPr="004F322C">
        <w:rPr>
          <w:rStyle w:val="stylenumberedparagraphs11ptchar0"/>
        </w:rPr>
        <w:t>Under the Commission’s rules, eligible schools and libraries may receive discounts ranging from 20 percent to 90 percent of the pre-discount price of eligible services, based on indicators of need.</w:t>
      </w:r>
      <w:r w:rsidRPr="008A6123">
        <w:rPr>
          <w:rStyle w:val="FootnoteReference"/>
        </w:rPr>
        <w:footnoteReference w:id="90"/>
      </w:r>
      <w:r w:rsidRPr="008A6123">
        <w:rPr>
          <w:rStyle w:val="FootnoteReference"/>
        </w:rPr>
        <w:t xml:space="preserve"> </w:t>
      </w:r>
      <w:r w:rsidRPr="004F322C">
        <w:rPr>
          <w:rStyle w:val="stylenumberedparagraphs11ptchar0"/>
        </w:rPr>
        <w:t xml:space="preserve"> Schools and libraries in areas with higher percentages of students eligible for free or reduced price lunch through the National School Lunch Program (NSLP) or an alternative mechanism qualify for higher discounts for eligible services than applicants with low levels of eligibility for such programs.</w:t>
      </w:r>
      <w:r w:rsidRPr="008A6123">
        <w:rPr>
          <w:rStyle w:val="FootnoteReference"/>
        </w:rPr>
        <w:footnoteReference w:id="91"/>
      </w:r>
      <w:r w:rsidRPr="008A6123">
        <w:rPr>
          <w:rStyle w:val="FootnoteReference"/>
        </w:rPr>
        <w:t xml:space="preserve"> </w:t>
      </w:r>
      <w:r w:rsidRPr="004F322C">
        <w:rPr>
          <w:rStyle w:val="stylenumberedparagraphs11ptchar0"/>
        </w:rPr>
        <w:t xml:space="preserve"> For example, the most disadvantaged schools and libraries, where at least 75 percent of students are eligible for free or reduced price school lunch</w:t>
      </w:r>
      <w:r w:rsidR="00320469" w:rsidRPr="004F322C">
        <w:rPr>
          <w:rStyle w:val="stylenumberedparagraphs11ptchar0"/>
        </w:rPr>
        <w:t>,</w:t>
      </w:r>
      <w:r w:rsidRPr="004F322C">
        <w:rPr>
          <w:rStyle w:val="stylenumberedparagraphs11ptchar0"/>
        </w:rPr>
        <w:t xml:space="preserve"> receive a 90 percent discount on eligible services, and thus pay only 10 percent of the cost of those services.  At the other end of the spectrum, schools and libraries where less than </w:t>
      </w:r>
      <w:r w:rsidR="00320469" w:rsidRPr="004F322C">
        <w:rPr>
          <w:rStyle w:val="stylenumberedparagraphs11ptchar0"/>
        </w:rPr>
        <w:t xml:space="preserve">1 </w:t>
      </w:r>
      <w:r w:rsidRPr="004F322C">
        <w:rPr>
          <w:rStyle w:val="stylenumberedparagraphs11ptchar0"/>
        </w:rPr>
        <w:t>percent of students are eligible to receive free or reduced price school lunch receive a 20 percent discount and must pay 80 percent of the cost.</w:t>
      </w:r>
      <w:r w:rsidRPr="008A6123">
        <w:rPr>
          <w:rStyle w:val="FootnoteReference"/>
        </w:rPr>
        <w:footnoteReference w:id="92"/>
      </w:r>
      <w:r w:rsidRPr="008A6123">
        <w:rPr>
          <w:rStyle w:val="FootnoteReference"/>
        </w:rPr>
        <w:t xml:space="preserve"> </w:t>
      </w:r>
      <w:r w:rsidRPr="004F322C">
        <w:rPr>
          <w:rStyle w:val="stylenumberedparagraphs11ptchar0"/>
        </w:rPr>
        <w:t xml:space="preserve"> Schools and libraries located in rural areas also may receive an additional 5 to 10 percent discount compared</w:t>
      </w:r>
      <w:r w:rsidRPr="00A27954">
        <w:t xml:space="preserve"> to urban areas.</w:t>
      </w:r>
      <w:r w:rsidRPr="00A27954">
        <w:rPr>
          <w:vertAlign w:val="superscript"/>
        </w:rPr>
        <w:footnoteReference w:id="93"/>
      </w:r>
      <w:bookmarkEnd w:id="872"/>
      <w:r w:rsidRPr="00A27954">
        <w:t xml:space="preserve">  </w:t>
      </w:r>
    </w:p>
    <w:tbl>
      <w:tblPr>
        <w:tblW w:w="6750" w:type="dxa"/>
        <w:jc w:val="center"/>
        <w:tblCellSpacing w:w="0" w:type="dxa"/>
        <w:tblBorders>
          <w:top w:val="outset" w:sz="18" w:space="0" w:color="auto"/>
          <w:left w:val="outset" w:sz="18" w:space="0" w:color="auto"/>
          <w:bottom w:val="outset" w:sz="18" w:space="0" w:color="auto"/>
          <w:right w:val="outset" w:sz="18" w:space="0" w:color="auto"/>
        </w:tblBorders>
        <w:tblCellMar>
          <w:top w:w="75" w:type="dxa"/>
          <w:left w:w="75" w:type="dxa"/>
          <w:bottom w:w="75" w:type="dxa"/>
          <w:right w:w="75" w:type="dxa"/>
        </w:tblCellMar>
        <w:tblLook w:val="00A0" w:firstRow="1" w:lastRow="0" w:firstColumn="1" w:lastColumn="0" w:noHBand="0" w:noVBand="0"/>
      </w:tblPr>
      <w:tblGrid>
        <w:gridCol w:w="3000"/>
        <w:gridCol w:w="1875"/>
        <w:gridCol w:w="1875"/>
      </w:tblGrid>
      <w:tr w:rsidR="005A5E18" w:rsidRPr="00A27954" w14:paraId="53B25764" w14:textId="77777777" w:rsidTr="001364BD">
        <w:trPr>
          <w:tblCellSpacing w:w="0" w:type="dxa"/>
          <w:jc w:val="center"/>
        </w:trPr>
        <w:tc>
          <w:tcPr>
            <w:tcW w:w="0" w:type="auto"/>
            <w:gridSpan w:val="3"/>
            <w:tcBorders>
              <w:top w:val="outset" w:sz="6" w:space="0" w:color="auto"/>
              <w:left w:val="outset" w:sz="6" w:space="0" w:color="auto"/>
              <w:bottom w:val="outset" w:sz="6" w:space="0" w:color="auto"/>
              <w:right w:val="outset" w:sz="6" w:space="0" w:color="auto"/>
            </w:tcBorders>
            <w:shd w:val="clear" w:color="auto" w:fill="auto"/>
          </w:tcPr>
          <w:p w14:paraId="4979760B" w14:textId="09D3B6A0" w:rsidR="005A5E18" w:rsidRPr="00A27954" w:rsidRDefault="001364BD" w:rsidP="001364BD">
            <w:pPr>
              <w:jc w:val="center"/>
              <w:rPr>
                <w:b/>
                <w:bCs/>
                <w:szCs w:val="22"/>
              </w:rPr>
            </w:pPr>
            <w:r>
              <w:rPr>
                <w:b/>
                <w:bCs/>
                <w:szCs w:val="22"/>
              </w:rPr>
              <w:t>Figure 1</w:t>
            </w:r>
          </w:p>
        </w:tc>
      </w:tr>
      <w:tr w:rsidR="000627C7" w:rsidRPr="00A27954" w14:paraId="78DF73CB" w14:textId="77777777" w:rsidTr="00587FC5">
        <w:trPr>
          <w:tblCellSpacing w:w="0" w:type="dxa"/>
          <w:jc w:val="center"/>
        </w:trPr>
        <w:tc>
          <w:tcPr>
            <w:tcW w:w="0" w:type="auto"/>
            <w:gridSpan w:val="3"/>
            <w:tcBorders>
              <w:top w:val="outset" w:sz="6" w:space="0" w:color="auto"/>
              <w:left w:val="outset" w:sz="6" w:space="0" w:color="auto"/>
              <w:bottom w:val="outset" w:sz="6" w:space="0" w:color="auto"/>
              <w:right w:val="outset" w:sz="6" w:space="0" w:color="auto"/>
            </w:tcBorders>
            <w:shd w:val="clear" w:color="auto" w:fill="996600"/>
          </w:tcPr>
          <w:p w14:paraId="46B7164D" w14:textId="77777777" w:rsidR="000627C7" w:rsidRPr="00A27954" w:rsidRDefault="000627C7" w:rsidP="00AB168E">
            <w:pPr>
              <w:rPr>
                <w:b/>
                <w:bCs/>
                <w:szCs w:val="22"/>
              </w:rPr>
            </w:pPr>
            <w:r w:rsidRPr="00A27954">
              <w:rPr>
                <w:b/>
                <w:bCs/>
                <w:szCs w:val="22"/>
              </w:rPr>
              <w:lastRenderedPageBreak/>
              <w:t>School and Library Discount Matrix</w:t>
            </w:r>
          </w:p>
        </w:tc>
      </w:tr>
      <w:tr w:rsidR="000627C7" w:rsidRPr="00A27954" w14:paraId="646495D9" w14:textId="77777777" w:rsidTr="00587FC5">
        <w:trPr>
          <w:tblCellSpacing w:w="0" w:type="dxa"/>
          <w:jc w:val="center"/>
        </w:trPr>
        <w:tc>
          <w:tcPr>
            <w:tcW w:w="3000" w:type="dxa"/>
            <w:tcBorders>
              <w:top w:val="outset" w:sz="6" w:space="0" w:color="auto"/>
              <w:left w:val="outset" w:sz="6" w:space="0" w:color="auto"/>
              <w:bottom w:val="outset" w:sz="6" w:space="0" w:color="auto"/>
              <w:right w:val="outset" w:sz="6" w:space="0" w:color="auto"/>
            </w:tcBorders>
            <w:shd w:val="clear" w:color="auto" w:fill="F9F6F1"/>
          </w:tcPr>
          <w:p w14:paraId="2F6A1B33" w14:textId="77777777" w:rsidR="000627C7" w:rsidRPr="00A27954" w:rsidRDefault="000627C7" w:rsidP="00AB168E">
            <w:pPr>
              <w:rPr>
                <w:b/>
                <w:bCs/>
                <w:szCs w:val="22"/>
              </w:rPr>
            </w:pPr>
            <w:r w:rsidRPr="00A27954">
              <w:rPr>
                <w:b/>
                <w:bCs/>
                <w:szCs w:val="22"/>
              </w:rPr>
              <w:t>Percentage of Students Eligible for Lunch Program</w:t>
            </w:r>
          </w:p>
        </w:tc>
        <w:tc>
          <w:tcPr>
            <w:tcW w:w="1875" w:type="dxa"/>
            <w:tcBorders>
              <w:top w:val="outset" w:sz="6" w:space="0" w:color="auto"/>
              <w:left w:val="outset" w:sz="6" w:space="0" w:color="auto"/>
              <w:bottom w:val="outset" w:sz="6" w:space="0" w:color="auto"/>
              <w:right w:val="outset" w:sz="6" w:space="0" w:color="auto"/>
            </w:tcBorders>
            <w:shd w:val="clear" w:color="auto" w:fill="F9F6F1"/>
          </w:tcPr>
          <w:p w14:paraId="14A22F19" w14:textId="77777777" w:rsidR="000627C7" w:rsidRPr="00A27954" w:rsidRDefault="000627C7" w:rsidP="00AB168E">
            <w:pPr>
              <w:rPr>
                <w:b/>
                <w:bCs/>
                <w:szCs w:val="22"/>
              </w:rPr>
            </w:pPr>
            <w:r w:rsidRPr="00A27954">
              <w:rPr>
                <w:b/>
                <w:bCs/>
                <w:szCs w:val="22"/>
              </w:rPr>
              <w:t>Urban</w:t>
            </w:r>
            <w:r w:rsidRPr="00A27954">
              <w:rPr>
                <w:b/>
                <w:bCs/>
                <w:szCs w:val="22"/>
              </w:rPr>
              <w:br/>
              <w:t>Discount</w:t>
            </w:r>
          </w:p>
        </w:tc>
        <w:tc>
          <w:tcPr>
            <w:tcW w:w="1875" w:type="dxa"/>
            <w:tcBorders>
              <w:top w:val="outset" w:sz="6" w:space="0" w:color="auto"/>
              <w:left w:val="outset" w:sz="6" w:space="0" w:color="auto"/>
              <w:bottom w:val="outset" w:sz="6" w:space="0" w:color="auto"/>
              <w:right w:val="outset" w:sz="6" w:space="0" w:color="auto"/>
            </w:tcBorders>
            <w:shd w:val="clear" w:color="auto" w:fill="F9F6F1"/>
          </w:tcPr>
          <w:p w14:paraId="2CF59512" w14:textId="77777777" w:rsidR="000627C7" w:rsidRPr="00A27954" w:rsidRDefault="000627C7" w:rsidP="00AB168E">
            <w:pPr>
              <w:rPr>
                <w:b/>
                <w:bCs/>
                <w:szCs w:val="22"/>
              </w:rPr>
            </w:pPr>
            <w:r w:rsidRPr="00A27954">
              <w:rPr>
                <w:b/>
                <w:bCs/>
                <w:szCs w:val="22"/>
              </w:rPr>
              <w:t>Rural</w:t>
            </w:r>
            <w:r w:rsidRPr="00A27954">
              <w:rPr>
                <w:b/>
                <w:bCs/>
                <w:szCs w:val="22"/>
              </w:rPr>
              <w:br/>
              <w:t>Discount</w:t>
            </w:r>
          </w:p>
        </w:tc>
      </w:tr>
      <w:tr w:rsidR="000627C7" w:rsidRPr="00A27954" w14:paraId="6B9FCF1A" w14:textId="77777777" w:rsidTr="00587FC5">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14:paraId="01D59C86" w14:textId="77777777" w:rsidR="000627C7" w:rsidRPr="00A27954" w:rsidRDefault="000627C7" w:rsidP="00AB168E">
            <w:pPr>
              <w:jc w:val="center"/>
              <w:rPr>
                <w:color w:val="000000"/>
                <w:szCs w:val="22"/>
              </w:rPr>
            </w:pPr>
            <w:r w:rsidRPr="00A27954">
              <w:rPr>
                <w:color w:val="000000"/>
                <w:szCs w:val="22"/>
              </w:rPr>
              <w:t>&lt; 1 %</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7AE2695D" w14:textId="77777777" w:rsidR="000627C7" w:rsidRPr="00A27954" w:rsidRDefault="000627C7" w:rsidP="00AB168E">
            <w:pPr>
              <w:jc w:val="center"/>
              <w:rPr>
                <w:color w:val="000000"/>
                <w:szCs w:val="22"/>
              </w:rPr>
            </w:pPr>
            <w:r w:rsidRPr="00A27954">
              <w:rPr>
                <w:color w:val="000000"/>
                <w:szCs w:val="22"/>
              </w:rPr>
              <w:t>20 %</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5AF106D4" w14:textId="77777777" w:rsidR="000627C7" w:rsidRPr="00A27954" w:rsidRDefault="000627C7" w:rsidP="00AB168E">
            <w:pPr>
              <w:jc w:val="center"/>
              <w:rPr>
                <w:color w:val="000000"/>
                <w:szCs w:val="22"/>
              </w:rPr>
            </w:pPr>
            <w:r w:rsidRPr="00A27954">
              <w:rPr>
                <w:color w:val="000000"/>
                <w:szCs w:val="22"/>
              </w:rPr>
              <w:t>25 %</w:t>
            </w:r>
          </w:p>
        </w:tc>
      </w:tr>
      <w:tr w:rsidR="000627C7" w:rsidRPr="00A27954" w14:paraId="20F2C76F" w14:textId="77777777" w:rsidTr="00587FC5">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14:paraId="6CD8FB59" w14:textId="77777777" w:rsidR="000627C7" w:rsidRPr="00A27954" w:rsidRDefault="000627C7" w:rsidP="00AB168E">
            <w:pPr>
              <w:jc w:val="center"/>
              <w:rPr>
                <w:color w:val="000000"/>
                <w:szCs w:val="22"/>
              </w:rPr>
            </w:pPr>
            <w:r w:rsidRPr="00A27954">
              <w:rPr>
                <w:color w:val="000000"/>
                <w:szCs w:val="22"/>
              </w:rPr>
              <w:t>1-19 %</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5B2F7C8B" w14:textId="77777777" w:rsidR="000627C7" w:rsidRPr="00A27954" w:rsidRDefault="000627C7" w:rsidP="00AB168E">
            <w:pPr>
              <w:jc w:val="center"/>
              <w:rPr>
                <w:color w:val="000000"/>
                <w:szCs w:val="22"/>
              </w:rPr>
            </w:pPr>
            <w:r w:rsidRPr="00A27954">
              <w:rPr>
                <w:color w:val="000000"/>
                <w:szCs w:val="22"/>
              </w:rPr>
              <w:t>40 %</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47C9BA09" w14:textId="77777777" w:rsidR="000627C7" w:rsidRPr="00A27954" w:rsidRDefault="000627C7" w:rsidP="00AB168E">
            <w:pPr>
              <w:jc w:val="center"/>
              <w:rPr>
                <w:color w:val="000000"/>
                <w:szCs w:val="22"/>
              </w:rPr>
            </w:pPr>
            <w:r w:rsidRPr="00A27954">
              <w:rPr>
                <w:color w:val="000000"/>
                <w:szCs w:val="22"/>
              </w:rPr>
              <w:t>50 %</w:t>
            </w:r>
          </w:p>
        </w:tc>
      </w:tr>
      <w:tr w:rsidR="000627C7" w:rsidRPr="00A27954" w14:paraId="52CF92FF" w14:textId="77777777" w:rsidTr="00587FC5">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14:paraId="1CD9B0D6" w14:textId="77777777" w:rsidR="000627C7" w:rsidRPr="00A27954" w:rsidRDefault="000627C7" w:rsidP="00AB168E">
            <w:pPr>
              <w:jc w:val="center"/>
              <w:rPr>
                <w:color w:val="000000"/>
                <w:szCs w:val="22"/>
              </w:rPr>
            </w:pPr>
            <w:r w:rsidRPr="00A27954">
              <w:rPr>
                <w:color w:val="000000"/>
                <w:szCs w:val="22"/>
              </w:rPr>
              <w:t>20-34 %</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6661CE77" w14:textId="77777777" w:rsidR="000627C7" w:rsidRPr="00A27954" w:rsidRDefault="000627C7" w:rsidP="00AB168E">
            <w:pPr>
              <w:jc w:val="center"/>
              <w:rPr>
                <w:color w:val="000000"/>
                <w:szCs w:val="22"/>
              </w:rPr>
            </w:pPr>
            <w:r w:rsidRPr="00A27954">
              <w:rPr>
                <w:color w:val="000000"/>
                <w:szCs w:val="22"/>
              </w:rPr>
              <w:t>50 %</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513AAB6F" w14:textId="77777777" w:rsidR="000627C7" w:rsidRPr="00A27954" w:rsidRDefault="000627C7" w:rsidP="00AB168E">
            <w:pPr>
              <w:jc w:val="center"/>
              <w:rPr>
                <w:color w:val="000000"/>
                <w:szCs w:val="22"/>
              </w:rPr>
            </w:pPr>
            <w:r w:rsidRPr="00A27954">
              <w:rPr>
                <w:color w:val="000000"/>
                <w:szCs w:val="22"/>
              </w:rPr>
              <w:t>60 %</w:t>
            </w:r>
          </w:p>
        </w:tc>
      </w:tr>
      <w:tr w:rsidR="000627C7" w:rsidRPr="00A27954" w14:paraId="5B043D27" w14:textId="77777777" w:rsidTr="00587FC5">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14:paraId="00471A08" w14:textId="77777777" w:rsidR="000627C7" w:rsidRPr="00A27954" w:rsidRDefault="000627C7" w:rsidP="00AB168E">
            <w:pPr>
              <w:jc w:val="center"/>
              <w:rPr>
                <w:color w:val="000000"/>
                <w:szCs w:val="22"/>
              </w:rPr>
            </w:pPr>
            <w:r w:rsidRPr="00A27954">
              <w:rPr>
                <w:color w:val="000000"/>
                <w:szCs w:val="22"/>
              </w:rPr>
              <w:t>35-49 %</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42BE4CC5" w14:textId="77777777" w:rsidR="000627C7" w:rsidRPr="00A27954" w:rsidRDefault="000627C7" w:rsidP="00AB168E">
            <w:pPr>
              <w:jc w:val="center"/>
              <w:rPr>
                <w:color w:val="000000"/>
                <w:szCs w:val="22"/>
              </w:rPr>
            </w:pPr>
            <w:r w:rsidRPr="00A27954">
              <w:rPr>
                <w:color w:val="000000"/>
                <w:szCs w:val="22"/>
              </w:rPr>
              <w:t>60 %</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1993ED53" w14:textId="77777777" w:rsidR="000627C7" w:rsidRPr="00A27954" w:rsidRDefault="000627C7" w:rsidP="00AB168E">
            <w:pPr>
              <w:jc w:val="center"/>
              <w:rPr>
                <w:color w:val="000000"/>
                <w:szCs w:val="22"/>
              </w:rPr>
            </w:pPr>
            <w:r w:rsidRPr="00A27954">
              <w:rPr>
                <w:color w:val="000000"/>
                <w:szCs w:val="22"/>
              </w:rPr>
              <w:t>70 %</w:t>
            </w:r>
          </w:p>
        </w:tc>
      </w:tr>
      <w:tr w:rsidR="000627C7" w:rsidRPr="00A27954" w14:paraId="4E3478B9" w14:textId="77777777" w:rsidTr="00587FC5">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14:paraId="4CAADD41" w14:textId="77777777" w:rsidR="000627C7" w:rsidRPr="00A27954" w:rsidRDefault="000627C7" w:rsidP="00AB168E">
            <w:pPr>
              <w:jc w:val="center"/>
              <w:rPr>
                <w:color w:val="000000"/>
                <w:szCs w:val="22"/>
              </w:rPr>
            </w:pPr>
            <w:r w:rsidRPr="00A27954">
              <w:rPr>
                <w:color w:val="000000"/>
                <w:szCs w:val="22"/>
              </w:rPr>
              <w:t>50-74 %</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51F6E985" w14:textId="77777777" w:rsidR="000627C7" w:rsidRPr="00A27954" w:rsidRDefault="000627C7" w:rsidP="00AB168E">
            <w:pPr>
              <w:jc w:val="center"/>
              <w:rPr>
                <w:color w:val="000000"/>
                <w:szCs w:val="22"/>
              </w:rPr>
            </w:pPr>
            <w:r w:rsidRPr="00A27954">
              <w:rPr>
                <w:color w:val="000000"/>
                <w:szCs w:val="22"/>
              </w:rPr>
              <w:t>80 %</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0869642B" w14:textId="77777777" w:rsidR="000627C7" w:rsidRPr="00A27954" w:rsidRDefault="000627C7" w:rsidP="00AB168E">
            <w:pPr>
              <w:jc w:val="center"/>
              <w:rPr>
                <w:color w:val="000000"/>
                <w:szCs w:val="22"/>
              </w:rPr>
            </w:pPr>
            <w:r w:rsidRPr="00A27954">
              <w:rPr>
                <w:color w:val="000000"/>
                <w:szCs w:val="22"/>
              </w:rPr>
              <w:t>80 %</w:t>
            </w:r>
          </w:p>
        </w:tc>
      </w:tr>
      <w:tr w:rsidR="000627C7" w:rsidRPr="00A27954" w14:paraId="7C600642" w14:textId="77777777" w:rsidTr="00587FC5">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14:paraId="4E082666" w14:textId="77777777" w:rsidR="000627C7" w:rsidRPr="00A27954" w:rsidRDefault="000627C7" w:rsidP="00AB168E">
            <w:pPr>
              <w:jc w:val="center"/>
              <w:rPr>
                <w:color w:val="000000"/>
                <w:szCs w:val="22"/>
              </w:rPr>
            </w:pPr>
            <w:r w:rsidRPr="00A27954">
              <w:rPr>
                <w:color w:val="000000"/>
                <w:szCs w:val="22"/>
              </w:rPr>
              <w:t>75-100 %</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29B6050D" w14:textId="77777777" w:rsidR="000627C7" w:rsidRPr="00A27954" w:rsidRDefault="000627C7" w:rsidP="00AB168E">
            <w:pPr>
              <w:jc w:val="center"/>
              <w:rPr>
                <w:color w:val="000000"/>
                <w:szCs w:val="22"/>
              </w:rPr>
            </w:pPr>
            <w:r w:rsidRPr="00A27954">
              <w:rPr>
                <w:color w:val="000000"/>
                <w:szCs w:val="22"/>
              </w:rPr>
              <w:t>90 %</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46EC9013" w14:textId="77777777" w:rsidR="000627C7" w:rsidRPr="00A27954" w:rsidRDefault="000627C7" w:rsidP="00AB168E">
            <w:pPr>
              <w:jc w:val="center"/>
              <w:rPr>
                <w:color w:val="000000"/>
                <w:szCs w:val="22"/>
              </w:rPr>
            </w:pPr>
            <w:r w:rsidRPr="00A27954">
              <w:rPr>
                <w:color w:val="000000"/>
                <w:szCs w:val="22"/>
              </w:rPr>
              <w:t>90 %</w:t>
            </w:r>
          </w:p>
        </w:tc>
      </w:tr>
    </w:tbl>
    <w:p w14:paraId="0ADD1E9F" w14:textId="77777777" w:rsidR="000627C7" w:rsidRPr="00A27954" w:rsidRDefault="000627C7" w:rsidP="00F47042">
      <w:pPr>
        <w:spacing w:after="120"/>
        <w:ind w:left="720"/>
      </w:pPr>
    </w:p>
    <w:p w14:paraId="5FEC6AFD" w14:textId="3CE87B8B" w:rsidR="000627C7" w:rsidRPr="004F322C" w:rsidRDefault="000627C7" w:rsidP="002F34FB">
      <w:pPr>
        <w:pStyle w:val="ParaNum"/>
        <w:rPr>
          <w:rStyle w:val="stylenumberedparagraphs11ptchar0"/>
        </w:rPr>
      </w:pPr>
      <w:bookmarkStart w:id="873" w:name="_Ref360204327"/>
      <w:r w:rsidRPr="00A27954">
        <w:t xml:space="preserve">The Commission’s current rules provide that requests for all telecommunications, telecommunications </w:t>
      </w:r>
      <w:r w:rsidRPr="004F322C">
        <w:rPr>
          <w:rStyle w:val="stylenumberedparagraphs11ptchar0"/>
        </w:rPr>
        <w:t>services and Internet connections (priority one services) receive first priority for funding.</w:t>
      </w:r>
      <w:r w:rsidRPr="008A6123">
        <w:rPr>
          <w:rStyle w:val="FootnoteReference"/>
        </w:rPr>
        <w:footnoteReference w:id="94"/>
      </w:r>
      <w:r w:rsidRPr="004F322C">
        <w:rPr>
          <w:rStyle w:val="stylenumberedparagraphs11ptchar0"/>
        </w:rPr>
        <w:t xml:space="preserve">  The remaining funds are allocated to requests for support for internal connections and basic maintenance of internal connections (priority two services), beginning with the most economically disadvantaged schools and libraries, as determined by the schools and libraries discount matrix.</w:t>
      </w:r>
      <w:r w:rsidRPr="008A6123">
        <w:rPr>
          <w:rStyle w:val="FootnoteReference"/>
        </w:rPr>
        <w:footnoteReference w:id="95"/>
      </w:r>
      <w:r w:rsidRPr="008A6123">
        <w:rPr>
          <w:rStyle w:val="FootnoteReference"/>
        </w:rPr>
        <w:t xml:space="preserve">  </w:t>
      </w:r>
      <w:r w:rsidRPr="004F322C">
        <w:rPr>
          <w:rStyle w:val="stylenumberedparagraphs11ptchar0"/>
        </w:rPr>
        <w:t xml:space="preserve">Funding for all priority one services is committed first and all remaining funding is committed to priority two requests, beginning with schools and libraries eligible for a 90 percent discount.  The remaining funds for priority two services are allocated to eligible applicants at each descending single discount percentage, </w:t>
      </w:r>
      <w:r w:rsidR="00C06B21" w:rsidRPr="00C06B21">
        <w:rPr>
          <w:rStyle w:val="stylenumberedparagraphs11ptchar0"/>
          <w:i/>
        </w:rPr>
        <w:t>e.g.</w:t>
      </w:r>
      <w:r w:rsidRPr="004F322C">
        <w:rPr>
          <w:rStyle w:val="stylenumberedparagraphs11ptchar0"/>
        </w:rPr>
        <w:t>, 89 percent, 88 percent, and so on until the cap has been reached.</w:t>
      </w:r>
      <w:bookmarkEnd w:id="873"/>
      <w:r w:rsidRPr="004F322C">
        <w:rPr>
          <w:rStyle w:val="stylenumberedparagraphs11ptchar0"/>
        </w:rPr>
        <w:t xml:space="preserve">   </w:t>
      </w:r>
    </w:p>
    <w:p w14:paraId="54444E58" w14:textId="154CD157" w:rsidR="00755673" w:rsidRDefault="000627C7" w:rsidP="0036678A">
      <w:pPr>
        <w:pStyle w:val="ParaNum"/>
      </w:pPr>
      <w:bookmarkStart w:id="874" w:name="_Ref360201235"/>
      <w:r w:rsidRPr="004F322C">
        <w:rPr>
          <w:rStyle w:val="stylenumberedparagraphs11ptchar0"/>
        </w:rPr>
        <w:t xml:space="preserve">The E-rate program has traditionally been able to fund all priority one requests, but the total demand including priority two requests has exceeded the E-rate program’s </w:t>
      </w:r>
      <w:r w:rsidR="00A4620B">
        <w:rPr>
          <w:rStyle w:val="stylenumberedparagraphs11ptchar0"/>
        </w:rPr>
        <w:t xml:space="preserve">almost </w:t>
      </w:r>
      <w:r w:rsidRPr="004F322C">
        <w:rPr>
          <w:rStyle w:val="stylenumberedparagraphs11ptchar0"/>
        </w:rPr>
        <w:t>every year since the program’s inception.</w:t>
      </w:r>
      <w:r w:rsidRPr="008A6123">
        <w:rPr>
          <w:rStyle w:val="FootnoteReference"/>
        </w:rPr>
        <w:footnoteReference w:id="96"/>
      </w:r>
      <w:r w:rsidRPr="004F322C">
        <w:rPr>
          <w:rStyle w:val="stylenumberedparagraphs11ptchar0"/>
        </w:rPr>
        <w:t xml:space="preserve">  In the early years, the E-rate program was able to fund a substantial percentage of the priority two requests that it received, but more recently, the vast majority of requests for priority two services have gone unfunded.  </w:t>
      </w:r>
      <w:r w:rsidR="00C014C5" w:rsidRPr="004F322C">
        <w:rPr>
          <w:rStyle w:val="stylenumberedparagraphs11ptchar0"/>
        </w:rPr>
        <w:t xml:space="preserve">Even with </w:t>
      </w:r>
      <w:r w:rsidRPr="004F322C">
        <w:rPr>
          <w:rStyle w:val="stylenumberedparagraphs11ptchar0"/>
        </w:rPr>
        <w:t>the Commission allow</w:t>
      </w:r>
      <w:r w:rsidR="00757F33" w:rsidRPr="004F322C">
        <w:rPr>
          <w:rStyle w:val="stylenumberedparagraphs11ptchar0"/>
        </w:rPr>
        <w:t>ing</w:t>
      </w:r>
      <w:r w:rsidRPr="004F322C">
        <w:rPr>
          <w:rStyle w:val="stylenumberedparagraphs11ptchar0"/>
        </w:rPr>
        <w:t xml:space="preserve"> USAC to carry forward </w:t>
      </w:r>
      <w:r w:rsidR="00757F33" w:rsidRPr="004F322C">
        <w:rPr>
          <w:rStyle w:val="stylenumberedparagraphs11ptchar0"/>
        </w:rPr>
        <w:t xml:space="preserve">unused </w:t>
      </w:r>
      <w:r w:rsidRPr="004F322C">
        <w:rPr>
          <w:rStyle w:val="stylenumberedparagraphs11ptchar0"/>
        </w:rPr>
        <w:t xml:space="preserve">funds </w:t>
      </w:r>
      <w:r w:rsidR="00757F33" w:rsidRPr="004F322C">
        <w:rPr>
          <w:rStyle w:val="stylenumberedparagraphs11ptchar0"/>
        </w:rPr>
        <w:t xml:space="preserve">from previous years </w:t>
      </w:r>
      <w:r w:rsidRPr="004F322C">
        <w:rPr>
          <w:rStyle w:val="stylenumberedparagraphs11ptchar0"/>
        </w:rPr>
        <w:t xml:space="preserve">in order to issue FCDLs </w:t>
      </w:r>
      <w:r w:rsidRPr="004F322C">
        <w:rPr>
          <w:rStyle w:val="stylenumberedparagraphs11ptchar0"/>
        </w:rPr>
        <w:lastRenderedPageBreak/>
        <w:t>in excess of the annual cap</w:t>
      </w:r>
      <w:r w:rsidR="00757F33" w:rsidRPr="004F322C">
        <w:rPr>
          <w:rStyle w:val="stylenumberedparagraphs11ptchar0"/>
        </w:rPr>
        <w:t>,</w:t>
      </w:r>
      <w:r w:rsidRPr="005F59A4">
        <w:rPr>
          <w:rStyle w:val="FootnoteReference"/>
        </w:rPr>
        <w:footnoteReference w:id="97"/>
      </w:r>
      <w:r w:rsidRPr="004F322C">
        <w:rPr>
          <w:rStyle w:val="stylenumberedparagraphs11ptchar0"/>
        </w:rPr>
        <w:t xml:space="preserve"> since funding year 2000, with one exception,</w:t>
      </w:r>
      <w:r w:rsidRPr="005F59A4">
        <w:rPr>
          <w:rStyle w:val="FootnoteReference"/>
        </w:rPr>
        <w:footnoteReference w:id="98"/>
      </w:r>
      <w:r w:rsidRPr="008A6123">
        <w:rPr>
          <w:rStyle w:val="FootnoteReference"/>
        </w:rPr>
        <w:t xml:space="preserve"> </w:t>
      </w:r>
      <w:r w:rsidRPr="004F322C">
        <w:rPr>
          <w:rStyle w:val="stylenumberedparagraphs11ptchar0"/>
        </w:rPr>
        <w:t>priority two funding has been available only for recipients where at least 50 percent of the students are eligible for free or reduced price school lunch.</w:t>
      </w:r>
      <w:r w:rsidRPr="008A6123">
        <w:rPr>
          <w:rStyle w:val="FootnoteReference"/>
        </w:rPr>
        <w:footnoteReference w:id="99"/>
      </w:r>
      <w:r w:rsidRPr="008A6123">
        <w:rPr>
          <w:rStyle w:val="FootnoteReference"/>
        </w:rPr>
        <w:t xml:space="preserve"> </w:t>
      </w:r>
      <w:r w:rsidRPr="004F322C">
        <w:rPr>
          <w:rStyle w:val="stylenumberedparagraphs11ptchar0"/>
        </w:rPr>
        <w:t xml:space="preserve"> As a consequence, many schools and libraries do not know from one year to the next whether they will be eligible for priority two funds</w:t>
      </w:r>
      <w:r w:rsidR="00757F33" w:rsidRPr="004F322C">
        <w:rPr>
          <w:rStyle w:val="stylenumberedparagraphs11ptchar0"/>
        </w:rPr>
        <w:t>.  In addition</w:t>
      </w:r>
      <w:r w:rsidR="00757F33">
        <w:t xml:space="preserve">, this restriction on funding has also led to a disparity in commitments, with </w:t>
      </w:r>
      <w:r w:rsidR="008E2970">
        <w:t xml:space="preserve">some of </w:t>
      </w:r>
      <w:r w:rsidRPr="00A27954">
        <w:t>the largest urban school districts receiv</w:t>
      </w:r>
      <w:r w:rsidR="00757F33">
        <w:t>ing</w:t>
      </w:r>
      <w:r w:rsidRPr="00A27954">
        <w:t xml:space="preserve"> as much as $190 </w:t>
      </w:r>
      <w:r w:rsidR="003D5731">
        <w:t>per-student</w:t>
      </w:r>
      <w:r>
        <w:t xml:space="preserve"> in any given funding year</w:t>
      </w:r>
      <w:r w:rsidRPr="00A27954">
        <w:t xml:space="preserve"> for </w:t>
      </w:r>
      <w:r w:rsidR="00757F33">
        <w:t>priority two services</w:t>
      </w:r>
      <w:r w:rsidRPr="00A27954">
        <w:t xml:space="preserve">, while smaller school districts across the country rarely receive </w:t>
      </w:r>
      <w:r w:rsidR="00757F33">
        <w:t xml:space="preserve">such </w:t>
      </w:r>
      <w:r w:rsidRPr="00A27954">
        <w:t>support.</w:t>
      </w:r>
      <w:bookmarkEnd w:id="874"/>
    </w:p>
    <w:p w14:paraId="742B2439" w14:textId="5CC6A1B0" w:rsidR="003B5E76" w:rsidRPr="003B345E" w:rsidRDefault="003B5E76" w:rsidP="002F34FB">
      <w:pPr>
        <w:pStyle w:val="ParaNum"/>
        <w:rPr>
          <w:color w:val="000000"/>
        </w:rPr>
      </w:pPr>
      <w:bookmarkStart w:id="875" w:name="_Ref360201195"/>
      <w:bookmarkStart w:id="876" w:name="_Ref361216677"/>
      <w:r w:rsidRPr="003B345E">
        <w:t xml:space="preserve">Unlike the </w:t>
      </w:r>
      <w:r>
        <w:t xml:space="preserve">limited amount of funding that has been available for </w:t>
      </w:r>
      <w:r w:rsidRPr="003B345E">
        <w:t xml:space="preserve">priority two requests, E-rate funding has always been sufficient to </w:t>
      </w:r>
      <w:r w:rsidR="008E2970">
        <w:t xml:space="preserve">meet </w:t>
      </w:r>
      <w:r w:rsidRPr="003B345E">
        <w:t xml:space="preserve">priority one requests at every discount level.  </w:t>
      </w:r>
      <w:r>
        <w:t>However, f</w:t>
      </w:r>
      <w:r w:rsidRPr="003B345E">
        <w:t xml:space="preserve">or the first time in E-rate </w:t>
      </w:r>
      <w:r w:rsidRPr="004F322C">
        <w:rPr>
          <w:rStyle w:val="stylenumberedparagraphs11ptchar0"/>
        </w:rPr>
        <w:t>program</w:t>
      </w:r>
      <w:r w:rsidRPr="003B345E">
        <w:t xml:space="preserve"> history, </w:t>
      </w:r>
      <w:r>
        <w:t xml:space="preserve">in funding year 2012, </w:t>
      </w:r>
      <w:r w:rsidRPr="003B345E">
        <w:t>estimated demand for priority one funding alone exceeded the funding cap.</w:t>
      </w:r>
      <w:r>
        <w:rPr>
          <w:rStyle w:val="FootnoteReference"/>
          <w:szCs w:val="22"/>
        </w:rPr>
        <w:footnoteReference w:id="100"/>
      </w:r>
      <w:r w:rsidRPr="003B345E">
        <w:t xml:space="preserve">  Trending upward, estimated demand for priority one funding for funding year 2013 is</w:t>
      </w:r>
      <w:r w:rsidR="00A75FA4">
        <w:t xml:space="preserve"> also abo</w:t>
      </w:r>
      <w:r w:rsidR="003D5731">
        <w:t>ve the</w:t>
      </w:r>
      <w:r w:rsidR="00A75FA4">
        <w:t xml:space="preserve"> cap at </w:t>
      </w:r>
      <w:r w:rsidRPr="003B345E">
        <w:t>$2.709 billion, an increase of 10.8 percent from last year’s demand of $2.444 billion.</w:t>
      </w:r>
      <w:r>
        <w:rPr>
          <w:rStyle w:val="FootnoteReference"/>
          <w:szCs w:val="22"/>
        </w:rPr>
        <w:footnoteReference w:id="101"/>
      </w:r>
      <w:r w:rsidRPr="003B345E">
        <w:t xml:space="preserve">  </w:t>
      </w:r>
      <w:r w:rsidR="007862A6">
        <w:t xml:space="preserve">We believe that </w:t>
      </w:r>
      <w:r w:rsidR="007862A6">
        <w:rPr>
          <w:color w:val="000000"/>
        </w:rPr>
        <w:t>t</w:t>
      </w:r>
      <w:r w:rsidRPr="003B345E">
        <w:rPr>
          <w:color w:val="000000"/>
        </w:rPr>
        <w:t xml:space="preserve">he continued and growing demand for </w:t>
      </w:r>
      <w:r>
        <w:rPr>
          <w:color w:val="000000"/>
        </w:rPr>
        <w:t xml:space="preserve">priority one </w:t>
      </w:r>
      <w:r w:rsidRPr="003B345E">
        <w:rPr>
          <w:color w:val="000000"/>
        </w:rPr>
        <w:t xml:space="preserve">funding is driven primarily by the </w:t>
      </w:r>
      <w:r>
        <w:rPr>
          <w:color w:val="000000"/>
        </w:rPr>
        <w:t xml:space="preserve">need for </w:t>
      </w:r>
      <w:r w:rsidRPr="003B345E">
        <w:rPr>
          <w:color w:val="000000"/>
        </w:rPr>
        <w:t xml:space="preserve">higher bandwidth connections </w:t>
      </w:r>
      <w:r>
        <w:rPr>
          <w:color w:val="000000"/>
        </w:rPr>
        <w:t xml:space="preserve">in schools and libraries </w:t>
      </w:r>
      <w:r w:rsidRPr="003B345E">
        <w:rPr>
          <w:color w:val="000000"/>
        </w:rPr>
        <w:t xml:space="preserve">especially as schools across the country </w:t>
      </w:r>
      <w:r w:rsidRPr="003B345E">
        <w:rPr>
          <w:color w:val="000000"/>
        </w:rPr>
        <w:lastRenderedPageBreak/>
        <w:t>move towards online assessments,</w:t>
      </w:r>
      <w:r>
        <w:rPr>
          <w:rStyle w:val="FootnoteReference"/>
          <w:color w:val="000000"/>
          <w:szCs w:val="22"/>
        </w:rPr>
        <w:footnoteReference w:id="102"/>
      </w:r>
      <w:r w:rsidRPr="003B345E">
        <w:rPr>
          <w:color w:val="000000"/>
        </w:rPr>
        <w:t xml:space="preserve"> </w:t>
      </w:r>
      <w:r w:rsidR="00DD3D1A" w:rsidRPr="003B345E">
        <w:rPr>
          <w:color w:val="000000"/>
        </w:rPr>
        <w:t xml:space="preserve">and schools and libraries </w:t>
      </w:r>
      <w:r w:rsidR="00DD3D1A">
        <w:t>increasingly are purchasing mobile connectivity</w:t>
      </w:r>
      <w:r w:rsidR="00DD3D1A">
        <w:rPr>
          <w:color w:val="000000"/>
        </w:rPr>
        <w:t xml:space="preserve">. </w:t>
      </w:r>
      <w:r w:rsidRPr="003B345E">
        <w:rPr>
          <w:color w:val="000000"/>
        </w:rPr>
        <w:t xml:space="preserve"> </w:t>
      </w:r>
      <w:r w:rsidRPr="00A951E6">
        <w:rPr>
          <w:color w:val="000000"/>
        </w:rPr>
        <w:t xml:space="preserve">On May 16, 2013, the </w:t>
      </w:r>
      <w:r w:rsidR="00D33642">
        <w:rPr>
          <w:color w:val="000000"/>
        </w:rPr>
        <w:t>Wireline Competition Bureau (</w:t>
      </w:r>
      <w:r w:rsidRPr="00A951E6">
        <w:rPr>
          <w:color w:val="000000"/>
        </w:rPr>
        <w:t>Bureau</w:t>
      </w:r>
      <w:r w:rsidR="00D33642">
        <w:rPr>
          <w:color w:val="000000"/>
        </w:rPr>
        <w:t>)</w:t>
      </w:r>
      <w:r w:rsidRPr="00A951E6">
        <w:rPr>
          <w:color w:val="000000"/>
        </w:rPr>
        <w:t xml:space="preserve"> announced that</w:t>
      </w:r>
      <w:r w:rsidRPr="00A951E6">
        <w:t xml:space="preserve"> according to USAC’s projections of demand and adminis</w:t>
      </w:r>
      <w:r w:rsidRPr="003B345E">
        <w:t>trative expenses, $450 million in unused funds from previous funding years is available to carry forward to increase disbursements to schools and libraries.</w:t>
      </w:r>
      <w:r>
        <w:rPr>
          <w:rStyle w:val="FootnoteReference"/>
          <w:szCs w:val="22"/>
        </w:rPr>
        <w:footnoteReference w:id="103"/>
      </w:r>
      <w:r w:rsidRPr="003B345E">
        <w:t xml:space="preserve">  </w:t>
      </w:r>
      <w:r>
        <w:t xml:space="preserve">The Bureau determined that this amount </w:t>
      </w:r>
      <w:r w:rsidRPr="003B345E">
        <w:t>will be carried forward to ensure funding is available for all eligible priority one funding requests received from schools and libraries in funding year 2013</w:t>
      </w:r>
      <w:r>
        <w:t>,</w:t>
      </w:r>
      <w:r w:rsidRPr="003B345E">
        <w:t xml:space="preserve"> in excess of the annual cap.</w:t>
      </w:r>
      <w:r>
        <w:rPr>
          <w:rStyle w:val="FootnoteReference"/>
          <w:szCs w:val="22"/>
        </w:rPr>
        <w:footnoteReference w:id="104"/>
      </w:r>
      <w:r w:rsidRPr="003B345E">
        <w:t xml:space="preserve">  While carry-forward funds may serve as a s</w:t>
      </w:r>
      <w:r>
        <w:t>topgap measure,</w:t>
      </w:r>
      <w:r>
        <w:rPr>
          <w:rStyle w:val="FootnoteReference"/>
          <w:szCs w:val="22"/>
        </w:rPr>
        <w:footnoteReference w:id="105"/>
      </w:r>
      <w:r>
        <w:t xml:space="preserve"> the trend in priority one demand indicates that</w:t>
      </w:r>
      <w:r w:rsidR="007862A6">
        <w:t>, absent reforms,</w:t>
      </w:r>
      <w:r>
        <w:t xml:space="preserve"> perhaps as soon as funding year 2014,</w:t>
      </w:r>
      <w:r>
        <w:rPr>
          <w:rStyle w:val="FootnoteReference"/>
          <w:szCs w:val="22"/>
        </w:rPr>
        <w:footnoteReference w:id="106"/>
      </w:r>
      <w:r>
        <w:t xml:space="preserve"> the ability to fund priority one request at all discount levels will be threatened.</w:t>
      </w:r>
      <w:bookmarkEnd w:id="875"/>
      <w:bookmarkEnd w:id="876"/>
      <w:r>
        <w:t xml:space="preserve">  </w:t>
      </w:r>
    </w:p>
    <w:p w14:paraId="6D789FB5" w14:textId="48A1C10C" w:rsidR="000627C7" w:rsidRPr="00A27954" w:rsidRDefault="001D1A96" w:rsidP="0036678A">
      <w:pPr>
        <w:pStyle w:val="ParaNum"/>
      </w:pPr>
      <w:r>
        <w:t>Given</w:t>
      </w:r>
      <w:r w:rsidR="000627C7" w:rsidRPr="00A27954">
        <w:t xml:space="preserve"> that </w:t>
      </w:r>
      <w:r w:rsidR="009C2587">
        <w:t xml:space="preserve">requests </w:t>
      </w:r>
      <w:r w:rsidR="000627C7" w:rsidRPr="00A27954">
        <w:t xml:space="preserve">for </w:t>
      </w:r>
      <w:r w:rsidR="000627C7">
        <w:t>E-rate</w:t>
      </w:r>
      <w:r w:rsidR="000627C7" w:rsidRPr="00A27954">
        <w:t xml:space="preserve"> </w:t>
      </w:r>
      <w:r w:rsidR="009C2587">
        <w:t xml:space="preserve">support </w:t>
      </w:r>
      <w:r w:rsidR="000627C7" w:rsidRPr="00A27954">
        <w:t>substantially exceed</w:t>
      </w:r>
      <w:r w:rsidR="000627C7">
        <w:t>s</w:t>
      </w:r>
      <w:r w:rsidR="000627C7" w:rsidRPr="00A27954">
        <w:t xml:space="preserve"> available funding,</w:t>
      </w:r>
      <w:r w:rsidR="000627C7" w:rsidRPr="00A27954">
        <w:rPr>
          <w:vertAlign w:val="superscript"/>
        </w:rPr>
        <w:footnoteReference w:id="107"/>
      </w:r>
      <w:r w:rsidR="000627C7" w:rsidRPr="00A27954">
        <w:t xml:space="preserve"> in this section of the </w:t>
      </w:r>
      <w:r w:rsidR="000627C7" w:rsidRPr="004F322C">
        <w:rPr>
          <w:rStyle w:val="stylenumberedparagraphs11ptchar0"/>
        </w:rPr>
        <w:t xml:space="preserve">NPRM, we seek comment on various options for modernizing the E-rate program to achieve our proposed goal of ensuring that schools and libraries have affordable access to </w:t>
      </w:r>
      <w:r w:rsidR="00AE5162" w:rsidRPr="004F322C">
        <w:rPr>
          <w:rStyle w:val="stylenumberedparagraphs11ptchar0"/>
        </w:rPr>
        <w:t>high-capacity broadband</w:t>
      </w:r>
      <w:r w:rsidR="000627C7" w:rsidRPr="004F322C">
        <w:rPr>
          <w:rStyle w:val="stylenumberedparagraphs11ptchar0"/>
        </w:rPr>
        <w:t>.  To the extent stakeholders believe that these options, along with measures discussed in other sections of this NPRM to increase</w:t>
      </w:r>
      <w:r w:rsidR="000627C7">
        <w:t xml:space="preserve"> the efficiency of E-rate funding, are insufficient to meet connectivity needs</w:t>
      </w:r>
      <w:r w:rsidR="00D33642">
        <w:t xml:space="preserve"> of schools and libraries</w:t>
      </w:r>
      <w:r w:rsidR="000627C7">
        <w:t xml:space="preserve">, we also seek </w:t>
      </w:r>
      <w:r w:rsidR="000627C7">
        <w:lastRenderedPageBreak/>
        <w:t xml:space="preserve">comment on other options </w:t>
      </w:r>
      <w:r w:rsidR="000627C7" w:rsidRPr="00A27954">
        <w:t xml:space="preserve">to achieve the proposed goal of ensuring that schools and libraries have affordable access to </w:t>
      </w:r>
      <w:r w:rsidR="00AE5162">
        <w:t>high-capacity broadband</w:t>
      </w:r>
      <w:r w:rsidR="000627C7" w:rsidRPr="00A27954">
        <w:t xml:space="preserve"> services.</w:t>
      </w:r>
    </w:p>
    <w:p w14:paraId="4793CB94" w14:textId="5A83AA68" w:rsidR="000627C7" w:rsidRPr="00A27954" w:rsidRDefault="000627C7" w:rsidP="00B9652C">
      <w:pPr>
        <w:pStyle w:val="Heading2"/>
      </w:pPr>
      <w:bookmarkStart w:id="877" w:name="_Toc351647143"/>
      <w:bookmarkStart w:id="878" w:name="_Toc352064095"/>
      <w:bookmarkStart w:id="879" w:name="_Toc352064538"/>
      <w:bookmarkStart w:id="880" w:name="_Toc352078320"/>
      <w:bookmarkStart w:id="881" w:name="_Toc352078372"/>
      <w:bookmarkStart w:id="882" w:name="_Toc352078434"/>
      <w:bookmarkStart w:id="883" w:name="_Toc352079025"/>
      <w:bookmarkStart w:id="884" w:name="_Toc352080386"/>
      <w:bookmarkStart w:id="885" w:name="_Toc352139769"/>
      <w:bookmarkStart w:id="886" w:name="_Toc354478072"/>
      <w:bookmarkStart w:id="887" w:name="_Toc354478694"/>
      <w:bookmarkStart w:id="888" w:name="_Toc354660710"/>
      <w:bookmarkStart w:id="889" w:name="_Toc358208791"/>
      <w:bookmarkStart w:id="890" w:name="_Toc358210289"/>
      <w:bookmarkStart w:id="891" w:name="_Toc358210436"/>
      <w:bookmarkStart w:id="892" w:name="_Toc358210614"/>
      <w:bookmarkStart w:id="893" w:name="_Toc358210715"/>
      <w:bookmarkStart w:id="894" w:name="_Toc358213649"/>
      <w:bookmarkStart w:id="895" w:name="_Toc358213781"/>
      <w:bookmarkStart w:id="896" w:name="_Toc358301276"/>
      <w:bookmarkStart w:id="897" w:name="_Toc358720022"/>
      <w:bookmarkStart w:id="898" w:name="_Toc358971248"/>
      <w:bookmarkStart w:id="899" w:name="_Toc358974849"/>
      <w:bookmarkStart w:id="900" w:name="_Toc358975747"/>
      <w:bookmarkStart w:id="901" w:name="_Toc358975909"/>
      <w:bookmarkStart w:id="902" w:name="_Toc358976150"/>
      <w:bookmarkStart w:id="903" w:name="_Toc358981005"/>
      <w:bookmarkStart w:id="904" w:name="_Toc358981121"/>
      <w:bookmarkStart w:id="905" w:name="_Toc358982385"/>
      <w:bookmarkStart w:id="906" w:name="_Toc358982475"/>
      <w:bookmarkStart w:id="907" w:name="_Toc359239257"/>
      <w:bookmarkStart w:id="908" w:name="_Toc359239314"/>
      <w:bookmarkStart w:id="909" w:name="_Toc359252273"/>
      <w:bookmarkStart w:id="910" w:name="_Toc359326022"/>
      <w:bookmarkStart w:id="911" w:name="_Toc359333270"/>
      <w:bookmarkStart w:id="912" w:name="_Toc359339924"/>
      <w:bookmarkStart w:id="913" w:name="_Toc359343188"/>
      <w:bookmarkStart w:id="914" w:name="_Toc359346997"/>
      <w:bookmarkStart w:id="915" w:name="_Toc359598685"/>
      <w:bookmarkStart w:id="916" w:name="_Toc359853151"/>
      <w:bookmarkStart w:id="917" w:name="_Toc359853384"/>
      <w:bookmarkStart w:id="918" w:name="_Toc359853650"/>
      <w:bookmarkStart w:id="919" w:name="_Toc359858610"/>
      <w:bookmarkStart w:id="920" w:name="_Toc359859593"/>
      <w:bookmarkStart w:id="921" w:name="_Toc359940051"/>
      <w:bookmarkStart w:id="922" w:name="_Toc360025425"/>
      <w:bookmarkStart w:id="923" w:name="_Toc360107481"/>
      <w:bookmarkStart w:id="924" w:name="_Toc360111605"/>
      <w:bookmarkStart w:id="925" w:name="_Toc360172790"/>
      <w:bookmarkStart w:id="926" w:name="_Toc360186123"/>
      <w:bookmarkStart w:id="927" w:name="_Toc360186200"/>
      <w:bookmarkStart w:id="928" w:name="_Toc360186404"/>
      <w:bookmarkStart w:id="929" w:name="_Toc360186481"/>
      <w:bookmarkStart w:id="930" w:name="_Toc360187277"/>
      <w:bookmarkStart w:id="931" w:name="_Toc360187443"/>
      <w:bookmarkStart w:id="932" w:name="_Toc360208892"/>
      <w:bookmarkStart w:id="933" w:name="_Toc360212025"/>
      <w:bookmarkStart w:id="934" w:name="_Toc361663094"/>
      <w:bookmarkStart w:id="935" w:name="_Toc361857673"/>
      <w:bookmarkStart w:id="936" w:name="_Toc361918765"/>
      <w:bookmarkStart w:id="937" w:name="_Toc362272545"/>
      <w:r w:rsidRPr="00A27954">
        <w:t>Focus</w:t>
      </w:r>
      <w:r w:rsidR="00184B58">
        <w:t>ing</w:t>
      </w:r>
      <w:r w:rsidRPr="00A27954">
        <w:t xml:space="preserve"> </w:t>
      </w:r>
      <w:r>
        <w:t>E-rate</w:t>
      </w:r>
      <w:r w:rsidRPr="00A27954">
        <w:t xml:space="preserve"> Funds on </w:t>
      </w:r>
      <w:r w:rsidR="00757F33">
        <w:t>Supporting</w:t>
      </w:r>
      <w:r w:rsidR="00757F33" w:rsidRPr="00A27954">
        <w:t xml:space="preserve"> </w:t>
      </w:r>
      <w:r w:rsidR="00A8449F">
        <w:t>Broadband</w:t>
      </w:r>
      <w:r w:rsidRPr="00A27954">
        <w:t xml:space="preserve"> to and </w:t>
      </w:r>
      <w:r w:rsidR="00457A2B">
        <w:t>w</w:t>
      </w:r>
      <w:r w:rsidRPr="00A27954">
        <w:t>ithin Schools and Libraries</w:t>
      </w:r>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p>
    <w:p w14:paraId="0C35A331" w14:textId="2A5718BD" w:rsidR="0012353E" w:rsidRPr="004F322C" w:rsidRDefault="000627C7" w:rsidP="002F34FB">
      <w:pPr>
        <w:pStyle w:val="ParaNum"/>
        <w:rPr>
          <w:rStyle w:val="stylenumberedparagraphs11ptchar0"/>
        </w:rPr>
      </w:pPr>
      <w:bookmarkStart w:id="938" w:name="_Ref359324721"/>
      <w:r>
        <w:t>To</w:t>
      </w:r>
      <w:r w:rsidRPr="00A27954">
        <w:t xml:space="preserve"> support the goal of ensuring that schools and libraries have access to affordable </w:t>
      </w:r>
      <w:r w:rsidR="00AE5162">
        <w:t xml:space="preserve">high-capacity </w:t>
      </w:r>
      <w:r w:rsidR="00AE5162" w:rsidRPr="004F322C">
        <w:rPr>
          <w:rStyle w:val="stylenumberedparagraphs11ptchar0"/>
        </w:rPr>
        <w:t>broadband</w:t>
      </w:r>
      <w:r w:rsidRPr="004F322C">
        <w:rPr>
          <w:rStyle w:val="stylenumberedparagraphs11ptchar0"/>
        </w:rPr>
        <w:t xml:space="preserve">, </w:t>
      </w:r>
      <w:r w:rsidR="009E655C" w:rsidRPr="004F322C">
        <w:rPr>
          <w:rStyle w:val="stylenumberedparagraphs11ptchar0"/>
        </w:rPr>
        <w:t xml:space="preserve">both to and within schools and libraries, </w:t>
      </w:r>
      <w:r w:rsidRPr="004F322C">
        <w:rPr>
          <w:rStyle w:val="stylenumberedparagraphs11ptchar0"/>
        </w:rPr>
        <w:t xml:space="preserve">we propose to update the E-rate program's funding priorities, and seek comment on how to do so.  In particular, we seek comment on possible updates to the </w:t>
      </w:r>
      <w:r w:rsidR="00A13464" w:rsidRPr="004F322C">
        <w:rPr>
          <w:rStyle w:val="stylenumberedparagraphs11ptchar0"/>
        </w:rPr>
        <w:t>list of services eligible for E-rate support and the r</w:t>
      </w:r>
      <w:r w:rsidRPr="004F322C">
        <w:rPr>
          <w:rStyle w:val="stylenumberedparagraphs11ptchar0"/>
        </w:rPr>
        <w:t xml:space="preserve">elated rules to focus funding on those services that provide </w:t>
      </w:r>
      <w:r w:rsidR="00AE5162" w:rsidRPr="004F322C">
        <w:rPr>
          <w:rStyle w:val="stylenumberedparagraphs11ptchar0"/>
        </w:rPr>
        <w:t>high-capacity broadband</w:t>
      </w:r>
      <w:r w:rsidRPr="004F322C">
        <w:rPr>
          <w:rStyle w:val="stylenumberedparagraphs11ptchar0"/>
        </w:rPr>
        <w:t xml:space="preserve"> to school and library buildings and those services and equipment that disseminate the </w:t>
      </w:r>
      <w:r w:rsidR="00AE5162" w:rsidRPr="004F322C">
        <w:rPr>
          <w:rStyle w:val="stylenumberedparagraphs11ptchar0"/>
        </w:rPr>
        <w:t>high-capacity broadband</w:t>
      </w:r>
      <w:r w:rsidRPr="004F322C">
        <w:rPr>
          <w:rStyle w:val="stylenumberedparagraphs11ptchar0"/>
        </w:rPr>
        <w:t xml:space="preserve"> within those buildings, while deprioritizing or phasing </w:t>
      </w:r>
      <w:r w:rsidR="00A13464" w:rsidRPr="004F322C">
        <w:rPr>
          <w:rStyle w:val="stylenumberedparagraphs11ptchar0"/>
        </w:rPr>
        <w:t xml:space="preserve">out </w:t>
      </w:r>
      <w:r w:rsidRPr="004F322C">
        <w:rPr>
          <w:rStyle w:val="stylenumberedparagraphs11ptchar0"/>
        </w:rPr>
        <w:t xml:space="preserve">support for services associated with legacy technologies and services that have little direct educational application.  </w:t>
      </w:r>
    </w:p>
    <w:p w14:paraId="0BF5CB1B" w14:textId="170EAEBC" w:rsidR="000627C7" w:rsidRPr="008707E2" w:rsidRDefault="00757F33" w:rsidP="0036678A">
      <w:pPr>
        <w:pStyle w:val="ParaNum"/>
      </w:pPr>
      <w:r w:rsidRPr="004F322C">
        <w:rPr>
          <w:rStyle w:val="stylenumberedparagraphs11ptchar0"/>
        </w:rPr>
        <w:t>We r</w:t>
      </w:r>
      <w:r w:rsidR="000627C7" w:rsidRPr="004F322C">
        <w:rPr>
          <w:rStyle w:val="stylenumberedparagraphs11ptchar0"/>
        </w:rPr>
        <w:t>ecogniz</w:t>
      </w:r>
      <w:r w:rsidRPr="004F322C">
        <w:rPr>
          <w:rStyle w:val="stylenumberedparagraphs11ptchar0"/>
        </w:rPr>
        <w:t xml:space="preserve">e </w:t>
      </w:r>
      <w:r w:rsidR="000627C7" w:rsidRPr="004F322C">
        <w:rPr>
          <w:rStyle w:val="stylenumberedparagraphs11ptchar0"/>
        </w:rPr>
        <w:t>that E-rate has historically provided support for voice services, and voice services remain essential for communications and public safety at schools and libraries</w:t>
      </w:r>
      <w:r w:rsidRPr="004F322C">
        <w:rPr>
          <w:rStyle w:val="stylenumberedparagraphs11ptchar0"/>
        </w:rPr>
        <w:t xml:space="preserve">.  However, we also recognize that </w:t>
      </w:r>
      <w:r w:rsidR="000627C7" w:rsidRPr="004F322C">
        <w:rPr>
          <w:rStyle w:val="stylenumberedparagraphs11ptchar0"/>
        </w:rPr>
        <w:t>voice services may increasingly be transitioning to a low-marginal-cost application delivered over broadband platforms</w:t>
      </w:r>
      <w:r w:rsidRPr="004F322C">
        <w:rPr>
          <w:rStyle w:val="stylenumberedparagraphs11ptchar0"/>
        </w:rPr>
        <w:t>.  W</w:t>
      </w:r>
      <w:r w:rsidR="000627C7" w:rsidRPr="004F322C">
        <w:rPr>
          <w:rStyle w:val="stylenumberedparagraphs11ptchar0"/>
        </w:rPr>
        <w:t>e</w:t>
      </w:r>
      <w:r w:rsidR="000627C7">
        <w:rPr>
          <w:szCs w:val="22"/>
        </w:rPr>
        <w:t xml:space="preserve"> seek comment on how to approach voice services within this framework.</w:t>
      </w:r>
      <w:bookmarkEnd w:id="938"/>
      <w:r w:rsidR="000627C7">
        <w:rPr>
          <w:szCs w:val="22"/>
        </w:rPr>
        <w:t xml:space="preserve">  </w:t>
      </w:r>
    </w:p>
    <w:p w14:paraId="6F7D7238" w14:textId="29521BD8" w:rsidR="000627C7" w:rsidRPr="00B374E8" w:rsidRDefault="000627C7" w:rsidP="008B687A">
      <w:pPr>
        <w:pStyle w:val="Heading3"/>
        <w:keepNext w:val="0"/>
      </w:pPr>
      <w:bookmarkStart w:id="939" w:name="_Toc352064096"/>
      <w:bookmarkStart w:id="940" w:name="_Toc352064539"/>
      <w:bookmarkStart w:id="941" w:name="_Toc352078321"/>
      <w:bookmarkStart w:id="942" w:name="_Toc352078373"/>
      <w:bookmarkStart w:id="943" w:name="_Toc352078435"/>
      <w:bookmarkStart w:id="944" w:name="_Toc352079026"/>
      <w:bookmarkStart w:id="945" w:name="_Toc352080387"/>
      <w:bookmarkStart w:id="946" w:name="_Toc352139770"/>
      <w:bookmarkStart w:id="947" w:name="_Toc354478073"/>
      <w:bookmarkStart w:id="948" w:name="_Toc354478695"/>
      <w:bookmarkStart w:id="949" w:name="_Toc354660711"/>
      <w:bookmarkStart w:id="950" w:name="_Toc358208792"/>
      <w:bookmarkStart w:id="951" w:name="_Toc358210290"/>
      <w:bookmarkStart w:id="952" w:name="_Toc358210437"/>
      <w:bookmarkStart w:id="953" w:name="_Toc358210615"/>
      <w:bookmarkStart w:id="954" w:name="_Toc358210716"/>
      <w:bookmarkStart w:id="955" w:name="_Toc358213650"/>
      <w:bookmarkStart w:id="956" w:name="_Toc358213782"/>
      <w:bookmarkStart w:id="957" w:name="_Toc358301277"/>
      <w:bookmarkStart w:id="958" w:name="_Toc358720023"/>
      <w:bookmarkStart w:id="959" w:name="_Toc358971249"/>
      <w:bookmarkStart w:id="960" w:name="_Toc358974850"/>
      <w:bookmarkStart w:id="961" w:name="_Toc358975748"/>
      <w:bookmarkStart w:id="962" w:name="_Toc358975910"/>
      <w:bookmarkStart w:id="963" w:name="_Toc358976151"/>
      <w:bookmarkStart w:id="964" w:name="_Toc358981006"/>
      <w:bookmarkStart w:id="965" w:name="_Toc358981122"/>
      <w:bookmarkStart w:id="966" w:name="_Toc358982386"/>
      <w:bookmarkStart w:id="967" w:name="_Toc358982476"/>
      <w:bookmarkStart w:id="968" w:name="_Toc359239258"/>
      <w:bookmarkStart w:id="969" w:name="_Toc359239315"/>
      <w:bookmarkStart w:id="970" w:name="_Toc359252274"/>
      <w:bookmarkStart w:id="971" w:name="_Toc359326023"/>
      <w:bookmarkStart w:id="972" w:name="_Toc359333271"/>
      <w:bookmarkStart w:id="973" w:name="_Toc359339925"/>
      <w:bookmarkStart w:id="974" w:name="_Toc359343189"/>
      <w:bookmarkStart w:id="975" w:name="_Toc359346998"/>
      <w:bookmarkStart w:id="976" w:name="_Toc359598686"/>
      <w:bookmarkStart w:id="977" w:name="_Toc359853152"/>
      <w:bookmarkStart w:id="978" w:name="_Toc359853385"/>
      <w:bookmarkStart w:id="979" w:name="_Toc359853651"/>
      <w:bookmarkStart w:id="980" w:name="_Toc359858611"/>
      <w:bookmarkStart w:id="981" w:name="_Toc359859594"/>
      <w:bookmarkStart w:id="982" w:name="_Toc359940052"/>
      <w:bookmarkStart w:id="983" w:name="_Toc360025426"/>
      <w:bookmarkStart w:id="984" w:name="_Toc360107482"/>
      <w:bookmarkStart w:id="985" w:name="_Toc360111606"/>
      <w:bookmarkStart w:id="986" w:name="_Toc360172791"/>
      <w:bookmarkStart w:id="987" w:name="_Toc360186124"/>
      <w:bookmarkStart w:id="988" w:name="_Toc360186201"/>
      <w:bookmarkStart w:id="989" w:name="_Toc360186405"/>
      <w:bookmarkStart w:id="990" w:name="_Toc360186482"/>
      <w:bookmarkStart w:id="991" w:name="_Toc360187278"/>
      <w:bookmarkStart w:id="992" w:name="_Toc360187444"/>
      <w:bookmarkStart w:id="993" w:name="_Toc360208893"/>
      <w:bookmarkStart w:id="994" w:name="_Toc360212026"/>
      <w:bookmarkStart w:id="995" w:name="_Toc361663095"/>
      <w:bookmarkStart w:id="996" w:name="_Toc361857674"/>
      <w:bookmarkStart w:id="997" w:name="_Toc361918766"/>
      <w:bookmarkStart w:id="998" w:name="_Toc362272546"/>
      <w:r>
        <w:t xml:space="preserve">Funding for </w:t>
      </w:r>
      <w:r w:rsidR="00A8449F">
        <w:t>Broadband</w:t>
      </w:r>
      <w:r>
        <w:t xml:space="preserve"> Connections</w:t>
      </w:r>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r>
        <w:t xml:space="preserve"> </w:t>
      </w:r>
      <w:r w:rsidRPr="008707E2">
        <w:t xml:space="preserve"> </w:t>
      </w:r>
    </w:p>
    <w:p w14:paraId="18DE1F15" w14:textId="06B72B32" w:rsidR="008E2970" w:rsidRPr="004F322C" w:rsidRDefault="000627C7" w:rsidP="002F34FB">
      <w:pPr>
        <w:pStyle w:val="ParaNum"/>
        <w:rPr>
          <w:rStyle w:val="stylenumberedparagraphs11ptchar0"/>
        </w:rPr>
      </w:pPr>
      <w:r w:rsidRPr="00865F05">
        <w:rPr>
          <w:i/>
        </w:rPr>
        <w:t xml:space="preserve">Technological </w:t>
      </w:r>
      <w:r w:rsidRPr="00B03906">
        <w:rPr>
          <w:i/>
        </w:rPr>
        <w:t>ar</w:t>
      </w:r>
      <w:r w:rsidRPr="00865F05">
        <w:rPr>
          <w:i/>
        </w:rPr>
        <w:t>c</w:t>
      </w:r>
      <w:r w:rsidRPr="00B03906">
        <w:rPr>
          <w:i/>
        </w:rPr>
        <w:t>hi</w:t>
      </w:r>
      <w:r w:rsidRPr="00865F05">
        <w:rPr>
          <w:i/>
        </w:rPr>
        <w:t>tecture</w:t>
      </w:r>
      <w:r>
        <w:t xml:space="preserve">.  </w:t>
      </w:r>
      <w:r w:rsidRPr="00865F05">
        <w:t>We</w:t>
      </w:r>
      <w:r>
        <w:t xml:space="preserve"> begin by seeking general comment on the most efficient technological architectures that schools and libraries are likely to use for connectivity.  Are fiber connections generally the most cost effective and future-proof way to deliver </w:t>
      </w:r>
      <w:r w:rsidR="00AE5162">
        <w:t>high-capacity broadband</w:t>
      </w:r>
      <w:r>
        <w:t xml:space="preserve"> to community anchor </w:t>
      </w:r>
      <w:r w:rsidRPr="004F322C">
        <w:rPr>
          <w:rStyle w:val="stylenumberedparagraphs11ptchar0"/>
        </w:rPr>
        <w:t xml:space="preserve">institutions like schools and libraries?  Are other technologies, such as point-to-point microwave or coaxial cable, which are widely used to provide </w:t>
      </w:r>
      <w:r w:rsidR="00AE5162" w:rsidRPr="004F322C">
        <w:rPr>
          <w:rStyle w:val="stylenumberedparagraphs11ptchar0"/>
        </w:rPr>
        <w:t>high-capacity broadband</w:t>
      </w:r>
      <w:r w:rsidRPr="004F322C">
        <w:rPr>
          <w:rStyle w:val="stylenumberedparagraphs11ptchar0"/>
        </w:rPr>
        <w:t xml:space="preserve"> to schools and libraries</w:t>
      </w:r>
      <w:r w:rsidR="00796A85" w:rsidRPr="004F322C">
        <w:rPr>
          <w:rStyle w:val="stylenumberedparagraphs11ptchar0"/>
        </w:rPr>
        <w:t xml:space="preserve"> today,</w:t>
      </w:r>
      <w:r w:rsidR="00757F33" w:rsidRPr="004F322C">
        <w:rPr>
          <w:rStyle w:val="stylenumberedparagraphs11ptchar0"/>
        </w:rPr>
        <w:t xml:space="preserve"> also efficient and cost-effective</w:t>
      </w:r>
      <w:r w:rsidR="00796A85" w:rsidRPr="004F322C">
        <w:rPr>
          <w:rStyle w:val="stylenumberedparagraphs11ptchar0"/>
        </w:rPr>
        <w:t xml:space="preserve"> ways to provide service as bandwidth demands increase</w:t>
      </w:r>
      <w:r w:rsidRPr="004F322C">
        <w:rPr>
          <w:rStyle w:val="stylenumberedparagraphs11ptchar0"/>
        </w:rPr>
        <w:t xml:space="preserve">?  </w:t>
      </w:r>
    </w:p>
    <w:p w14:paraId="6E57C938" w14:textId="5F6F801D" w:rsidR="008E2970" w:rsidRPr="004F322C" w:rsidRDefault="00DD3D1A" w:rsidP="0036678A">
      <w:pPr>
        <w:pStyle w:val="ParaNum"/>
        <w:rPr>
          <w:rStyle w:val="stylenumberedparagraphs11ptchar0"/>
        </w:rPr>
      </w:pPr>
      <w:r w:rsidRPr="004F322C">
        <w:rPr>
          <w:rStyle w:val="stylenumberedparagraphs11ptchar0"/>
        </w:rPr>
        <w:t xml:space="preserve">Smaller schools and libraries may not need the bandwidth provided by fiber connectivity and, particularly for small rural and Tribal schools and libraries, fiber connectivity </w:t>
      </w:r>
      <w:r w:rsidRPr="008A6123">
        <w:rPr>
          <w:rStyle w:val="stylenumberedparagraphs11ptchar0"/>
          <w:szCs w:val="22"/>
        </w:rPr>
        <w:t xml:space="preserve">to the school or library may not currently be available in some areas, or </w:t>
      </w:r>
      <w:r w:rsidR="00EA371D">
        <w:rPr>
          <w:rStyle w:val="stylenumberedparagraphs11ptchar0"/>
          <w:szCs w:val="22"/>
        </w:rPr>
        <w:t>requires the payment of very high up-front construction charges</w:t>
      </w:r>
      <w:r w:rsidRPr="008A6123">
        <w:rPr>
          <w:rStyle w:val="stylenumberedparagraphs11ptchar0"/>
          <w:szCs w:val="22"/>
        </w:rPr>
        <w:t>.</w:t>
      </w:r>
      <w:r w:rsidRPr="004F322C">
        <w:rPr>
          <w:rStyle w:val="stylenumberedparagraphs11ptchar0"/>
        </w:rPr>
        <w:t xml:space="preserve">  For these schools and libraries, what are the most cost-effective ways to meet high-capacity broadband needs?  Are there fixed wireless solutions that are cost-</w:t>
      </w:r>
      <w:r w:rsidRPr="004F322C">
        <w:rPr>
          <w:rStyle w:val="stylenumberedparagraphs11ptchar0"/>
        </w:rPr>
        <w:lastRenderedPageBreak/>
        <w:t>effective for such schools?  Are there some schools where satellite connectivity is the only viable option?</w:t>
      </w:r>
      <w:r w:rsidR="000627C7" w:rsidRPr="004F322C">
        <w:rPr>
          <w:rStyle w:val="stylenumberedparagraphs11ptchar0"/>
        </w:rPr>
        <w:t xml:space="preserve">  </w:t>
      </w:r>
    </w:p>
    <w:p w14:paraId="50C700DE" w14:textId="5392B2BF" w:rsidR="000627C7" w:rsidRPr="004F322C" w:rsidRDefault="000627C7" w:rsidP="0036678A">
      <w:pPr>
        <w:pStyle w:val="ParaNum"/>
        <w:rPr>
          <w:rStyle w:val="stylenumberedparagraphs11ptchar0"/>
        </w:rPr>
      </w:pPr>
      <w:r w:rsidRPr="004F322C">
        <w:rPr>
          <w:rStyle w:val="stylenumberedparagraphs11ptchar0"/>
        </w:rPr>
        <w:t>How do schools generally purchase connectivity?  As an all-inclusive service?  Or do schools purchase long-term indefeasible rights of use (IRUs) in physical infrastructure separately from managed services?</w:t>
      </w:r>
      <w:r w:rsidRPr="00EF44F7">
        <w:rPr>
          <w:rStyle w:val="FootnoteReference"/>
        </w:rPr>
        <w:footnoteReference w:id="108"/>
      </w:r>
      <w:r w:rsidRPr="008A6123">
        <w:rPr>
          <w:rStyle w:val="FootnoteReference"/>
        </w:rPr>
        <w:t xml:space="preserve"> </w:t>
      </w:r>
      <w:r w:rsidRPr="004F322C">
        <w:rPr>
          <w:rStyle w:val="stylenumberedparagraphs11ptchar0"/>
        </w:rPr>
        <w:t xml:space="preserve"> What approaches are most efficient?</w:t>
      </w:r>
    </w:p>
    <w:p w14:paraId="50C57AB5" w14:textId="3DE03DE7" w:rsidR="00796A85" w:rsidRPr="004F322C" w:rsidRDefault="000627C7" w:rsidP="0036678A">
      <w:pPr>
        <w:pStyle w:val="ParaNum"/>
        <w:rPr>
          <w:rStyle w:val="stylenumberedparagraphs11ptchar0"/>
        </w:rPr>
      </w:pPr>
      <w:r w:rsidRPr="004F322C">
        <w:rPr>
          <w:rStyle w:val="stylenumberedparagraphs11ptchar0"/>
        </w:rPr>
        <w:t xml:space="preserve">  </w:t>
      </w:r>
      <w:bookmarkStart w:id="999" w:name="_Ref360204897"/>
      <w:r w:rsidRPr="004F322C">
        <w:rPr>
          <w:rStyle w:val="stylenumberedparagraphs11ptchar0"/>
        </w:rPr>
        <w:t xml:space="preserve">Fiber deployment.  In the </w:t>
      </w:r>
      <w:r w:rsidR="00227056" w:rsidRPr="00227056">
        <w:rPr>
          <w:rStyle w:val="stylenumberedparagraphs11ptchar0"/>
          <w:i/>
        </w:rPr>
        <w:t>Schools and Libraries Sixth Report and Order</w:t>
      </w:r>
      <w:r w:rsidRPr="004F322C">
        <w:rPr>
          <w:rStyle w:val="stylenumberedparagraphs11ptchar0"/>
        </w:rPr>
        <w:t>, subject to certain limitations, the Commission added dark fiber to the list of services eligible for E-rate support.</w:t>
      </w:r>
      <w:r w:rsidRPr="00EF44F7">
        <w:rPr>
          <w:rStyle w:val="FootnoteReference"/>
        </w:rPr>
        <w:footnoteReference w:id="109"/>
      </w:r>
      <w:r w:rsidRPr="004F322C">
        <w:rPr>
          <w:rStyle w:val="stylenumberedparagraphs11ptchar0"/>
        </w:rPr>
        <w:t xml:space="preserve">  We seek comment on how schools and libraries have incorporated dark fiber into their broadband deployment plans as the result of this change.</w:t>
      </w:r>
      <w:bookmarkEnd w:id="999"/>
      <w:r w:rsidRPr="004F322C">
        <w:rPr>
          <w:rStyle w:val="stylenumberedparagraphs11ptchar0"/>
        </w:rPr>
        <w:t xml:space="preserve">  </w:t>
      </w:r>
    </w:p>
    <w:p w14:paraId="7D792A3F" w14:textId="5EB38BB3" w:rsidR="000627C7" w:rsidRPr="004F322C" w:rsidRDefault="00796A85" w:rsidP="0036678A">
      <w:pPr>
        <w:pStyle w:val="ParaNum"/>
        <w:rPr>
          <w:rStyle w:val="stylenumberedparagraphs11ptchar0"/>
        </w:rPr>
      </w:pPr>
      <w:r w:rsidRPr="004F322C">
        <w:rPr>
          <w:rStyle w:val="stylenumberedparagraphs11ptchar0"/>
        </w:rPr>
        <w:t>T</w:t>
      </w:r>
      <w:r w:rsidR="000627C7" w:rsidRPr="004F322C">
        <w:rPr>
          <w:rStyle w:val="stylenumberedparagraphs11ptchar0"/>
        </w:rPr>
        <w:t xml:space="preserve">o further improve applicants’ flexibility in finding cost effective ways to </w:t>
      </w:r>
      <w:r w:rsidR="009E655C" w:rsidRPr="004F322C">
        <w:rPr>
          <w:rStyle w:val="stylenumberedparagraphs11ptchar0"/>
        </w:rPr>
        <w:t>deploy high-capacity broadband</w:t>
      </w:r>
      <w:r w:rsidR="000627C7" w:rsidRPr="004F322C">
        <w:rPr>
          <w:rStyle w:val="stylenumberedparagraphs11ptchar0"/>
        </w:rPr>
        <w:t>, we propose to make our treatment of lit and dark fiber more consistent.  The E-rate program currently supports the recurring costs of leasing lit and dark fiber as priority one services.  When a school or library leases lit fiber, the modulating electronics necessary to light that fiber are included in the recurring supported cost of the service and are therefore funded as part of the priority one service.  By contrast, a school or library that leases dark fiber will not receive priority one support for the modulating electronics necessary to light the dark fiber.</w:t>
      </w:r>
      <w:r w:rsidR="000627C7" w:rsidRPr="008A6123">
        <w:rPr>
          <w:rStyle w:val="FootnoteReference"/>
        </w:rPr>
        <w:footnoteReference w:id="110"/>
      </w:r>
      <w:r w:rsidR="000627C7" w:rsidRPr="004F322C">
        <w:rPr>
          <w:rStyle w:val="stylenumberedparagraphs11ptchar0"/>
        </w:rPr>
        <w:t xml:space="preserve">  To eliminate this disparity, we propose to provide priority one support for the modulating electronics necessary to light leased dark fiber.  </w:t>
      </w:r>
    </w:p>
    <w:p w14:paraId="2C56BEC8" w14:textId="7E68E669" w:rsidR="000627C7" w:rsidRPr="004F322C" w:rsidRDefault="000627C7" w:rsidP="002C6BE9">
      <w:pPr>
        <w:pStyle w:val="ParaNum"/>
        <w:rPr>
          <w:rStyle w:val="stylenumberedparagraphs11ptchar0"/>
        </w:rPr>
      </w:pPr>
      <w:bookmarkStart w:id="1000" w:name="_Ref360202400"/>
      <w:r w:rsidRPr="004F322C">
        <w:rPr>
          <w:rStyle w:val="stylenumberedparagraphs11ptchar0"/>
        </w:rPr>
        <w:t xml:space="preserve">Installation charges for lit and dark fiber are also treated somewhat differently under current rules.  Currently, the E-rate program provides priority one support for the installation of lit or dark fiber up to the property line of </w:t>
      </w:r>
      <w:r w:rsidRPr="004F322C">
        <w:rPr>
          <w:rStyle w:val="stylenumberedparagraphs11ptchar0"/>
        </w:rPr>
        <w:lastRenderedPageBreak/>
        <w:t>eligible schools and libraries.</w:t>
      </w:r>
      <w:r w:rsidRPr="008A6123">
        <w:rPr>
          <w:rStyle w:val="FootnoteReference"/>
        </w:rPr>
        <w:footnoteReference w:id="111"/>
      </w:r>
      <w:r w:rsidRPr="004F322C">
        <w:rPr>
          <w:rStyle w:val="stylenumberedparagraphs11ptchar0"/>
        </w:rPr>
        <w:t xml:space="preserve">  It also supports all “special construction charges” for leased lit fiber, but does not support “special construction charges” for leased dark fiber beyond an entity’s property line.</w:t>
      </w:r>
      <w:r w:rsidRPr="008A6123">
        <w:rPr>
          <w:rStyle w:val="FootnoteReference"/>
        </w:rPr>
        <w:footnoteReference w:id="112"/>
      </w:r>
      <w:r w:rsidRPr="008A6123">
        <w:rPr>
          <w:rStyle w:val="FootnoteReference"/>
        </w:rPr>
        <w:t xml:space="preserve"> </w:t>
      </w:r>
      <w:r w:rsidRPr="004F322C">
        <w:rPr>
          <w:rStyle w:val="stylenumberedparagraphs11ptchar0"/>
        </w:rPr>
        <w:t xml:space="preserve"> Special construction charges include design and engineering costs, project management costs, digging trenches and laying fiber.  In order to maximize the options available for schools and libraries seeking to deploy fiber to their premises, we propose to provide priority one support for special construction charges for leased dark fiber, as we do for leased lit fiber.</w:t>
      </w:r>
      <w:bookmarkEnd w:id="1000"/>
      <w:r w:rsidRPr="004F322C">
        <w:rPr>
          <w:rStyle w:val="stylenumberedparagraphs11ptchar0"/>
        </w:rPr>
        <w:t xml:space="preserve">    </w:t>
      </w:r>
    </w:p>
    <w:p w14:paraId="16E1B6EE" w14:textId="4F47B98D" w:rsidR="000627C7" w:rsidRPr="004F322C" w:rsidRDefault="000627C7" w:rsidP="008B7F95">
      <w:pPr>
        <w:pStyle w:val="ParaNum"/>
        <w:rPr>
          <w:rStyle w:val="stylenumberedparagraphs11ptchar0"/>
        </w:rPr>
      </w:pPr>
      <w:r w:rsidRPr="004F322C">
        <w:rPr>
          <w:rStyle w:val="stylenumberedparagraphs11ptchar0"/>
        </w:rPr>
        <w:t>Additionally, although the E-rate program currently provides support for some installation and special construction charges, it requires the cost of large projects to be spread over three years or more.</w:t>
      </w:r>
      <w:r w:rsidRPr="00EF44F7">
        <w:rPr>
          <w:rStyle w:val="FootnoteReference"/>
        </w:rPr>
        <w:footnoteReference w:id="113"/>
      </w:r>
      <w:r w:rsidRPr="008A6123">
        <w:rPr>
          <w:rStyle w:val="FootnoteReference"/>
        </w:rPr>
        <w:t xml:space="preserve">  </w:t>
      </w:r>
      <w:r w:rsidRPr="004F322C">
        <w:rPr>
          <w:rStyle w:val="stylenumberedparagraphs11ptchar0"/>
        </w:rPr>
        <w:t>The Commission’s intent in requiring the cost to be spread over multiple years was to reduce the demand on the fund, but it may have the unintended consequence of deterring efficient investments</w:t>
      </w:r>
      <w:r w:rsidR="00751E58" w:rsidRPr="004F322C">
        <w:rPr>
          <w:rStyle w:val="stylenumberedparagraphs11ptchar0"/>
        </w:rPr>
        <w:t>, including the deployment of fiber</w:t>
      </w:r>
      <w:r w:rsidRPr="004F322C">
        <w:rPr>
          <w:rStyle w:val="stylenumberedparagraphs11ptchar0"/>
        </w:rPr>
        <w:t xml:space="preserve">.  Should we continue to require that large installation and construction costs be spread over </w:t>
      </w:r>
      <w:r w:rsidR="00EF44F7">
        <w:rPr>
          <w:rStyle w:val="stylenumberedparagraphs11ptchar0"/>
          <w:szCs w:val="22"/>
        </w:rPr>
        <w:t>multiple</w:t>
      </w:r>
      <w:r w:rsidR="00EF44F7" w:rsidRPr="004F322C">
        <w:rPr>
          <w:rStyle w:val="stylenumberedparagraphs11ptchar0"/>
        </w:rPr>
        <w:t xml:space="preserve"> </w:t>
      </w:r>
      <w:r w:rsidRPr="004F322C">
        <w:rPr>
          <w:rStyle w:val="stylenumberedparagraphs11ptchar0"/>
        </w:rPr>
        <w:t xml:space="preserve">years?  If so, what should the threshold be for requiring that costs be spread over </w:t>
      </w:r>
      <w:r w:rsidR="00EF44F7">
        <w:rPr>
          <w:rStyle w:val="stylenumberedparagraphs11ptchar0"/>
          <w:szCs w:val="22"/>
        </w:rPr>
        <w:t>multiple</w:t>
      </w:r>
      <w:r w:rsidR="00EF44F7" w:rsidRPr="004F322C">
        <w:rPr>
          <w:rStyle w:val="stylenumberedparagraphs11ptchar0"/>
        </w:rPr>
        <w:t xml:space="preserve"> </w:t>
      </w:r>
      <w:r w:rsidRPr="004F322C">
        <w:rPr>
          <w:rStyle w:val="stylenumberedparagraphs11ptchar0"/>
        </w:rPr>
        <w:t>years?</w:t>
      </w:r>
      <w:r w:rsidRPr="00EF44F7">
        <w:rPr>
          <w:rStyle w:val="FootnoteReference"/>
        </w:rPr>
        <w:footnoteReference w:id="114"/>
      </w:r>
      <w:r w:rsidRPr="008A6123">
        <w:rPr>
          <w:rStyle w:val="FootnoteReference"/>
        </w:rPr>
        <w:t xml:space="preserve"> </w:t>
      </w:r>
      <w:r w:rsidRPr="008A6123">
        <w:rPr>
          <w:rStyle w:val="stylenumberedparagraphs11ptchar0"/>
          <w:szCs w:val="22"/>
        </w:rPr>
        <w:t xml:space="preserve"> </w:t>
      </w:r>
      <w:r w:rsidR="00C01136">
        <w:rPr>
          <w:rStyle w:val="stylenumberedparagraphs11ptchar0"/>
          <w:szCs w:val="22"/>
        </w:rPr>
        <w:t>Is three years the right period?</w:t>
      </w:r>
      <w:r w:rsidR="00C01136" w:rsidRPr="004F322C">
        <w:rPr>
          <w:rStyle w:val="stylenumberedparagraphs11ptchar0"/>
        </w:rPr>
        <w:t xml:space="preserve">  </w:t>
      </w:r>
      <w:r w:rsidRPr="004F322C">
        <w:rPr>
          <w:rStyle w:val="stylenumberedparagraphs11ptchar0"/>
        </w:rPr>
        <w:t xml:space="preserve">Does the answer depend on how many sites are being connected?  </w:t>
      </w:r>
    </w:p>
    <w:p w14:paraId="6C338BBF" w14:textId="4D2DBB4B" w:rsidR="000627C7" w:rsidRPr="004F322C" w:rsidRDefault="00FC4E23" w:rsidP="008B7F95">
      <w:pPr>
        <w:pStyle w:val="ParaNum"/>
        <w:rPr>
          <w:rStyle w:val="stylenumberedparagraphs11ptchar0"/>
        </w:rPr>
      </w:pPr>
      <w:bookmarkStart w:id="1001" w:name="_Ref360203577"/>
      <w:r w:rsidRPr="004F322C">
        <w:rPr>
          <w:rStyle w:val="stylenumberedparagraphs11ptchar0"/>
        </w:rPr>
        <w:t xml:space="preserve">We seek comment on </w:t>
      </w:r>
      <w:r w:rsidR="00751E58" w:rsidRPr="004F322C">
        <w:rPr>
          <w:rStyle w:val="stylenumberedparagraphs11ptchar0"/>
        </w:rPr>
        <w:t xml:space="preserve">the </w:t>
      </w:r>
      <w:r w:rsidRPr="004F322C">
        <w:rPr>
          <w:rStyle w:val="stylenumberedparagraphs11ptchar0"/>
        </w:rPr>
        <w:t xml:space="preserve">cost to deploy fiber or other technologies that would provide </w:t>
      </w:r>
      <w:r w:rsidR="00AE5162" w:rsidRPr="004F322C">
        <w:rPr>
          <w:rStyle w:val="stylenumberedparagraphs11ptchar0"/>
        </w:rPr>
        <w:t>high-capacity broadband</w:t>
      </w:r>
      <w:r w:rsidR="00907826" w:rsidRPr="004F322C">
        <w:rPr>
          <w:rStyle w:val="stylenumberedparagraphs11ptchar0"/>
        </w:rPr>
        <w:t xml:space="preserve"> </w:t>
      </w:r>
      <w:r w:rsidRPr="004F322C">
        <w:rPr>
          <w:rStyle w:val="stylenumberedparagraphs11ptchar0"/>
        </w:rPr>
        <w:t xml:space="preserve">connectivity to schools. </w:t>
      </w:r>
      <w:r w:rsidR="009E655C" w:rsidRPr="004F322C">
        <w:rPr>
          <w:rStyle w:val="stylenumberedparagraphs11ptchar0"/>
        </w:rPr>
        <w:t xml:space="preserve"> </w:t>
      </w:r>
      <w:r w:rsidRPr="004F322C">
        <w:rPr>
          <w:rStyle w:val="stylenumberedparagraphs11ptchar0"/>
        </w:rPr>
        <w:t>W</w:t>
      </w:r>
      <w:r w:rsidR="000627C7" w:rsidRPr="004F322C">
        <w:rPr>
          <w:rStyle w:val="stylenumberedparagraphs11ptchar0"/>
        </w:rPr>
        <w:t xml:space="preserve">e also seek comment on other aspects of support for installation and construction charges.  Is there a limit to the amount of funding we should provide to any one library, school or school district over a certain amount of time </w:t>
      </w:r>
      <w:r w:rsidR="000627C7" w:rsidRPr="004F322C">
        <w:rPr>
          <w:rStyle w:val="stylenumberedparagraphs11ptchar0"/>
        </w:rPr>
        <w:lastRenderedPageBreak/>
        <w:t xml:space="preserve">for construction and installation costs?  Are there specific costs that we should or should not fund as part of installation and construction?  Are there other approaches we should consider in dealing with high installation and construction costs?  </w:t>
      </w:r>
      <w:r w:rsidR="007862A6" w:rsidRPr="004F322C">
        <w:rPr>
          <w:rStyle w:val="stylenumberedparagraphs11ptchar0"/>
        </w:rPr>
        <w:t xml:space="preserve">We seek comment on whether </w:t>
      </w:r>
      <w:r w:rsidR="009E655C" w:rsidRPr="004F322C">
        <w:rPr>
          <w:rStyle w:val="stylenumberedparagraphs11ptchar0"/>
        </w:rPr>
        <w:t>fiber deployment to schools and libraries being slowed because applicants cannot afford to pay the non-discounted portion of deployment costs</w:t>
      </w:r>
      <w:r w:rsidR="007862A6" w:rsidRPr="004F322C">
        <w:rPr>
          <w:rStyle w:val="stylenumberedparagraphs11ptchar0"/>
        </w:rPr>
        <w:t>.</w:t>
      </w:r>
      <w:r w:rsidR="009E655C" w:rsidRPr="004F322C">
        <w:rPr>
          <w:rStyle w:val="stylenumberedparagraphs11ptchar0"/>
        </w:rPr>
        <w:t xml:space="preserve">  </w:t>
      </w:r>
      <w:r w:rsidR="000627C7" w:rsidRPr="004F322C">
        <w:rPr>
          <w:rStyle w:val="stylenumberedparagraphs11ptchar0"/>
        </w:rPr>
        <w:t xml:space="preserve">Are there any other conditions we should impose on applicants who seek prioritized support for lit or dark fiber and modulating electronics?  </w:t>
      </w:r>
      <w:r w:rsidR="009E655C" w:rsidRPr="004F322C">
        <w:rPr>
          <w:rStyle w:val="stylenumberedparagraphs11ptchar0"/>
        </w:rPr>
        <w:t>Are there ways to cost effectively deploy fiber and minimize recurring costs to schools and libraries</w:t>
      </w:r>
      <w:r w:rsidR="009E3B76" w:rsidRPr="004F322C">
        <w:rPr>
          <w:rStyle w:val="stylenumberedparagraphs11ptchar0"/>
        </w:rPr>
        <w:t>?</w:t>
      </w:r>
      <w:bookmarkEnd w:id="1001"/>
    </w:p>
    <w:p w14:paraId="208A70AF" w14:textId="3398784D" w:rsidR="0038310D" w:rsidRPr="004F322C" w:rsidRDefault="000627C7" w:rsidP="008B7F95">
      <w:pPr>
        <w:pStyle w:val="ParaNum"/>
        <w:rPr>
          <w:rStyle w:val="stylenumberedparagraphs11ptchar0"/>
        </w:rPr>
      </w:pPr>
      <w:bookmarkStart w:id="1002" w:name="_Ref360202409"/>
      <w:r w:rsidRPr="004F322C">
        <w:rPr>
          <w:rStyle w:val="stylenumberedparagraphs11ptchar0"/>
        </w:rPr>
        <w:t xml:space="preserve">We also seek comment on whether </w:t>
      </w:r>
      <w:r w:rsidR="000777BF" w:rsidRPr="004F322C">
        <w:rPr>
          <w:rStyle w:val="stylenumberedparagraphs11ptchar0"/>
        </w:rPr>
        <w:t xml:space="preserve">prioritizing </w:t>
      </w:r>
      <w:r w:rsidRPr="004F322C">
        <w:rPr>
          <w:rStyle w:val="stylenumberedparagraphs11ptchar0"/>
        </w:rPr>
        <w:t xml:space="preserve">special construction charges to deploy fiber </w:t>
      </w:r>
      <w:r w:rsidR="0059735C" w:rsidRPr="004F322C">
        <w:rPr>
          <w:rStyle w:val="stylenumberedparagraphs11ptchar0"/>
        </w:rPr>
        <w:t xml:space="preserve">or other technologies </w:t>
      </w:r>
      <w:r w:rsidRPr="004F322C">
        <w:rPr>
          <w:rStyle w:val="stylenumberedparagraphs11ptchar0"/>
        </w:rPr>
        <w:t>from middle mile networks to schools and libraries (lateral fiber builds)</w:t>
      </w:r>
      <w:r w:rsidR="00DE7C42" w:rsidRPr="004F322C">
        <w:rPr>
          <w:rStyle w:val="stylenumberedparagraphs11ptchar0"/>
        </w:rPr>
        <w:t xml:space="preserve"> </w:t>
      </w:r>
      <w:r w:rsidR="000777BF" w:rsidRPr="004F322C">
        <w:rPr>
          <w:rStyle w:val="stylenumberedparagraphs11ptchar0"/>
        </w:rPr>
        <w:t xml:space="preserve">by dedicating a specific amount of E-rate funding to support such deployment </w:t>
      </w:r>
      <w:r w:rsidR="00DE7C42" w:rsidRPr="004F322C">
        <w:rPr>
          <w:rStyle w:val="stylenumberedparagraphs11ptchar0"/>
        </w:rPr>
        <w:t>would help meet our connectivity goals</w:t>
      </w:r>
      <w:r w:rsidR="00C01136">
        <w:t>.</w:t>
      </w:r>
      <w:r w:rsidR="00C01136">
        <w:rPr>
          <w:rStyle w:val="FootnoteReference"/>
        </w:rPr>
        <w:footnoteReference w:id="115"/>
      </w:r>
      <w:r w:rsidR="00C01136">
        <w:t xml:space="preserve">  </w:t>
      </w:r>
      <w:r w:rsidRPr="004F322C">
        <w:rPr>
          <w:rStyle w:val="stylenumberedparagraphs11ptchar0"/>
        </w:rPr>
        <w:t xml:space="preserve">Would </w:t>
      </w:r>
      <w:r w:rsidR="000777BF" w:rsidRPr="004F322C">
        <w:rPr>
          <w:rStyle w:val="stylenumberedparagraphs11ptchar0"/>
        </w:rPr>
        <w:t xml:space="preserve">some prioritization </w:t>
      </w:r>
      <w:r w:rsidR="006F2F04" w:rsidRPr="004F322C">
        <w:rPr>
          <w:rStyle w:val="stylenumberedparagraphs11ptchar0"/>
        </w:rPr>
        <w:t>to support</w:t>
      </w:r>
      <w:r w:rsidR="000777BF" w:rsidRPr="004F322C">
        <w:rPr>
          <w:rStyle w:val="stylenumberedparagraphs11ptchar0"/>
        </w:rPr>
        <w:t xml:space="preserve"> </w:t>
      </w:r>
      <w:r w:rsidRPr="004F322C">
        <w:rPr>
          <w:rStyle w:val="stylenumberedparagraphs11ptchar0"/>
        </w:rPr>
        <w:t>lateral fiber builds create long term cost efficiencies</w:t>
      </w:r>
      <w:r w:rsidR="000F08DD" w:rsidRPr="004F322C">
        <w:rPr>
          <w:rStyle w:val="stylenumberedparagraphs11ptchar0"/>
        </w:rPr>
        <w:t xml:space="preserve"> </w:t>
      </w:r>
      <w:r w:rsidRPr="004F322C">
        <w:rPr>
          <w:rStyle w:val="stylenumberedparagraphs11ptchar0"/>
        </w:rPr>
        <w:t xml:space="preserve">for schools and libraries and for the E-rate program?  </w:t>
      </w:r>
      <w:r w:rsidR="00DE7C42" w:rsidRPr="004F322C">
        <w:rPr>
          <w:rStyle w:val="stylenumberedparagraphs11ptchar0"/>
        </w:rPr>
        <w:t xml:space="preserve">If so, what should that amount be? </w:t>
      </w:r>
      <w:r w:rsidR="00A16BF8" w:rsidRPr="004F322C">
        <w:rPr>
          <w:rStyle w:val="stylenumberedparagraphs11ptchar0"/>
        </w:rPr>
        <w:t xml:space="preserve"> </w:t>
      </w:r>
      <w:r w:rsidRPr="004F322C">
        <w:rPr>
          <w:rStyle w:val="stylenumberedparagraphs11ptchar0"/>
        </w:rPr>
        <w:t xml:space="preserve">Should we encourage or require schools and libraries to enter into long-term </w:t>
      </w:r>
      <w:r w:rsidR="00C01136">
        <w:t>IRUs or other long-term arrangements</w:t>
      </w:r>
      <w:r w:rsidRPr="008A6123">
        <w:rPr>
          <w:rStyle w:val="stylenumberedparagraphs11ptchar0"/>
          <w:szCs w:val="22"/>
        </w:rPr>
        <w:t xml:space="preserve"> </w:t>
      </w:r>
      <w:r w:rsidRPr="004F322C">
        <w:rPr>
          <w:rStyle w:val="stylenumberedparagraphs11ptchar0"/>
        </w:rPr>
        <w:t>on such lateral builds to get the maximum value of initial investments in fiber?</w:t>
      </w:r>
      <w:r w:rsidR="009C3A40" w:rsidRPr="00EF44F7">
        <w:rPr>
          <w:rStyle w:val="FootnoteReference"/>
        </w:rPr>
        <w:footnoteReference w:id="116"/>
      </w:r>
      <w:r w:rsidRPr="004F322C">
        <w:rPr>
          <w:rStyle w:val="stylenumberedparagraphs11ptchar0"/>
        </w:rPr>
        <w:t xml:space="preserve"> </w:t>
      </w:r>
      <w:r w:rsidR="00A16BF8" w:rsidRPr="004F322C">
        <w:rPr>
          <w:rStyle w:val="stylenumberedparagraphs11ptchar0"/>
        </w:rPr>
        <w:t xml:space="preserve"> H</w:t>
      </w:r>
      <w:r w:rsidRPr="004F322C">
        <w:rPr>
          <w:rStyle w:val="stylenumberedparagraphs11ptchar0"/>
        </w:rPr>
        <w:t xml:space="preserve">ow </w:t>
      </w:r>
      <w:r w:rsidR="006125B7">
        <w:rPr>
          <w:rStyle w:val="stylenumberedparagraphs11ptchar0"/>
        </w:rPr>
        <w:t>sh</w:t>
      </w:r>
      <w:r w:rsidR="006125B7" w:rsidRPr="004F322C">
        <w:rPr>
          <w:rStyle w:val="stylenumberedparagraphs11ptchar0"/>
        </w:rPr>
        <w:t xml:space="preserve">ould </w:t>
      </w:r>
      <w:r w:rsidRPr="004F322C">
        <w:rPr>
          <w:rStyle w:val="stylenumberedparagraphs11ptchar0"/>
        </w:rPr>
        <w:t>we determine the rules of priority</w:t>
      </w:r>
      <w:r w:rsidR="00DE7C42" w:rsidRPr="004F322C">
        <w:rPr>
          <w:rStyle w:val="stylenumberedparagraphs11ptchar0"/>
        </w:rPr>
        <w:t xml:space="preserve"> for such funding</w:t>
      </w:r>
      <w:r w:rsidRPr="004F322C">
        <w:rPr>
          <w:rStyle w:val="stylenumberedparagraphs11ptchar0"/>
        </w:rPr>
        <w:t xml:space="preserve"> and how much funding should be allocated to each applicant?  For example, should funding for fiber builds be distributed based on the poverty level of the students at a school, </w:t>
      </w:r>
      <w:r w:rsidR="00751E58" w:rsidRPr="004F322C">
        <w:rPr>
          <w:rStyle w:val="stylenumberedparagraphs11ptchar0"/>
        </w:rPr>
        <w:t xml:space="preserve">rurality, </w:t>
      </w:r>
      <w:r w:rsidR="00190577" w:rsidRPr="004F322C">
        <w:rPr>
          <w:rStyle w:val="stylenumberedparagraphs11ptchar0"/>
        </w:rPr>
        <w:t xml:space="preserve">location on Tribal lands, </w:t>
      </w:r>
      <w:r w:rsidRPr="004F322C">
        <w:rPr>
          <w:rStyle w:val="stylenumberedparagraphs11ptchar0"/>
        </w:rPr>
        <w:t xml:space="preserve">lack of fiber </w:t>
      </w:r>
      <w:r w:rsidR="00190577" w:rsidRPr="004F322C">
        <w:rPr>
          <w:rStyle w:val="stylenumberedparagraphs11ptchar0"/>
        </w:rPr>
        <w:t xml:space="preserve">or other high-capacity broadband </w:t>
      </w:r>
      <w:r w:rsidRPr="004F322C">
        <w:rPr>
          <w:rStyle w:val="stylenumberedparagraphs11ptchar0"/>
        </w:rPr>
        <w:t xml:space="preserve">connections to community anchor institutions, or some other objective, observable metric?  </w:t>
      </w:r>
      <w:r w:rsidR="000F08DD" w:rsidRPr="004F322C">
        <w:rPr>
          <w:rStyle w:val="stylenumberedparagraphs11ptchar0"/>
        </w:rPr>
        <w:t xml:space="preserve">How much support do we need to provide to make it possible for schools and libraries to apply for such funds, particularly in rural, tribal and other areas where deployment is likely to be expensive?  </w:t>
      </w:r>
      <w:r w:rsidRPr="004F322C">
        <w:rPr>
          <w:rStyle w:val="stylenumberedparagraphs11ptchar0"/>
        </w:rPr>
        <w:t xml:space="preserve">Should we also consider </w:t>
      </w:r>
      <w:r w:rsidR="000F08DD" w:rsidRPr="004F322C">
        <w:rPr>
          <w:rStyle w:val="stylenumberedparagraphs11ptchar0"/>
        </w:rPr>
        <w:t xml:space="preserve">allowing applicants to </w:t>
      </w:r>
      <w:r w:rsidRPr="004F322C">
        <w:rPr>
          <w:rStyle w:val="stylenumberedparagraphs11ptchar0"/>
        </w:rPr>
        <w:t>amortiz</w:t>
      </w:r>
      <w:r w:rsidR="000F08DD" w:rsidRPr="004F322C">
        <w:rPr>
          <w:rStyle w:val="stylenumberedparagraphs11ptchar0"/>
        </w:rPr>
        <w:t>e</w:t>
      </w:r>
      <w:r w:rsidRPr="004F322C">
        <w:rPr>
          <w:rStyle w:val="stylenumberedparagraphs11ptchar0"/>
        </w:rPr>
        <w:t xml:space="preserve"> the costs over a period of time longer than the three years </w:t>
      </w:r>
      <w:r w:rsidR="000F08DD" w:rsidRPr="004F322C">
        <w:rPr>
          <w:rStyle w:val="stylenumberedparagraphs11ptchar0"/>
        </w:rPr>
        <w:t>currently required?</w:t>
      </w:r>
      <w:bookmarkEnd w:id="1002"/>
      <w:r w:rsidRPr="004F322C">
        <w:rPr>
          <w:rStyle w:val="stylenumberedparagraphs11ptchar0"/>
        </w:rPr>
        <w:t xml:space="preserve"> </w:t>
      </w:r>
    </w:p>
    <w:p w14:paraId="0811FA63" w14:textId="2CC32F57" w:rsidR="000627C7" w:rsidRPr="004F322C" w:rsidRDefault="00D33642" w:rsidP="008B7F95">
      <w:pPr>
        <w:pStyle w:val="ParaNum"/>
        <w:rPr>
          <w:rStyle w:val="stylenumberedparagraphs11ptchar0"/>
        </w:rPr>
      </w:pPr>
      <w:r>
        <w:rPr>
          <w:rStyle w:val="stylenumberedparagraphs11ptchar0"/>
        </w:rPr>
        <w:t xml:space="preserve">Is </w:t>
      </w:r>
      <w:r w:rsidR="000627C7" w:rsidRPr="004F322C">
        <w:rPr>
          <w:rStyle w:val="stylenumberedparagraphs11ptchar0"/>
        </w:rPr>
        <w:t xml:space="preserve">there a role for the states </w:t>
      </w:r>
      <w:r w:rsidR="00190577" w:rsidRPr="004F322C">
        <w:rPr>
          <w:rStyle w:val="stylenumberedparagraphs11ptchar0"/>
        </w:rPr>
        <w:t xml:space="preserve">or Tribal governments </w:t>
      </w:r>
      <w:r w:rsidR="000627C7" w:rsidRPr="004F322C">
        <w:rPr>
          <w:rStyle w:val="stylenumberedparagraphs11ptchar0"/>
        </w:rPr>
        <w:t xml:space="preserve">to play in determining priority for such funds? </w:t>
      </w:r>
      <w:r w:rsidR="00A16BF8" w:rsidRPr="004F322C">
        <w:rPr>
          <w:rStyle w:val="stylenumberedparagraphs11ptchar0"/>
        </w:rPr>
        <w:t xml:space="preserve"> </w:t>
      </w:r>
      <w:r w:rsidR="000627C7" w:rsidRPr="004F322C">
        <w:rPr>
          <w:rStyle w:val="stylenumberedparagraphs11ptchar0"/>
        </w:rPr>
        <w:t xml:space="preserve">For example, should we seek state </w:t>
      </w:r>
      <w:r w:rsidR="00190577" w:rsidRPr="004F322C">
        <w:rPr>
          <w:rStyle w:val="stylenumberedparagraphs11ptchar0"/>
        </w:rPr>
        <w:t xml:space="preserve">and Tribal government </w:t>
      </w:r>
      <w:r w:rsidR="000627C7" w:rsidRPr="004F322C">
        <w:rPr>
          <w:rStyle w:val="stylenumberedparagraphs11ptchar0"/>
        </w:rPr>
        <w:t>recommendations for the neediest communities</w:t>
      </w:r>
      <w:r w:rsidR="0038310D" w:rsidRPr="004F322C">
        <w:rPr>
          <w:rStyle w:val="stylenumberedparagraphs11ptchar0"/>
        </w:rPr>
        <w:t xml:space="preserve"> (</w:t>
      </w:r>
      <w:r w:rsidR="0038310D" w:rsidRPr="00DE4564">
        <w:rPr>
          <w:rStyle w:val="stylenumberedparagraphs11ptchar0"/>
          <w:i/>
        </w:rPr>
        <w:t>e.g.</w:t>
      </w:r>
      <w:r w:rsidR="0038310D" w:rsidRPr="004F322C">
        <w:rPr>
          <w:rStyle w:val="stylenumberedparagraphs11ptchar0"/>
        </w:rPr>
        <w:t>, low income or schools or libraries without broadband),</w:t>
      </w:r>
      <w:r w:rsidR="000627C7" w:rsidRPr="004F322C">
        <w:rPr>
          <w:rStyle w:val="stylenumberedparagraphs11ptchar0"/>
        </w:rPr>
        <w:t xml:space="preserve"> allowing the Commission to make the final determinations based on the amount of funding set aside for particular schools and libraries for fiber lateral builds?  We specifically seek comment on any other factors to </w:t>
      </w:r>
      <w:r w:rsidR="000627C7" w:rsidRPr="004F322C">
        <w:rPr>
          <w:rStyle w:val="stylenumberedparagraphs11ptchar0"/>
        </w:rPr>
        <w:lastRenderedPageBreak/>
        <w:t xml:space="preserve">determine priority of funding for fiber lateral builds. </w:t>
      </w:r>
      <w:r w:rsidR="003A39BC">
        <w:rPr>
          <w:rStyle w:val="stylenumberedparagraphs11ptchar0"/>
        </w:rPr>
        <w:t xml:space="preserve"> </w:t>
      </w:r>
      <w:r w:rsidR="000627C7" w:rsidRPr="004F322C">
        <w:rPr>
          <w:rStyle w:val="stylenumberedparagraphs11ptchar0"/>
        </w:rPr>
        <w:t xml:space="preserve">We also seek comment on any potential requirements for receipt of </w:t>
      </w:r>
      <w:r w:rsidR="009C3A40" w:rsidRPr="004F322C">
        <w:rPr>
          <w:rStyle w:val="stylenumberedparagraphs11ptchar0"/>
        </w:rPr>
        <w:t xml:space="preserve">specific </w:t>
      </w:r>
      <w:r w:rsidR="000627C7" w:rsidRPr="004F322C">
        <w:rPr>
          <w:rStyle w:val="stylenumberedparagraphs11ptchar0"/>
        </w:rPr>
        <w:t xml:space="preserve">support for fiber lateral builds.  Should we, for example, require community access to </w:t>
      </w:r>
      <w:r w:rsidR="00AE5162" w:rsidRPr="004F322C">
        <w:rPr>
          <w:rStyle w:val="stylenumberedparagraphs11ptchar0"/>
        </w:rPr>
        <w:t>high-capacity broadband</w:t>
      </w:r>
      <w:r w:rsidR="000627C7" w:rsidRPr="004F322C">
        <w:rPr>
          <w:rStyle w:val="stylenumberedparagraphs11ptchar0"/>
        </w:rPr>
        <w:t xml:space="preserve"> facilities in exchange for such funding?  We ask commenters to be as specific as possible in response to these questions.</w:t>
      </w:r>
    </w:p>
    <w:p w14:paraId="59E5E60B" w14:textId="1E9962A8" w:rsidR="008A6123" w:rsidRPr="004F322C" w:rsidRDefault="00A16BF8" w:rsidP="008B7F95">
      <w:pPr>
        <w:pStyle w:val="ParaNum"/>
        <w:rPr>
          <w:rStyle w:val="stylenumberedparagraphs11ptchar0"/>
        </w:rPr>
      </w:pPr>
      <w:r w:rsidRPr="004F322C">
        <w:rPr>
          <w:rStyle w:val="stylenumberedparagraphs11ptchar0"/>
        </w:rPr>
        <w:t>I</w:t>
      </w:r>
      <w:r w:rsidR="0059735C" w:rsidRPr="004F322C">
        <w:rPr>
          <w:rStyle w:val="stylenumberedparagraphs11ptchar0"/>
        </w:rPr>
        <w:t xml:space="preserve">f </w:t>
      </w:r>
      <w:r w:rsidR="000F08DD" w:rsidRPr="004F322C">
        <w:rPr>
          <w:rStyle w:val="stylenumberedparagraphs11ptchar0"/>
        </w:rPr>
        <w:t xml:space="preserve">we prioritize some </w:t>
      </w:r>
      <w:r w:rsidR="0059735C" w:rsidRPr="004F322C">
        <w:rPr>
          <w:rStyle w:val="stylenumberedparagraphs11ptchar0"/>
        </w:rPr>
        <w:t xml:space="preserve">funding for new </w:t>
      </w:r>
      <w:r w:rsidR="00AE5162" w:rsidRPr="004F322C">
        <w:rPr>
          <w:rStyle w:val="stylenumberedparagraphs11ptchar0"/>
        </w:rPr>
        <w:t>high-capacity broadband</w:t>
      </w:r>
      <w:r w:rsidR="0059735C" w:rsidRPr="004F322C">
        <w:rPr>
          <w:rStyle w:val="stylenumberedparagraphs11ptchar0"/>
        </w:rPr>
        <w:t xml:space="preserve"> deployment </w:t>
      </w:r>
      <w:r w:rsidRPr="004F322C">
        <w:rPr>
          <w:rStyle w:val="stylenumberedparagraphs11ptchar0"/>
        </w:rPr>
        <w:t xml:space="preserve">should we be technology neutral </w:t>
      </w:r>
      <w:r w:rsidR="0059735C" w:rsidRPr="004F322C">
        <w:rPr>
          <w:rStyle w:val="stylenumberedparagraphs11ptchar0"/>
        </w:rPr>
        <w:t xml:space="preserve">or should </w:t>
      </w:r>
      <w:r w:rsidRPr="004F322C">
        <w:rPr>
          <w:rStyle w:val="stylenumberedparagraphs11ptchar0"/>
        </w:rPr>
        <w:t xml:space="preserve">we </w:t>
      </w:r>
      <w:r w:rsidR="0059735C" w:rsidRPr="004F322C">
        <w:rPr>
          <w:rStyle w:val="stylenumberedparagraphs11ptchar0"/>
        </w:rPr>
        <w:t>prioritize fiber connectivity over other types of broadband connectivity</w:t>
      </w:r>
      <w:r w:rsidR="008324C1" w:rsidRPr="004F322C">
        <w:rPr>
          <w:rStyle w:val="stylenumberedparagraphs11ptchar0"/>
        </w:rPr>
        <w:t xml:space="preserve">?  Should we give schools flexibility to select the best technology that meets their needs?  </w:t>
      </w:r>
      <w:r w:rsidR="000627C7" w:rsidRPr="004F322C">
        <w:rPr>
          <w:rStyle w:val="stylenumberedparagraphs11ptchar0"/>
        </w:rPr>
        <w:t>As discussed above there may be some schools and libraries, particularly small rural schools and libraries, where fiber deployment is either not necessary or simply cost-prohibitive.</w:t>
      </w:r>
      <w:r w:rsidR="000627C7" w:rsidRPr="00EF44F7">
        <w:rPr>
          <w:rStyle w:val="FootnoteReference"/>
        </w:rPr>
        <w:footnoteReference w:id="117"/>
      </w:r>
      <w:r w:rsidR="000627C7" w:rsidRPr="008A6123">
        <w:rPr>
          <w:rStyle w:val="FootnoteReference"/>
        </w:rPr>
        <w:t xml:space="preserve"> </w:t>
      </w:r>
      <w:r w:rsidR="000627C7" w:rsidRPr="004F322C">
        <w:rPr>
          <w:rStyle w:val="stylenumberedparagraphs11ptchar0"/>
        </w:rPr>
        <w:t xml:space="preserve"> </w:t>
      </w:r>
      <w:r w:rsidR="00190577" w:rsidRPr="004F322C">
        <w:rPr>
          <w:rStyle w:val="stylenumberedparagraphs11ptchar0"/>
        </w:rPr>
        <w:t>How should we address the needs of schools and libraries in areas where fiber is far less likely to be offered or available, such as Tribal lands?  A</w:t>
      </w:r>
      <w:r w:rsidR="000627C7" w:rsidRPr="004F322C">
        <w:rPr>
          <w:rStyle w:val="stylenumberedparagraphs11ptchar0"/>
        </w:rPr>
        <w:t xml:space="preserve">re there other solutions such as fixed wireless </w:t>
      </w:r>
      <w:r w:rsidR="005B1353" w:rsidRPr="004F322C">
        <w:rPr>
          <w:rStyle w:val="stylenumberedparagraphs11ptchar0"/>
        </w:rPr>
        <w:t xml:space="preserve">or cable </w:t>
      </w:r>
      <w:r w:rsidR="000627C7" w:rsidRPr="004F322C">
        <w:rPr>
          <w:rStyle w:val="stylenumberedparagraphs11ptchar0"/>
        </w:rPr>
        <w:t xml:space="preserve">solutions that would be sufficient today or in the future for meeting such schools’ and libraries’ </w:t>
      </w:r>
      <w:r w:rsidR="00AE5162" w:rsidRPr="004F322C">
        <w:rPr>
          <w:rStyle w:val="stylenumberedparagraphs11ptchar0"/>
        </w:rPr>
        <w:t>high-capacity broadband</w:t>
      </w:r>
      <w:r w:rsidR="000627C7" w:rsidRPr="004F322C">
        <w:rPr>
          <w:rStyle w:val="stylenumberedparagraphs11ptchar0"/>
        </w:rPr>
        <w:t xml:space="preserve"> needs?</w:t>
      </w:r>
      <w:r w:rsidR="00834F54" w:rsidRPr="004F322C">
        <w:rPr>
          <w:rStyle w:val="stylenumberedparagraphs11ptchar0"/>
        </w:rPr>
        <w:t xml:space="preserve"> </w:t>
      </w:r>
      <w:r w:rsidR="000627C7" w:rsidRPr="004F322C">
        <w:rPr>
          <w:rStyle w:val="stylenumberedparagraphs11ptchar0"/>
        </w:rPr>
        <w:t xml:space="preserve"> Are there deployment costs associated with any of those technologies that should be supported by the E-rate program? </w:t>
      </w:r>
    </w:p>
    <w:p w14:paraId="594AB4E9" w14:textId="7D6A8ECF" w:rsidR="008A6123" w:rsidRPr="004F322C" w:rsidRDefault="008A6123" w:rsidP="008B7F95">
      <w:pPr>
        <w:pStyle w:val="ParaNum"/>
        <w:rPr>
          <w:rStyle w:val="stylenumberedparagraphs11ptchar0"/>
        </w:rPr>
      </w:pPr>
      <w:bookmarkStart w:id="1003" w:name="_Ref360204906"/>
      <w:r w:rsidRPr="004F322C">
        <w:rPr>
          <w:rStyle w:val="stylenumberedparagraphs11ptchar0"/>
        </w:rPr>
        <w:t>If we seek to spur fiber or other broadband deployments through dedicated funding, are there associated changes we should make in how we fund the recurring costs for telecommunications and Internet access services, which are also priority one services today?  For example, should we fund broadband deployment upgrades before recurring costs, creating a further prioritization within existing priority one services?  Should we consider providing a different discount rate for ongoing services than for initial fiber upgrades?  Would this approach encourage schools and libraries to enter more efficient long-term service arrangements as part of new infrastructure investments?</w:t>
      </w:r>
      <w:bookmarkEnd w:id="1003"/>
    </w:p>
    <w:p w14:paraId="2BBA31C7" w14:textId="6B7A4ADF" w:rsidR="000627C7" w:rsidRPr="008A6123" w:rsidRDefault="000627C7" w:rsidP="008A6123">
      <w:pPr>
        <w:pStyle w:val="ParaNum"/>
        <w:rPr>
          <w:rStyle w:val="FootnoteReference"/>
          <w:szCs w:val="22"/>
          <w:vertAlign w:val="baseline"/>
        </w:rPr>
      </w:pPr>
      <w:r w:rsidRPr="008A6123">
        <w:rPr>
          <w:rStyle w:val="stylenumberedparagraphs11ptchar0"/>
          <w:szCs w:val="22"/>
        </w:rPr>
        <w:t xml:space="preserve"> </w:t>
      </w:r>
      <w:bookmarkStart w:id="1004" w:name="_Ref360205586"/>
      <w:bookmarkStart w:id="1005" w:name="_Ref362341576"/>
      <w:r w:rsidR="008A6123" w:rsidRPr="00B043D6">
        <w:rPr>
          <w:rStyle w:val="stylenumberedparagraphs11ptchar0"/>
          <w:i/>
        </w:rPr>
        <w:t>Wide Area Networks (WANS)</w:t>
      </w:r>
      <w:r w:rsidR="008A6123" w:rsidRPr="004F322C">
        <w:rPr>
          <w:rStyle w:val="stylenumberedparagraphs11ptchar0"/>
        </w:rPr>
        <w:t>.</w:t>
      </w:r>
      <w:r w:rsidR="008A6123" w:rsidRPr="00EF44F7">
        <w:rPr>
          <w:rStyle w:val="FootnoteReference"/>
        </w:rPr>
        <w:footnoteReference w:id="118"/>
      </w:r>
      <w:r w:rsidR="008A6123" w:rsidRPr="008A6123">
        <w:rPr>
          <w:rStyle w:val="FootnoteReference"/>
        </w:rPr>
        <w:t xml:space="preserve"> </w:t>
      </w:r>
      <w:r w:rsidR="008A6123" w:rsidRPr="004F322C">
        <w:rPr>
          <w:rStyle w:val="stylenumberedparagraphs11ptchar0"/>
        </w:rPr>
        <w:t xml:space="preserve"> Many schools and libraries use WANs to provide broadband connectivity to and among their buildings.  WANs are useful for participants in the E-rate program, particularly school districts and consortia, because they provide dedicated connections between the schools within a school district or the schools and libraries within a </w:t>
      </w:r>
      <w:r w:rsidR="008A6123" w:rsidRPr="004F322C">
        <w:rPr>
          <w:rStyle w:val="stylenumberedparagraphs11ptchar0"/>
        </w:rPr>
        <w:lastRenderedPageBreak/>
        <w:t>consortium allowing them to easily share information and resources.  For example, last August, Red Lion School District in Pennsylvania finished deploying a fiber-based WAN network that was supported by the E-rate program.  Prior to deploying the new WAN, the district, which has nine schools, had an assortment of technologies but no school had bandwidth greater than 50 Mbps.  The new WAN, which incorporates both microwave and fiber technology, provides many of the schools with 1 Gbps in bandwidth to support distance learning, social media, Web 2.0, and cloud-based services.</w:t>
      </w:r>
      <w:r w:rsidR="008A6123" w:rsidRPr="00EF44F7">
        <w:rPr>
          <w:rStyle w:val="FootnoteReference"/>
        </w:rPr>
        <w:footnoteReference w:id="119"/>
      </w:r>
      <w:r w:rsidR="00AB45B1">
        <w:rPr>
          <w:rStyle w:val="stylenumberedparagraphs11ptchar0"/>
        </w:rPr>
        <w:t xml:space="preserve">  </w:t>
      </w:r>
      <w:r w:rsidR="008A6123" w:rsidRPr="004F322C">
        <w:rPr>
          <w:rStyle w:val="stylenumberedparagraphs11ptchar0"/>
        </w:rPr>
        <w:t>Under the current E-rate rules, however, applicants are allowed to seek support for leased access to WANs but are not permitted to seek support for WANs that they build or purchase</w:t>
      </w:r>
      <w:r w:rsidR="00E0139E">
        <w:rPr>
          <w:rStyle w:val="stylenumberedparagraphs11ptchar0"/>
        </w:rPr>
        <w:t>.</w:t>
      </w:r>
      <w:bookmarkEnd w:id="1004"/>
      <w:r w:rsidR="008A6123" w:rsidRPr="00EF44F7">
        <w:rPr>
          <w:rStyle w:val="FootnoteReference"/>
        </w:rPr>
        <w:footnoteReference w:id="120"/>
      </w:r>
      <w:bookmarkEnd w:id="1005"/>
      <w:r w:rsidRPr="008A6123">
        <w:rPr>
          <w:rStyle w:val="stylenumberedparagraphs11ptchar0"/>
          <w:szCs w:val="22"/>
        </w:rPr>
        <w:t xml:space="preserve"> </w:t>
      </w:r>
      <w:r w:rsidR="00834F54" w:rsidRPr="008A6123">
        <w:rPr>
          <w:rStyle w:val="stylenumberedparagraphs11ptchar0"/>
          <w:szCs w:val="22"/>
        </w:rPr>
        <w:t xml:space="preserve">  </w:t>
      </w:r>
    </w:p>
    <w:p w14:paraId="21145DDC" w14:textId="07166519" w:rsidR="000627C7" w:rsidRPr="004F322C" w:rsidRDefault="000627C7" w:rsidP="008B7F95">
      <w:pPr>
        <w:pStyle w:val="ParaNum"/>
        <w:rPr>
          <w:rStyle w:val="stylenumberedparagraphs11ptchar0"/>
        </w:rPr>
      </w:pPr>
      <w:r w:rsidRPr="004F322C" w:rsidDel="000D0A33">
        <w:rPr>
          <w:rStyle w:val="stylenumberedparagraphs11ptchar0"/>
        </w:rPr>
        <w:t>We seek comment on whether there are circumstances under which it will be more cost</w:t>
      </w:r>
      <w:r w:rsidR="00E0139E">
        <w:rPr>
          <w:rStyle w:val="stylenumberedparagraphs11ptchar0"/>
        </w:rPr>
        <w:t>-</w:t>
      </w:r>
      <w:r w:rsidRPr="004F322C" w:rsidDel="000D0A33">
        <w:rPr>
          <w:rStyle w:val="stylenumberedparagraphs11ptchar0"/>
        </w:rPr>
        <w:t xml:space="preserve">effective for schools and libraries to build or purchase their own WAN rather than to lease a WAN.  We also seek comment on whether there might be occasions where building or purchasing their own WAN is the only way for schools and libraries to get broadband access.  If so, we seek comment on whether we should lift our prohibition on schools and libraries building or purchasing their own WANs </w:t>
      </w:r>
      <w:r w:rsidR="00DE7C42" w:rsidRPr="004F322C">
        <w:rPr>
          <w:rStyle w:val="stylenumberedparagraphs11ptchar0"/>
        </w:rPr>
        <w:t>by removing</w:t>
      </w:r>
      <w:r w:rsidR="00DE7C42" w:rsidRPr="004F322C" w:rsidDel="000D0A33">
        <w:rPr>
          <w:rStyle w:val="stylenumberedparagraphs11ptchar0"/>
        </w:rPr>
        <w:t xml:space="preserve"> </w:t>
      </w:r>
      <w:r w:rsidRPr="004F322C" w:rsidDel="000D0A33">
        <w:rPr>
          <w:rStyle w:val="stylenumberedparagraphs11ptchar0"/>
        </w:rPr>
        <w:t>section 54.518</w:t>
      </w:r>
      <w:r w:rsidR="00907826" w:rsidRPr="004F322C">
        <w:rPr>
          <w:rStyle w:val="stylenumberedparagraphs11ptchar0"/>
        </w:rPr>
        <w:t xml:space="preserve"> of our rules</w:t>
      </w:r>
      <w:r w:rsidRPr="004F322C" w:rsidDel="000D0A33">
        <w:rPr>
          <w:rStyle w:val="stylenumberedparagraphs11ptchar0"/>
        </w:rPr>
        <w:t>, or amend that section of our rules to allow schools and libraries to build or purchase their own WANs under certain circumstances</w:t>
      </w:r>
      <w:r w:rsidR="00DE7C42" w:rsidRPr="004F322C">
        <w:rPr>
          <w:rStyle w:val="stylenumberedparagraphs11ptchar0"/>
        </w:rPr>
        <w:t>.</w:t>
      </w:r>
      <w:r w:rsidR="00DE7C42" w:rsidRPr="00EF44F7">
        <w:rPr>
          <w:rStyle w:val="FootnoteReference"/>
        </w:rPr>
        <w:footnoteReference w:id="121"/>
      </w:r>
      <w:r w:rsidR="00DE7C42" w:rsidRPr="008A6123">
        <w:rPr>
          <w:rStyle w:val="FootnoteReference"/>
        </w:rPr>
        <w:t xml:space="preserve"> </w:t>
      </w:r>
      <w:r w:rsidR="00DE7C42" w:rsidRPr="004F322C">
        <w:rPr>
          <w:rStyle w:val="stylenumberedparagraphs11ptchar0"/>
        </w:rPr>
        <w:t xml:space="preserve"> </w:t>
      </w:r>
      <w:r w:rsidRPr="004F322C" w:rsidDel="000D0A33">
        <w:rPr>
          <w:rStyle w:val="stylenumberedparagraphs11ptchar0"/>
        </w:rPr>
        <w:t>If the latter, we seek comment on the criteria we should use in determining whether to provide E-rate support to schools and libraries that purchase or build their own WANs.</w:t>
      </w:r>
      <w:r w:rsidRPr="004F322C">
        <w:rPr>
          <w:rStyle w:val="stylenumberedparagraphs11ptchar0"/>
        </w:rPr>
        <w:t xml:space="preserve">  </w:t>
      </w:r>
    </w:p>
    <w:p w14:paraId="5140A362" w14:textId="6F4887C1" w:rsidR="001A2187" w:rsidRPr="004F322C" w:rsidRDefault="00EE5292" w:rsidP="008B7F95">
      <w:pPr>
        <w:pStyle w:val="ParaNum"/>
        <w:rPr>
          <w:rStyle w:val="stylenumberedparagraphs11ptchar0"/>
        </w:rPr>
      </w:pPr>
      <w:bookmarkStart w:id="1006" w:name="_Ref360203493"/>
      <w:r w:rsidRPr="004F322C">
        <w:rPr>
          <w:rStyle w:val="stylenumberedparagraphs11ptchar0"/>
        </w:rPr>
        <w:t xml:space="preserve">In the </w:t>
      </w:r>
      <w:r w:rsidR="003C2950" w:rsidRPr="003C2950">
        <w:rPr>
          <w:rStyle w:val="stylenumberedparagraphs11ptchar0"/>
          <w:i/>
        </w:rPr>
        <w:t>Healthcare Connect Fund Order</w:t>
      </w:r>
      <w:r w:rsidRPr="004F322C">
        <w:rPr>
          <w:rStyle w:val="stylenumberedparagraphs11ptchar0"/>
        </w:rPr>
        <w:t>, the Commission allowed consortia to seek rural health care fund support to build and own their own network facilities if construction was determined to be the most cost-effective option after competitive bidding.</w:t>
      </w:r>
      <w:r w:rsidRPr="00EF44F7">
        <w:rPr>
          <w:rStyle w:val="FootnoteReference"/>
        </w:rPr>
        <w:footnoteReference w:id="122"/>
      </w:r>
      <w:r w:rsidRPr="004F322C">
        <w:rPr>
          <w:rStyle w:val="stylenumberedparagraphs11ptchar0"/>
        </w:rPr>
        <w:t xml:space="preserve">  However, the </w:t>
      </w:r>
      <w:r w:rsidR="003C2950" w:rsidRPr="003C2950">
        <w:rPr>
          <w:rStyle w:val="stylenumberedparagraphs11ptchar0"/>
          <w:i/>
        </w:rPr>
        <w:t>Healthcare Connect Fund Order</w:t>
      </w:r>
      <w:r w:rsidRPr="004F322C">
        <w:rPr>
          <w:rStyle w:val="stylenumberedparagraphs11ptchar0"/>
        </w:rPr>
        <w:t xml:space="preserve"> also imposed several safeguards on the program to ensure that consortia only exercised their option to self-construct when it was absolutely necessary.</w:t>
      </w:r>
      <w:r w:rsidRPr="00EF44F7">
        <w:rPr>
          <w:rStyle w:val="FootnoteReference"/>
        </w:rPr>
        <w:footnoteReference w:id="123"/>
      </w:r>
      <w:r w:rsidRPr="008A6123">
        <w:rPr>
          <w:rStyle w:val="FootnoteReference"/>
        </w:rPr>
        <w:t xml:space="preserve"> </w:t>
      </w:r>
      <w:r w:rsidRPr="004F322C">
        <w:rPr>
          <w:rStyle w:val="stylenumberedparagraphs11ptchar0"/>
        </w:rPr>
        <w:t xml:space="preserve"> Should we impose similar </w:t>
      </w:r>
      <w:r w:rsidRPr="004F322C">
        <w:rPr>
          <w:rStyle w:val="stylenumberedparagraphs11ptchar0"/>
        </w:rPr>
        <w:lastRenderedPageBreak/>
        <w:t xml:space="preserve">safeguards on schools and libraries’ option to self-construct WANs in the E-rate program?  </w:t>
      </w:r>
      <w:r w:rsidR="002F0A4A" w:rsidRPr="004F322C">
        <w:rPr>
          <w:rStyle w:val="stylenumberedparagraphs11ptchar0"/>
        </w:rPr>
        <w:t xml:space="preserve">Are there other E-rate supported services that we should allow applicants to </w:t>
      </w:r>
      <w:r w:rsidR="002F0A4A" w:rsidRPr="008A6123">
        <w:rPr>
          <w:rStyle w:val="stylenumberedparagraphs11ptchar0"/>
          <w:szCs w:val="22"/>
        </w:rPr>
        <w:t>self-provision?</w:t>
      </w:r>
      <w:r w:rsidR="002F0A4A" w:rsidRPr="004F322C">
        <w:rPr>
          <w:rStyle w:val="stylenumberedparagraphs11ptchar0"/>
        </w:rPr>
        <w:t xml:space="preserve"> </w:t>
      </w:r>
      <w:r w:rsidRPr="004F322C">
        <w:rPr>
          <w:rStyle w:val="stylenumberedparagraphs11ptchar0"/>
        </w:rPr>
        <w:t xml:space="preserve"> If so, what services and under what conditions?</w:t>
      </w:r>
      <w:bookmarkEnd w:id="1006"/>
      <w:r w:rsidR="00E81151" w:rsidRPr="004F322C">
        <w:rPr>
          <w:rStyle w:val="stylenumberedparagraphs11ptchar0"/>
        </w:rPr>
        <w:t xml:space="preserve">  </w:t>
      </w:r>
    </w:p>
    <w:p w14:paraId="5755A724" w14:textId="4C8CDEBD" w:rsidR="000627C7" w:rsidRPr="004F322C" w:rsidRDefault="00E81151" w:rsidP="008B7F95">
      <w:pPr>
        <w:pStyle w:val="ParaNum"/>
        <w:rPr>
          <w:rStyle w:val="stylenumberedparagraphs11ptchar0"/>
        </w:rPr>
      </w:pPr>
      <w:bookmarkStart w:id="1007" w:name="_Ref360205594"/>
      <w:r w:rsidRPr="004F322C">
        <w:rPr>
          <w:rStyle w:val="stylenumberedparagraphs11ptchar0"/>
        </w:rPr>
        <w:t>More generally, are ther</w:t>
      </w:r>
      <w:r w:rsidR="0059647A" w:rsidRPr="004F322C">
        <w:rPr>
          <w:rStyle w:val="stylenumberedparagraphs11ptchar0"/>
        </w:rPr>
        <w:t>e</w:t>
      </w:r>
      <w:r w:rsidRPr="004F322C">
        <w:rPr>
          <w:rStyle w:val="stylenumberedparagraphs11ptchar0"/>
        </w:rPr>
        <w:t xml:space="preserve"> any other rule changes </w:t>
      </w:r>
      <w:r w:rsidR="001D66DC" w:rsidRPr="004F322C">
        <w:rPr>
          <w:rStyle w:val="stylenumberedparagraphs11ptchar0"/>
        </w:rPr>
        <w:t xml:space="preserve">needed to ensure schools and libraries can access </w:t>
      </w:r>
      <w:r w:rsidR="00006511" w:rsidRPr="004F322C">
        <w:rPr>
          <w:rStyle w:val="stylenumberedparagraphs11ptchar0"/>
        </w:rPr>
        <w:t>high-capacity</w:t>
      </w:r>
      <w:r w:rsidR="001D66DC" w:rsidRPr="004F322C">
        <w:rPr>
          <w:rStyle w:val="stylenumberedparagraphs11ptchar0"/>
        </w:rPr>
        <w:t xml:space="preserve"> connections to their premises?</w:t>
      </w:r>
      <w:r w:rsidR="00DE7C42" w:rsidRPr="004F322C">
        <w:rPr>
          <w:rStyle w:val="stylenumberedparagraphs11ptchar0"/>
        </w:rPr>
        <w:t xml:space="preserve">  What other steps can </w:t>
      </w:r>
      <w:r w:rsidR="00E90768">
        <w:rPr>
          <w:rStyle w:val="stylenumberedparagraphs11ptchar0"/>
        </w:rPr>
        <w:t xml:space="preserve">we </w:t>
      </w:r>
      <w:r w:rsidR="00DE7C42" w:rsidRPr="004F322C">
        <w:rPr>
          <w:rStyle w:val="stylenumberedparagraphs11ptchar0"/>
        </w:rPr>
        <w:t>take to spur efficient new broadband deployments, particularly those deployments, like new fiber builds, that will dramatically increase speeds while bringing down long-term per Mb</w:t>
      </w:r>
      <w:r w:rsidR="00CA1823" w:rsidRPr="004F322C">
        <w:rPr>
          <w:rStyle w:val="stylenumberedparagraphs11ptchar0"/>
        </w:rPr>
        <w:t>ps</w:t>
      </w:r>
      <w:r w:rsidR="00DE7C42" w:rsidRPr="004F322C">
        <w:rPr>
          <w:rStyle w:val="stylenumberedparagraphs11ptchar0"/>
        </w:rPr>
        <w:t xml:space="preserve"> prices?</w:t>
      </w:r>
      <w:bookmarkEnd w:id="1007"/>
    </w:p>
    <w:p w14:paraId="0E674459" w14:textId="4E67FF91" w:rsidR="000627C7" w:rsidRPr="004F322C" w:rsidRDefault="000C1F85" w:rsidP="008B7F95">
      <w:pPr>
        <w:pStyle w:val="ParaNum"/>
        <w:rPr>
          <w:rStyle w:val="stylenumberedparagraphs11ptchar0"/>
        </w:rPr>
      </w:pPr>
      <w:r w:rsidRPr="004F322C">
        <w:rPr>
          <w:rStyle w:val="stylenumberedparagraphs11ptchar0"/>
        </w:rPr>
        <w:t xml:space="preserve">Broadband </w:t>
      </w:r>
      <w:r w:rsidR="000627C7" w:rsidRPr="004F322C">
        <w:rPr>
          <w:rStyle w:val="stylenumberedparagraphs11ptchar0"/>
        </w:rPr>
        <w:t>connectivity within schools and libraries.  We also seek comment on options to support connectivity within schools and libraries.  In recent years, the E-rate program has been unable to fund billions of dollars in requests from applicants seeking support for internal connections.  For example, in funding year 2012, USAC received approximately $2.47 billion in funding requests for internal connections, and was unable to fund any requests below the 88 percent discount rate.</w:t>
      </w:r>
      <w:r w:rsidR="000627C7" w:rsidRPr="008A6123">
        <w:rPr>
          <w:rStyle w:val="FootnoteReference"/>
        </w:rPr>
        <w:footnoteReference w:id="124"/>
      </w:r>
      <w:r w:rsidR="000627C7" w:rsidRPr="008A6123">
        <w:rPr>
          <w:rStyle w:val="FootnoteReference"/>
        </w:rPr>
        <w:t xml:space="preserve">  </w:t>
      </w:r>
      <w:r w:rsidR="000627C7" w:rsidRPr="004F322C">
        <w:rPr>
          <w:rStyle w:val="stylenumberedparagraphs11ptchar0"/>
        </w:rPr>
        <w:t xml:space="preserve">As a result, many E-rate recipients have not received support for internal connections, and must provide full funding for needed internal connections or go without.  We seek comment on the percent of schools and libraries that do not have the necessary equipment to provide </w:t>
      </w:r>
      <w:r w:rsidR="00AE5162" w:rsidRPr="004F322C">
        <w:rPr>
          <w:rStyle w:val="stylenumberedparagraphs11ptchar0"/>
        </w:rPr>
        <w:t>high-capacity broadband</w:t>
      </w:r>
      <w:r w:rsidRPr="004F322C">
        <w:rPr>
          <w:rStyle w:val="stylenumberedparagraphs11ptchar0"/>
        </w:rPr>
        <w:t xml:space="preserve"> </w:t>
      </w:r>
      <w:r w:rsidR="000627C7" w:rsidRPr="004F322C">
        <w:rPr>
          <w:rStyle w:val="stylenumberedparagraphs11ptchar0"/>
        </w:rPr>
        <w:t xml:space="preserve">connectivity within schools, and the amount it would cost to provide </w:t>
      </w:r>
      <w:r w:rsidR="00AE5162" w:rsidRPr="004F322C">
        <w:rPr>
          <w:rStyle w:val="stylenumberedparagraphs11ptchar0"/>
        </w:rPr>
        <w:t>high-capacity broadband</w:t>
      </w:r>
      <w:r w:rsidRPr="004F322C">
        <w:rPr>
          <w:rStyle w:val="stylenumberedparagraphs11ptchar0"/>
        </w:rPr>
        <w:t xml:space="preserve"> </w:t>
      </w:r>
      <w:r w:rsidR="000627C7" w:rsidRPr="004F322C">
        <w:rPr>
          <w:rStyle w:val="stylenumberedparagraphs11ptchar0"/>
        </w:rPr>
        <w:t>connectivity within</w:t>
      </w:r>
      <w:r w:rsidR="006125B7">
        <w:rPr>
          <w:rStyle w:val="stylenumberedparagraphs11ptchar0"/>
        </w:rPr>
        <w:t xml:space="preserve"> such</w:t>
      </w:r>
      <w:r w:rsidR="000627C7" w:rsidRPr="004F322C">
        <w:rPr>
          <w:rStyle w:val="stylenumberedparagraphs11ptchar0"/>
        </w:rPr>
        <w:t xml:space="preserve"> schools</w:t>
      </w:r>
      <w:r w:rsidR="006125B7">
        <w:rPr>
          <w:rStyle w:val="stylenumberedparagraphs11ptchar0"/>
        </w:rPr>
        <w:t xml:space="preserve"> and libraries</w:t>
      </w:r>
      <w:r w:rsidR="000627C7" w:rsidRPr="004F322C">
        <w:rPr>
          <w:rStyle w:val="stylenumberedparagraphs11ptchar0"/>
        </w:rPr>
        <w:t xml:space="preserve">.  We invite commenters to be as specific as possible and to provide any data they have available on this issue.  </w:t>
      </w:r>
    </w:p>
    <w:p w14:paraId="2AB5BB30" w14:textId="06C42E01" w:rsidR="000627C7" w:rsidRPr="004F322C" w:rsidRDefault="000627C7" w:rsidP="008B7F95">
      <w:pPr>
        <w:pStyle w:val="ParaNum"/>
        <w:rPr>
          <w:rStyle w:val="stylenumberedparagraphs11ptchar0"/>
        </w:rPr>
      </w:pPr>
      <w:r w:rsidRPr="004F322C">
        <w:rPr>
          <w:rStyle w:val="stylenumberedparagraphs11ptchar0"/>
        </w:rPr>
        <w:t xml:space="preserve">More broadly, we request </w:t>
      </w:r>
      <w:r w:rsidR="00E019C1" w:rsidRPr="004F322C">
        <w:rPr>
          <w:rStyle w:val="stylenumberedparagraphs11ptchar0"/>
        </w:rPr>
        <w:t xml:space="preserve">that </w:t>
      </w:r>
      <w:r w:rsidRPr="004F322C">
        <w:rPr>
          <w:rStyle w:val="stylenumberedparagraphs11ptchar0"/>
        </w:rPr>
        <w:t>commenters provide data on the nature of internal networks generally deployed within schools</w:t>
      </w:r>
      <w:r w:rsidR="006125B7">
        <w:rPr>
          <w:rStyle w:val="stylenumberedparagraphs11ptchar0"/>
        </w:rPr>
        <w:t xml:space="preserve"> and libraries</w:t>
      </w:r>
      <w:r w:rsidRPr="004F322C">
        <w:rPr>
          <w:rStyle w:val="stylenumberedparagraphs11ptchar0"/>
        </w:rPr>
        <w:t xml:space="preserve"> today and the likely needs of schools and libraries going forward.  </w:t>
      </w:r>
      <w:r w:rsidR="00E019C1" w:rsidRPr="004F322C">
        <w:rPr>
          <w:rStyle w:val="stylenumberedparagraphs11ptchar0"/>
        </w:rPr>
        <w:t xml:space="preserve">Previously in this section, we asked for information about the most efficient and cost effective network architectures for deployment of </w:t>
      </w:r>
      <w:r w:rsidR="00AE5162" w:rsidRPr="004F322C">
        <w:rPr>
          <w:rStyle w:val="stylenumberedparagraphs11ptchar0"/>
        </w:rPr>
        <w:t>high-capacity broadband</w:t>
      </w:r>
      <w:r w:rsidR="00E019C1" w:rsidRPr="004F322C">
        <w:rPr>
          <w:rStyle w:val="stylenumberedparagraphs11ptchar0"/>
        </w:rPr>
        <w:t xml:space="preserve">.  Similarly, we ask for detailed information about internal network configurations.  </w:t>
      </w:r>
      <w:r w:rsidRPr="004F322C">
        <w:rPr>
          <w:rStyle w:val="stylenumberedparagraphs11ptchar0"/>
        </w:rPr>
        <w:t xml:space="preserve">Will school networks generally consist of wired connections between classrooms and </w:t>
      </w:r>
      <w:r w:rsidR="00006511" w:rsidRPr="004F322C">
        <w:rPr>
          <w:rStyle w:val="stylenumberedparagraphs11ptchar0"/>
        </w:rPr>
        <w:t>high-capacity</w:t>
      </w:r>
      <w:r w:rsidRPr="004F322C">
        <w:rPr>
          <w:rStyle w:val="stylenumberedparagraphs11ptchar0"/>
        </w:rPr>
        <w:t xml:space="preserve"> wireless routers in each classroom?  Do schools generally have internal </w:t>
      </w:r>
      <w:r w:rsidR="00006511" w:rsidRPr="004F322C">
        <w:rPr>
          <w:rStyle w:val="stylenumberedparagraphs11ptchar0"/>
        </w:rPr>
        <w:t>high-capacity</w:t>
      </w:r>
      <w:r w:rsidRPr="004F322C">
        <w:rPr>
          <w:rStyle w:val="stylenumberedparagraphs11ptchar0"/>
        </w:rPr>
        <w:t xml:space="preserve"> wired connections to each classroom today? </w:t>
      </w:r>
      <w:r w:rsidR="00907826" w:rsidRPr="004F322C">
        <w:rPr>
          <w:rStyle w:val="stylenumberedparagraphs11ptchar0"/>
        </w:rPr>
        <w:t xml:space="preserve"> </w:t>
      </w:r>
      <w:r w:rsidRPr="004F322C">
        <w:rPr>
          <w:rStyle w:val="stylenumberedparagraphs11ptchar0"/>
        </w:rPr>
        <w:t xml:space="preserve">If so, should we focus funding on newer </w:t>
      </w:r>
      <w:r w:rsidR="00006511" w:rsidRPr="004F322C">
        <w:rPr>
          <w:rStyle w:val="stylenumberedparagraphs11ptchar0"/>
        </w:rPr>
        <w:t>high-capacity</w:t>
      </w:r>
      <w:r w:rsidRPr="004F322C">
        <w:rPr>
          <w:rStyle w:val="stylenumberedparagraphs11ptchar0"/>
        </w:rPr>
        <w:t xml:space="preserve"> wireless routers, which are needed to allow multiple </w:t>
      </w:r>
      <w:r w:rsidRPr="004F322C">
        <w:rPr>
          <w:rStyle w:val="stylenumberedparagraphs11ptchar0"/>
        </w:rPr>
        <w:lastRenderedPageBreak/>
        <w:t xml:space="preserve">simultaneous </w:t>
      </w:r>
      <w:r w:rsidR="00006511" w:rsidRPr="004F322C">
        <w:rPr>
          <w:rStyle w:val="stylenumberedparagraphs11ptchar0"/>
        </w:rPr>
        <w:t>high-capacity</w:t>
      </w:r>
      <w:r w:rsidRPr="004F322C">
        <w:rPr>
          <w:rStyle w:val="stylenumberedparagraphs11ptchar0"/>
        </w:rPr>
        <w:t xml:space="preserve"> connections in a classroom environment?  </w:t>
      </w:r>
    </w:p>
    <w:p w14:paraId="18DAE466" w14:textId="1251A76E" w:rsidR="000627C7" w:rsidRPr="004F322C" w:rsidRDefault="000627C7" w:rsidP="008B7F95">
      <w:pPr>
        <w:pStyle w:val="ParaNum"/>
        <w:rPr>
          <w:rStyle w:val="stylenumberedparagraphs11ptchar0"/>
        </w:rPr>
      </w:pPr>
      <w:r w:rsidRPr="004F322C">
        <w:rPr>
          <w:rStyle w:val="stylenumberedparagraphs11ptchar0"/>
        </w:rPr>
        <w:t xml:space="preserve"> </w:t>
      </w:r>
      <w:r w:rsidR="00751E58" w:rsidRPr="004F322C">
        <w:rPr>
          <w:rStyle w:val="stylenumberedparagraphs11ptchar0"/>
        </w:rPr>
        <w:t xml:space="preserve">Are there </w:t>
      </w:r>
      <w:r w:rsidRPr="004F322C">
        <w:rPr>
          <w:rStyle w:val="stylenumberedparagraphs11ptchar0"/>
        </w:rPr>
        <w:t xml:space="preserve">other equipment or services necessary for </w:t>
      </w:r>
      <w:r w:rsidR="00AE5162" w:rsidRPr="004F322C">
        <w:rPr>
          <w:rStyle w:val="stylenumberedparagraphs11ptchar0"/>
        </w:rPr>
        <w:t>high-capacity broadband</w:t>
      </w:r>
      <w:r w:rsidR="00E019C1" w:rsidRPr="004F322C">
        <w:rPr>
          <w:rStyle w:val="stylenumberedparagraphs11ptchar0"/>
        </w:rPr>
        <w:t xml:space="preserve"> </w:t>
      </w:r>
      <w:r w:rsidRPr="004F322C">
        <w:rPr>
          <w:rStyle w:val="stylenumberedparagraphs11ptchar0"/>
        </w:rPr>
        <w:t xml:space="preserve">connections </w:t>
      </w:r>
      <w:r w:rsidR="00751E58" w:rsidRPr="004F322C">
        <w:rPr>
          <w:rStyle w:val="stylenumberedparagraphs11ptchar0"/>
        </w:rPr>
        <w:t xml:space="preserve">that </w:t>
      </w:r>
      <w:r w:rsidRPr="004F322C">
        <w:rPr>
          <w:rStyle w:val="stylenumberedparagraphs11ptchar0"/>
        </w:rPr>
        <w:t xml:space="preserve">should qualify for prioritized support?  For example, which of the internal connection services listed as priority two services on the current ESL are necessary for providing </w:t>
      </w:r>
      <w:r w:rsidR="00AE5162" w:rsidRPr="004F322C">
        <w:rPr>
          <w:rStyle w:val="stylenumberedparagraphs11ptchar0"/>
        </w:rPr>
        <w:t>high-capacity broadband</w:t>
      </w:r>
      <w:r w:rsidRPr="004F322C">
        <w:rPr>
          <w:rStyle w:val="stylenumberedparagraphs11ptchar0"/>
        </w:rPr>
        <w:t xml:space="preserve"> connectivity within schools or libraries?</w:t>
      </w:r>
      <w:r w:rsidR="006125B7">
        <w:rPr>
          <w:rStyle w:val="FootnoteReference"/>
        </w:rPr>
        <w:footnoteReference w:id="125"/>
      </w:r>
      <w:r w:rsidRPr="004F322C">
        <w:rPr>
          <w:rStyle w:val="stylenumberedparagraphs11ptchar0"/>
        </w:rPr>
        <w:t xml:space="preserve">  What services not on the ESL should we consider supporting?  Should we, for example, consider providing support for caching services or for services necessary for providing network security for schools and libraries?  Is there evidence that outdated networking equipment (firewalls, content filters, etc.) creates significant speed bottlenecks on school and library networks?  </w:t>
      </w:r>
      <w:r w:rsidR="0004588B" w:rsidRPr="004F322C">
        <w:rPr>
          <w:rStyle w:val="stylenumberedparagraphs11ptchar0"/>
        </w:rPr>
        <w:t xml:space="preserve">Is adding these types of </w:t>
      </w:r>
      <w:r w:rsidRPr="004F322C">
        <w:rPr>
          <w:rStyle w:val="stylenumberedparagraphs11ptchar0"/>
        </w:rPr>
        <w:t>services to the list of supported services</w:t>
      </w:r>
      <w:r w:rsidR="0004588B" w:rsidRPr="004F322C">
        <w:rPr>
          <w:rStyle w:val="stylenumberedparagraphs11ptchar0"/>
        </w:rPr>
        <w:t xml:space="preserve">, so that schools and libraries have the funding necessary to update those services, </w:t>
      </w:r>
      <w:r w:rsidRPr="004F322C">
        <w:rPr>
          <w:rStyle w:val="stylenumberedparagraphs11ptchar0"/>
        </w:rPr>
        <w:t>needed to eliminate significant speed bottlenecks?</w:t>
      </w:r>
      <w:bookmarkStart w:id="1008" w:name="_Toc351647145"/>
      <w:r w:rsidRPr="004F322C">
        <w:rPr>
          <w:rStyle w:val="stylenumberedparagraphs11ptchar0"/>
        </w:rPr>
        <w:t xml:space="preserve">  Are there any services not currently receiving support that would allow more cost effective use of E-rate funds?  </w:t>
      </w:r>
    </w:p>
    <w:p w14:paraId="2078ED3B" w14:textId="6190E599" w:rsidR="000627C7" w:rsidRPr="004F322C" w:rsidRDefault="00AA02D1" w:rsidP="008B7F95">
      <w:pPr>
        <w:pStyle w:val="ParaNum"/>
        <w:rPr>
          <w:rStyle w:val="stylenumberedparagraphs11ptchar0"/>
        </w:rPr>
      </w:pPr>
      <w:bookmarkStart w:id="1009" w:name="_Ref358989803"/>
      <w:r>
        <w:rPr>
          <w:rStyle w:val="stylenumberedparagraphs11ptchar0"/>
          <w:szCs w:val="22"/>
        </w:rPr>
        <w:t>I</w:t>
      </w:r>
      <w:r w:rsidR="000627C7" w:rsidRPr="008A6123">
        <w:rPr>
          <w:rStyle w:val="stylenumberedparagraphs11ptchar0"/>
          <w:szCs w:val="22"/>
        </w:rPr>
        <w:t>n</w:t>
      </w:r>
      <w:r w:rsidR="000627C7" w:rsidRPr="004F322C">
        <w:rPr>
          <w:rStyle w:val="stylenumberedparagraphs11ptchar0"/>
        </w:rPr>
        <w:t xml:space="preserve"> 2001, the Commission prohibited E-rate recipients from obtaining discounts under the universal service support mechanism for the purchase or acquisition of technology protection measures necessary for </w:t>
      </w:r>
      <w:r w:rsidR="00E0139E">
        <w:rPr>
          <w:rStyle w:val="stylenumberedparagraphs11ptchar0"/>
        </w:rPr>
        <w:t xml:space="preserve">the </w:t>
      </w:r>
      <w:r w:rsidR="00751E58" w:rsidRPr="004F322C">
        <w:rPr>
          <w:rStyle w:val="stylenumberedparagraphs11ptchar0"/>
        </w:rPr>
        <w:t>Children’s Internet Protection Act (</w:t>
      </w:r>
      <w:r w:rsidR="000627C7" w:rsidRPr="004F322C">
        <w:rPr>
          <w:rStyle w:val="stylenumberedparagraphs11ptchar0"/>
        </w:rPr>
        <w:t>CIPA</w:t>
      </w:r>
      <w:r w:rsidR="00751E58" w:rsidRPr="004F322C">
        <w:rPr>
          <w:rStyle w:val="stylenumberedparagraphs11ptchar0"/>
        </w:rPr>
        <w:t>)</w:t>
      </w:r>
      <w:r w:rsidR="000627C7" w:rsidRPr="004F322C">
        <w:rPr>
          <w:rStyle w:val="stylenumberedparagraphs11ptchar0"/>
        </w:rPr>
        <w:t xml:space="preserve"> compliance.</w:t>
      </w:r>
      <w:r w:rsidR="000627C7" w:rsidRPr="00EF44F7">
        <w:rPr>
          <w:rStyle w:val="FootnoteReference"/>
        </w:rPr>
        <w:footnoteReference w:id="126"/>
      </w:r>
      <w:r w:rsidR="000627C7" w:rsidRPr="004F322C">
        <w:rPr>
          <w:rStyle w:val="stylenumberedparagraphs11ptchar0"/>
        </w:rPr>
        <w:t xml:space="preserve">  At the time of the </w:t>
      </w:r>
      <w:r w:rsidR="000627C7" w:rsidRPr="004F322C">
        <w:rPr>
          <w:rStyle w:val="stylenumberedparagraphs11ptchar0"/>
          <w:i/>
        </w:rPr>
        <w:t>2001 CIPA Order</w:t>
      </w:r>
      <w:r w:rsidR="000627C7" w:rsidRPr="004F322C">
        <w:rPr>
          <w:rStyle w:val="stylenumberedparagraphs11ptchar0"/>
        </w:rPr>
        <w:t xml:space="preserve">, protection delivered at the network level was in its nascent stages and now schools and libraries need to employ network-level protection more ubiquitously.  Should the 2001 decision to prohibit schools and libraries from receiving E-rate discounts for technology protection measures apply to the broad spectrum of services schools and libraries employ for network security which may include, or go beyond those protections necessary for CIPA compliance, in order to maintain and protect </w:t>
      </w:r>
      <w:r w:rsidR="00AE5162" w:rsidRPr="004F322C">
        <w:rPr>
          <w:rStyle w:val="stylenumberedparagraphs11ptchar0"/>
        </w:rPr>
        <w:t>high-capacity broadband</w:t>
      </w:r>
      <w:r w:rsidR="000627C7" w:rsidRPr="004F322C">
        <w:rPr>
          <w:rStyle w:val="stylenumberedparagraphs11ptchar0"/>
        </w:rPr>
        <w:t xml:space="preserve"> networks?  We seek comment on whether we should review the </w:t>
      </w:r>
      <w:r w:rsidR="000627C7" w:rsidRPr="004F322C">
        <w:rPr>
          <w:rStyle w:val="stylenumberedparagraphs11ptchar0"/>
          <w:i/>
        </w:rPr>
        <w:t>2001 CIPA Order</w:t>
      </w:r>
      <w:r w:rsidR="000627C7" w:rsidRPr="004F322C">
        <w:rPr>
          <w:rStyle w:val="stylenumberedparagraphs11ptchar0"/>
        </w:rPr>
        <w:t xml:space="preserve"> decision in light of the network security needs of schools and libraries today.</w:t>
      </w:r>
      <w:bookmarkEnd w:id="1009"/>
      <w:r w:rsidR="000627C7" w:rsidRPr="004F322C">
        <w:rPr>
          <w:rStyle w:val="stylenumberedparagraphs11ptchar0"/>
        </w:rPr>
        <w:t xml:space="preserve"> </w:t>
      </w:r>
      <w:bookmarkEnd w:id="1008"/>
    </w:p>
    <w:p w14:paraId="47196C8B" w14:textId="0EC51918" w:rsidR="00842A9B" w:rsidRPr="004F322C" w:rsidRDefault="00842A9B" w:rsidP="008B7F95">
      <w:pPr>
        <w:pStyle w:val="ParaNum"/>
        <w:rPr>
          <w:rStyle w:val="stylenumberedparagraphs11ptchar0"/>
        </w:rPr>
      </w:pPr>
      <w:r w:rsidRPr="004F322C">
        <w:rPr>
          <w:rStyle w:val="stylenumberedparagraphs11ptchar0"/>
        </w:rPr>
        <w:t xml:space="preserve">Are there any other rule changes needed to ensure schools and libraries can </w:t>
      </w:r>
      <w:r w:rsidR="00CA1823" w:rsidRPr="004F322C">
        <w:rPr>
          <w:rStyle w:val="stylenumberedparagraphs11ptchar0"/>
        </w:rPr>
        <w:t xml:space="preserve">effectively use </w:t>
      </w:r>
      <w:r w:rsidRPr="004F322C">
        <w:rPr>
          <w:rStyle w:val="stylenumberedparagraphs11ptchar0"/>
        </w:rPr>
        <w:t>high-</w:t>
      </w:r>
      <w:r w:rsidR="00CA1823" w:rsidRPr="004F322C">
        <w:rPr>
          <w:rStyle w:val="stylenumberedparagraphs11ptchar0"/>
        </w:rPr>
        <w:t xml:space="preserve">capacity </w:t>
      </w:r>
      <w:r w:rsidRPr="004F322C">
        <w:rPr>
          <w:rStyle w:val="stylenumberedparagraphs11ptchar0"/>
        </w:rPr>
        <w:t xml:space="preserve">connections to their premises?  What other steps can </w:t>
      </w:r>
      <w:r w:rsidR="00E0139E">
        <w:rPr>
          <w:rStyle w:val="stylenumberedparagraphs11ptchar0"/>
        </w:rPr>
        <w:t xml:space="preserve">we </w:t>
      </w:r>
      <w:r w:rsidRPr="004F322C">
        <w:rPr>
          <w:rStyle w:val="stylenumberedparagraphs11ptchar0"/>
        </w:rPr>
        <w:t xml:space="preserve">take to spur efficient new </w:t>
      </w:r>
      <w:r w:rsidR="00AE5162" w:rsidRPr="004F322C">
        <w:rPr>
          <w:rStyle w:val="stylenumberedparagraphs11ptchar0"/>
        </w:rPr>
        <w:t>high-capacity broadband</w:t>
      </w:r>
      <w:r w:rsidRPr="004F322C">
        <w:rPr>
          <w:rStyle w:val="stylenumberedparagraphs11ptchar0"/>
        </w:rPr>
        <w:t xml:space="preserve"> deployment</w:t>
      </w:r>
      <w:r w:rsidR="00CA1823" w:rsidRPr="004F322C">
        <w:rPr>
          <w:rStyle w:val="stylenumberedparagraphs11ptchar0"/>
        </w:rPr>
        <w:t xml:space="preserve"> within schools and libraries.</w:t>
      </w:r>
      <w:r w:rsidR="00CA1823" w:rsidRPr="004F322C" w:rsidDel="00CA1823">
        <w:rPr>
          <w:rStyle w:val="stylenumberedparagraphs11ptchar0"/>
        </w:rPr>
        <w:t xml:space="preserve"> </w:t>
      </w:r>
    </w:p>
    <w:p w14:paraId="71E676B2" w14:textId="1E63AE01" w:rsidR="00E32263" w:rsidRPr="004F322C" w:rsidRDefault="00FC4E23" w:rsidP="005F59A4">
      <w:pPr>
        <w:pStyle w:val="ParaNum"/>
        <w:rPr>
          <w:rStyle w:val="stylenumberedparagraphs11ptchar0"/>
        </w:rPr>
      </w:pPr>
      <w:r w:rsidRPr="009452E5">
        <w:rPr>
          <w:rStyle w:val="stylenumberedparagraphs11ptchar0"/>
          <w:i/>
        </w:rPr>
        <w:t>Recurring costs</w:t>
      </w:r>
      <w:r w:rsidRPr="004F322C">
        <w:rPr>
          <w:rStyle w:val="stylenumberedparagraphs11ptchar0"/>
        </w:rPr>
        <w:t xml:space="preserve">.  We also seek comment on the recurring costs of </w:t>
      </w:r>
      <w:r w:rsidR="00AE5162" w:rsidRPr="004F322C">
        <w:rPr>
          <w:rStyle w:val="stylenumberedparagraphs11ptchar0"/>
        </w:rPr>
        <w:t>high-capacity broadband</w:t>
      </w:r>
      <w:r w:rsidRPr="004F322C">
        <w:rPr>
          <w:rStyle w:val="stylenumberedparagraphs11ptchar0"/>
        </w:rPr>
        <w:t xml:space="preserve"> services.  As schools </w:t>
      </w:r>
      <w:r w:rsidRPr="004F322C">
        <w:rPr>
          <w:rStyle w:val="stylenumberedparagraphs11ptchar0"/>
        </w:rPr>
        <w:lastRenderedPageBreak/>
        <w:t xml:space="preserve">and libraries have been increasingly purchasing high-bandwidth connections, how have their recurring monthly costs changed?  </w:t>
      </w:r>
      <w:r w:rsidR="001D66DC" w:rsidRPr="004F322C">
        <w:rPr>
          <w:rStyle w:val="stylenumberedparagraphs11ptchar0"/>
        </w:rPr>
        <w:t>We anticipate that in order to meet our</w:t>
      </w:r>
      <w:r w:rsidRPr="004F322C">
        <w:rPr>
          <w:rStyle w:val="stylenumberedparagraphs11ptchar0"/>
        </w:rPr>
        <w:t xml:space="preserve"> proposed </w:t>
      </w:r>
      <w:r w:rsidR="001D66DC" w:rsidRPr="004F322C">
        <w:rPr>
          <w:rStyle w:val="stylenumberedparagraphs11ptchar0"/>
        </w:rPr>
        <w:t xml:space="preserve">connectivity </w:t>
      </w:r>
      <w:r w:rsidRPr="004F322C">
        <w:rPr>
          <w:rStyle w:val="stylenumberedparagraphs11ptchar0"/>
        </w:rPr>
        <w:t xml:space="preserve">goals, </w:t>
      </w:r>
      <w:r w:rsidR="001D66DC" w:rsidRPr="004F322C">
        <w:rPr>
          <w:rStyle w:val="stylenumberedparagraphs11ptchar0"/>
        </w:rPr>
        <w:t xml:space="preserve">the </w:t>
      </w:r>
      <w:r w:rsidR="0059647A" w:rsidRPr="004F322C">
        <w:rPr>
          <w:rStyle w:val="stylenumberedparagraphs11ptchar0"/>
        </w:rPr>
        <w:t>average</w:t>
      </w:r>
      <w:r w:rsidR="0012353E" w:rsidRPr="004F322C">
        <w:rPr>
          <w:rStyle w:val="stylenumberedparagraphs11ptchar0"/>
        </w:rPr>
        <w:t xml:space="preserve"> recurring</w:t>
      </w:r>
      <w:r w:rsidR="0059647A" w:rsidRPr="004F322C">
        <w:rPr>
          <w:rStyle w:val="stylenumberedparagraphs11ptchar0"/>
        </w:rPr>
        <w:t xml:space="preserve"> </w:t>
      </w:r>
      <w:r w:rsidR="001D66DC" w:rsidRPr="004F322C">
        <w:rPr>
          <w:rStyle w:val="stylenumberedparagraphs11ptchar0"/>
        </w:rPr>
        <w:t xml:space="preserve">per-megabit prices of connectivity </w:t>
      </w:r>
      <w:r w:rsidR="0059647A" w:rsidRPr="004F322C">
        <w:rPr>
          <w:rStyle w:val="stylenumberedparagraphs11ptchar0"/>
        </w:rPr>
        <w:t xml:space="preserve">purchased by schools will need to come down substantially.  Fortunately, there is precedent for significant price reductions associated with infrastructure upgrades.  </w:t>
      </w:r>
      <w:r w:rsidR="00A033E0" w:rsidRPr="004F322C">
        <w:rPr>
          <w:rStyle w:val="stylenumberedparagraphs11ptchar0"/>
        </w:rPr>
        <w:t>For example, the Commission’s Rural Health Care Pilot Program showed that bulk buying through consortia coupled with competitive bidding can reduce the prices that recipients pay for services and infrastructure.</w:t>
      </w:r>
      <w:r w:rsidR="00A033E0" w:rsidRPr="008A6123">
        <w:rPr>
          <w:rStyle w:val="FootnoteReference"/>
        </w:rPr>
        <w:footnoteReference w:id="127"/>
      </w:r>
      <w:r w:rsidR="00A033E0" w:rsidRPr="008A6123">
        <w:rPr>
          <w:rStyle w:val="FootnoteReference"/>
        </w:rPr>
        <w:t xml:space="preserve"> </w:t>
      </w:r>
      <w:r w:rsidR="00A033E0" w:rsidRPr="004F322C">
        <w:rPr>
          <w:rStyle w:val="stylenumberedparagraphs11ptchar0"/>
        </w:rPr>
        <w:t xml:space="preserve">  </w:t>
      </w:r>
    </w:p>
    <w:p w14:paraId="2D98F23B" w14:textId="4D972F8B" w:rsidR="00FC4E23" w:rsidRPr="000A70A8" w:rsidRDefault="00F074F3" w:rsidP="005F59A4">
      <w:pPr>
        <w:pStyle w:val="ParaNum"/>
      </w:pPr>
      <w:r w:rsidRPr="004F322C">
        <w:rPr>
          <w:rStyle w:val="stylenumberedparagraphs11ptchar0"/>
        </w:rPr>
        <w:t xml:space="preserve">How can we ensure that recurring costs come down sufficiently over time within the E-rate program to make our proposed connectivity goals </w:t>
      </w:r>
      <w:r w:rsidR="00F64A10" w:rsidRPr="004F322C">
        <w:rPr>
          <w:rStyle w:val="stylenumberedparagraphs11ptchar0"/>
        </w:rPr>
        <w:t>achievable and sustainable</w:t>
      </w:r>
      <w:r w:rsidRPr="004F322C">
        <w:rPr>
          <w:rStyle w:val="stylenumberedparagraphs11ptchar0"/>
        </w:rPr>
        <w:t xml:space="preserve">? </w:t>
      </w:r>
      <w:r w:rsidR="00190577" w:rsidRPr="004F322C">
        <w:rPr>
          <w:rStyle w:val="stylenumberedparagraphs11ptchar0"/>
        </w:rPr>
        <w:t xml:space="preserve"> </w:t>
      </w:r>
      <w:r w:rsidRPr="004F322C">
        <w:rPr>
          <w:rStyle w:val="stylenumberedparagraphs11ptchar0"/>
        </w:rPr>
        <w:t>Are the program’s existing matching and competitive bidding requirements sufficient safeguards, or are further steps required?  For example, should we phase in maximum per-megabit prices over time that are eligible for E-rate discounts, or set program-wide per-megabit price guidelines or targets?  Would such prices give schools and libraries greater leverage in soliciting bids from vendors, or simply limit the choices available to schools and libraries?  What should such prices be?  If we set maximum per-megabit prices, should we allow exceptions in certain circumstances?</w:t>
      </w:r>
      <w:r w:rsidR="0059647A" w:rsidRPr="004F322C">
        <w:rPr>
          <w:rStyle w:val="stylenumberedparagraphs11ptchar0"/>
        </w:rPr>
        <w:t xml:space="preserve">  </w:t>
      </w:r>
      <w:r w:rsidR="00190577" w:rsidRPr="004F322C">
        <w:rPr>
          <w:rStyle w:val="stylenumberedparagraphs11ptchar0"/>
        </w:rPr>
        <w:t xml:space="preserve">What impact would such price guidelines or </w:t>
      </w:r>
      <w:r w:rsidR="00E86703" w:rsidRPr="004F322C">
        <w:rPr>
          <w:rStyle w:val="stylenumberedparagraphs11ptchar0"/>
        </w:rPr>
        <w:t xml:space="preserve">targets have on schools </w:t>
      </w:r>
      <w:r w:rsidR="00E86703" w:rsidRPr="008A6123">
        <w:rPr>
          <w:rStyle w:val="stylenumberedparagraphs11ptchar0"/>
          <w:szCs w:val="22"/>
        </w:rPr>
        <w:t>or</w:t>
      </w:r>
      <w:r w:rsidR="00E86703" w:rsidRPr="004F322C">
        <w:rPr>
          <w:rStyle w:val="stylenumberedparagraphs11ptchar0"/>
        </w:rPr>
        <w:t xml:space="preserve"> libraries</w:t>
      </w:r>
      <w:r w:rsidR="00E86703" w:rsidRPr="008A6123">
        <w:rPr>
          <w:rStyle w:val="stylenumberedparagraphs11ptchar0"/>
          <w:szCs w:val="22"/>
        </w:rPr>
        <w:t xml:space="preserve"> in areas</w:t>
      </w:r>
      <w:r w:rsidR="00E86703" w:rsidRPr="004F322C">
        <w:rPr>
          <w:rStyle w:val="stylenumberedparagraphs11ptchar0"/>
        </w:rPr>
        <w:t xml:space="preserve"> that </w:t>
      </w:r>
      <w:r w:rsidR="00190577" w:rsidRPr="004F322C">
        <w:rPr>
          <w:rStyle w:val="stylenumberedparagraphs11ptchar0"/>
        </w:rPr>
        <w:t xml:space="preserve">lack competition for high-capacity broadband, such as Tribal lands?  </w:t>
      </w:r>
      <w:r w:rsidR="0012353E" w:rsidRPr="004F322C">
        <w:rPr>
          <w:rStyle w:val="stylenumberedparagraphs11ptchar0"/>
        </w:rPr>
        <w:t>How would such prices account for differences between more and</w:t>
      </w:r>
      <w:r w:rsidR="0012353E">
        <w:t xml:space="preserve"> less heavily-managed services?</w:t>
      </w:r>
      <w:r w:rsidR="00FC4E23">
        <w:t xml:space="preserve"> </w:t>
      </w:r>
      <w:r w:rsidR="009C3A40">
        <w:t xml:space="preserve"> </w:t>
      </w:r>
      <w:r>
        <w:t xml:space="preserve">We seek comment on other options. </w:t>
      </w:r>
      <w:r w:rsidR="00F64A10">
        <w:t xml:space="preserve"> </w:t>
      </w:r>
      <w:r w:rsidR="00FC4E23">
        <w:t xml:space="preserve">Below, we </w:t>
      </w:r>
      <w:r w:rsidR="00F64A10">
        <w:t xml:space="preserve">also </w:t>
      </w:r>
      <w:r w:rsidR="00FC4E23">
        <w:t>seek comment on how to maximize cost-efficient purchasing.</w:t>
      </w:r>
      <w:r w:rsidR="00FC4E23">
        <w:rPr>
          <w:rStyle w:val="FootnoteReference"/>
        </w:rPr>
        <w:footnoteReference w:id="128"/>
      </w:r>
      <w:r w:rsidR="00FC4E23">
        <w:t xml:space="preserve"> </w:t>
      </w:r>
      <w:r>
        <w:t xml:space="preserve"> Will these approaches</w:t>
      </w:r>
      <w:r w:rsidR="00FC4E23">
        <w:t xml:space="preserve"> ensure cost-effective purchasing of recurring services</w:t>
      </w:r>
      <w:r>
        <w:t>?</w:t>
      </w:r>
    </w:p>
    <w:p w14:paraId="5A31B18C" w14:textId="77777777" w:rsidR="000627C7" w:rsidRDefault="000627C7" w:rsidP="004F322C">
      <w:pPr>
        <w:pStyle w:val="Heading3"/>
      </w:pPr>
      <w:bookmarkStart w:id="1010" w:name="_Toc352079027"/>
      <w:bookmarkStart w:id="1011" w:name="_Toc352080388"/>
      <w:bookmarkStart w:id="1012" w:name="_Toc352139771"/>
      <w:bookmarkStart w:id="1013" w:name="_Toc354478074"/>
      <w:bookmarkStart w:id="1014" w:name="_Toc354478696"/>
      <w:bookmarkStart w:id="1015" w:name="_Toc354660712"/>
      <w:bookmarkStart w:id="1016" w:name="_Toc358208793"/>
      <w:bookmarkStart w:id="1017" w:name="_Toc358210291"/>
      <w:bookmarkStart w:id="1018" w:name="_Toc358210438"/>
      <w:bookmarkStart w:id="1019" w:name="_Toc358210616"/>
      <w:bookmarkStart w:id="1020" w:name="_Toc358210717"/>
      <w:bookmarkStart w:id="1021" w:name="_Toc358213651"/>
      <w:bookmarkStart w:id="1022" w:name="_Toc358213783"/>
      <w:bookmarkStart w:id="1023" w:name="_Toc358301278"/>
      <w:bookmarkStart w:id="1024" w:name="_Toc358720024"/>
      <w:bookmarkStart w:id="1025" w:name="_Toc358971250"/>
      <w:bookmarkStart w:id="1026" w:name="_Toc358974851"/>
      <w:bookmarkStart w:id="1027" w:name="_Toc358975749"/>
      <w:bookmarkStart w:id="1028" w:name="_Toc358975911"/>
      <w:bookmarkStart w:id="1029" w:name="_Toc358976152"/>
      <w:bookmarkStart w:id="1030" w:name="_Toc358981007"/>
      <w:bookmarkStart w:id="1031" w:name="_Toc358981123"/>
      <w:bookmarkStart w:id="1032" w:name="_Toc358982387"/>
      <w:bookmarkStart w:id="1033" w:name="_Toc358982477"/>
      <w:bookmarkStart w:id="1034" w:name="_Toc359239259"/>
      <w:bookmarkStart w:id="1035" w:name="_Toc359239316"/>
      <w:bookmarkStart w:id="1036" w:name="_Toc359252275"/>
      <w:bookmarkStart w:id="1037" w:name="_Toc359326024"/>
      <w:bookmarkStart w:id="1038" w:name="_Toc359333272"/>
      <w:bookmarkStart w:id="1039" w:name="_Toc359339926"/>
      <w:bookmarkStart w:id="1040" w:name="_Toc359343190"/>
      <w:bookmarkStart w:id="1041" w:name="_Toc359346999"/>
      <w:bookmarkStart w:id="1042" w:name="_Toc359598687"/>
      <w:bookmarkStart w:id="1043" w:name="_Toc359853153"/>
      <w:bookmarkStart w:id="1044" w:name="_Toc359853386"/>
      <w:bookmarkStart w:id="1045" w:name="_Toc359853652"/>
      <w:bookmarkStart w:id="1046" w:name="_Toc359858612"/>
      <w:bookmarkStart w:id="1047" w:name="_Toc359859595"/>
      <w:bookmarkStart w:id="1048" w:name="_Toc359940053"/>
      <w:bookmarkStart w:id="1049" w:name="_Toc360025427"/>
      <w:bookmarkStart w:id="1050" w:name="_Toc360107483"/>
      <w:bookmarkStart w:id="1051" w:name="_Toc360111607"/>
      <w:bookmarkStart w:id="1052" w:name="_Toc360172792"/>
      <w:bookmarkStart w:id="1053" w:name="_Toc360186125"/>
      <w:bookmarkStart w:id="1054" w:name="_Toc360186202"/>
      <w:bookmarkStart w:id="1055" w:name="_Toc360186406"/>
      <w:bookmarkStart w:id="1056" w:name="_Toc360186483"/>
      <w:bookmarkStart w:id="1057" w:name="_Toc360187279"/>
      <w:bookmarkStart w:id="1058" w:name="_Toc360187445"/>
      <w:bookmarkStart w:id="1059" w:name="_Toc360208894"/>
      <w:bookmarkStart w:id="1060" w:name="_Toc360212027"/>
      <w:bookmarkStart w:id="1061" w:name="_Toc361663096"/>
      <w:bookmarkStart w:id="1062" w:name="_Toc361857675"/>
      <w:bookmarkStart w:id="1063" w:name="_Toc361918767"/>
      <w:bookmarkStart w:id="1064" w:name="_Toc362272547"/>
      <w:r>
        <w:t>Phasing Down Support for Certain Services</w:t>
      </w:r>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p>
    <w:p w14:paraId="1C7A9CAA" w14:textId="7A68D80E" w:rsidR="00F64A10" w:rsidRPr="004F322C" w:rsidRDefault="000627C7" w:rsidP="004F322C">
      <w:pPr>
        <w:pStyle w:val="ParaNum"/>
        <w:rPr>
          <w:rStyle w:val="stylenumberedparagraphs11ptchar0"/>
        </w:rPr>
      </w:pPr>
      <w:r w:rsidRPr="00A27954">
        <w:t xml:space="preserve">Above we </w:t>
      </w:r>
      <w:r>
        <w:t>seek comment on</w:t>
      </w:r>
      <w:r w:rsidRPr="00A27954">
        <w:t xml:space="preserve"> </w:t>
      </w:r>
      <w:r>
        <w:t xml:space="preserve">modifying our rules to </w:t>
      </w:r>
      <w:r w:rsidR="00F64A10">
        <w:t xml:space="preserve">ensure availability of the key products and services needed for </w:t>
      </w:r>
      <w:r w:rsidR="00AE5162" w:rsidRPr="004F322C">
        <w:rPr>
          <w:rStyle w:val="stylenumberedparagraphs11ptchar0"/>
        </w:rPr>
        <w:t>high-capacity broadband</w:t>
      </w:r>
      <w:r w:rsidRPr="004F322C">
        <w:rPr>
          <w:rStyle w:val="stylenumberedparagraphs11ptchar0"/>
        </w:rPr>
        <w:t xml:space="preserve"> connectivity to and within schools and libraries. </w:t>
      </w:r>
      <w:r w:rsidR="00F64A10" w:rsidRPr="004F322C">
        <w:rPr>
          <w:rStyle w:val="stylenumberedparagraphs11ptchar0"/>
        </w:rPr>
        <w:t xml:space="preserve"> </w:t>
      </w:r>
      <w:r w:rsidRPr="004F322C">
        <w:rPr>
          <w:rStyle w:val="stylenumberedparagraphs11ptchar0"/>
        </w:rPr>
        <w:t xml:space="preserve">We now seek comment on </w:t>
      </w:r>
      <w:r w:rsidR="00F64A10" w:rsidRPr="004F322C">
        <w:rPr>
          <w:rStyle w:val="stylenumberedparagraphs11ptchar0"/>
        </w:rPr>
        <w:t xml:space="preserve">two approaches for streamlining the remainder of the </w:t>
      </w:r>
      <w:r w:rsidR="00E90768">
        <w:rPr>
          <w:rStyle w:val="stylenumberedparagraphs11ptchar0"/>
        </w:rPr>
        <w:t xml:space="preserve">ESL </w:t>
      </w:r>
      <w:r w:rsidR="00F64A10" w:rsidRPr="004F322C">
        <w:rPr>
          <w:rStyle w:val="stylenumberedparagraphs11ptchar0"/>
        </w:rPr>
        <w:t xml:space="preserve"> to focus support on </w:t>
      </w:r>
      <w:r w:rsidR="00AE5162" w:rsidRPr="004F322C">
        <w:rPr>
          <w:rStyle w:val="stylenumberedparagraphs11ptchar0"/>
        </w:rPr>
        <w:t>high-capacity broadband</w:t>
      </w:r>
      <w:r w:rsidR="00F64A10" w:rsidRPr="004F322C">
        <w:rPr>
          <w:rStyle w:val="stylenumberedparagraphs11ptchar0"/>
        </w:rPr>
        <w:t>.  First</w:t>
      </w:r>
      <w:r w:rsidR="00D33642">
        <w:rPr>
          <w:rStyle w:val="stylenumberedparagraphs11ptchar0"/>
        </w:rPr>
        <w:t>,</w:t>
      </w:r>
      <w:r w:rsidR="00F64A10" w:rsidRPr="004F322C">
        <w:rPr>
          <w:rStyle w:val="stylenumberedparagraphs11ptchar0"/>
        </w:rPr>
        <w:t xml:space="preserve"> we </w:t>
      </w:r>
      <w:r w:rsidR="00190577" w:rsidRPr="004F322C">
        <w:rPr>
          <w:rStyle w:val="stylenumberedparagraphs11ptchar0"/>
        </w:rPr>
        <w:t>propose to phase</w:t>
      </w:r>
      <w:r w:rsidR="00E90768">
        <w:rPr>
          <w:rStyle w:val="stylenumberedparagraphs11ptchar0"/>
        </w:rPr>
        <w:t xml:space="preserve"> </w:t>
      </w:r>
      <w:r w:rsidR="00190577" w:rsidRPr="004F322C">
        <w:rPr>
          <w:rStyle w:val="stylenumberedparagraphs11ptchar0"/>
        </w:rPr>
        <w:t>out</w:t>
      </w:r>
      <w:r w:rsidR="00F64A10" w:rsidRPr="004F322C">
        <w:rPr>
          <w:rStyle w:val="stylenumberedparagraphs11ptchar0"/>
        </w:rPr>
        <w:t xml:space="preserve"> </w:t>
      </w:r>
      <w:r w:rsidRPr="004F322C">
        <w:rPr>
          <w:rStyle w:val="stylenumberedparagraphs11ptchar0"/>
        </w:rPr>
        <w:t xml:space="preserve">support for </w:t>
      </w:r>
      <w:r w:rsidR="00F64A10" w:rsidRPr="004F322C">
        <w:rPr>
          <w:rStyle w:val="stylenumberedparagraphs11ptchar0"/>
        </w:rPr>
        <w:t xml:space="preserve">a number of specific services, including </w:t>
      </w:r>
      <w:r w:rsidRPr="004F322C">
        <w:rPr>
          <w:rStyle w:val="stylenumberedparagraphs11ptchar0"/>
        </w:rPr>
        <w:t xml:space="preserve">outdated services currently on the ESL, for components of voice service, </w:t>
      </w:r>
      <w:r w:rsidR="00F64A10" w:rsidRPr="004F322C">
        <w:rPr>
          <w:rStyle w:val="stylenumberedparagraphs11ptchar0"/>
        </w:rPr>
        <w:t xml:space="preserve">and </w:t>
      </w:r>
      <w:r w:rsidR="006F2F04" w:rsidRPr="004F322C">
        <w:rPr>
          <w:rStyle w:val="stylenumberedparagraphs11ptchar0"/>
        </w:rPr>
        <w:t xml:space="preserve">seek comment on phasing out support for </w:t>
      </w:r>
      <w:r w:rsidRPr="004F322C">
        <w:rPr>
          <w:rStyle w:val="stylenumberedparagraphs11ptchar0"/>
        </w:rPr>
        <w:t xml:space="preserve">services that are not used primarily for educational purposes. </w:t>
      </w:r>
      <w:r w:rsidR="00A87B7D" w:rsidRPr="004F322C">
        <w:rPr>
          <w:rStyle w:val="stylenumberedparagraphs11ptchar0"/>
        </w:rPr>
        <w:t xml:space="preserve"> </w:t>
      </w:r>
      <w:r w:rsidR="00F64A10" w:rsidRPr="004F322C">
        <w:rPr>
          <w:rStyle w:val="stylenumberedparagraphs11ptchar0"/>
        </w:rPr>
        <w:t xml:space="preserve">Second, we seek comment on </w:t>
      </w:r>
      <w:r w:rsidR="00F64A10" w:rsidRPr="004F322C">
        <w:rPr>
          <w:rStyle w:val="stylenumberedparagraphs11ptchar0"/>
        </w:rPr>
        <w:lastRenderedPageBreak/>
        <w:t xml:space="preserve">more fundamentally shifting the way we direct E-rate support to focus exclusively on </w:t>
      </w:r>
      <w:r w:rsidR="00AE5162" w:rsidRPr="004F322C">
        <w:rPr>
          <w:rStyle w:val="stylenumberedparagraphs11ptchar0"/>
        </w:rPr>
        <w:t>high-capacity broadband</w:t>
      </w:r>
      <w:r w:rsidR="00F64A10" w:rsidRPr="004F322C">
        <w:rPr>
          <w:rStyle w:val="stylenumberedparagraphs11ptchar0"/>
        </w:rPr>
        <w:t xml:space="preserve"> connectivity to and within schools. </w:t>
      </w:r>
      <w:r w:rsidR="00B82D6B" w:rsidRPr="004F322C">
        <w:rPr>
          <w:rStyle w:val="stylenumberedparagraphs11ptchar0"/>
        </w:rPr>
        <w:t xml:space="preserve"> In so doing, we seek comment on whether there are additional services for which we should phase</w:t>
      </w:r>
      <w:r w:rsidR="00E90768">
        <w:rPr>
          <w:rStyle w:val="stylenumberedparagraphs11ptchar0"/>
        </w:rPr>
        <w:t xml:space="preserve"> </w:t>
      </w:r>
      <w:r w:rsidR="00B82D6B" w:rsidRPr="004F322C">
        <w:rPr>
          <w:rStyle w:val="stylenumberedparagraphs11ptchar0"/>
        </w:rPr>
        <w:t xml:space="preserve">out or reduce support, including traditional telephone services.  </w:t>
      </w:r>
      <w:r w:rsidR="00F64A10" w:rsidRPr="004F322C">
        <w:rPr>
          <w:rStyle w:val="stylenumberedparagraphs11ptchar0"/>
        </w:rPr>
        <w:t>Finally, we seek comment on a number of issues that will need to be addressed whichever approach we take.</w:t>
      </w:r>
    </w:p>
    <w:p w14:paraId="0AB78BEB" w14:textId="58643D71" w:rsidR="000627C7" w:rsidRDefault="000627C7" w:rsidP="004F322C">
      <w:pPr>
        <w:pStyle w:val="ParaNum"/>
      </w:pPr>
      <w:r w:rsidRPr="004F322C">
        <w:rPr>
          <w:rStyle w:val="stylenumberedparagraphs11ptchar0"/>
        </w:rPr>
        <w:t xml:space="preserve">We recognize that flash-cuts </w:t>
      </w:r>
      <w:r w:rsidR="00F64A10" w:rsidRPr="004F322C">
        <w:rPr>
          <w:rStyle w:val="stylenumberedparagraphs11ptchar0"/>
        </w:rPr>
        <w:t>to</w:t>
      </w:r>
      <w:r w:rsidRPr="004F322C">
        <w:rPr>
          <w:rStyle w:val="stylenumberedparagraphs11ptchar0"/>
        </w:rPr>
        <w:t xml:space="preserve"> support </w:t>
      </w:r>
      <w:r w:rsidR="00751E58" w:rsidRPr="004F322C">
        <w:rPr>
          <w:rStyle w:val="stylenumberedparagraphs11ptchar0"/>
        </w:rPr>
        <w:t xml:space="preserve">in a </w:t>
      </w:r>
      <w:r w:rsidRPr="004F322C">
        <w:rPr>
          <w:rStyle w:val="stylenumberedparagraphs11ptchar0"/>
        </w:rPr>
        <w:t xml:space="preserve">funding year could be </w:t>
      </w:r>
      <w:r w:rsidR="00751E58" w:rsidRPr="004F322C">
        <w:rPr>
          <w:rStyle w:val="stylenumberedparagraphs11ptchar0"/>
        </w:rPr>
        <w:t xml:space="preserve">financially </w:t>
      </w:r>
      <w:r w:rsidRPr="004F322C">
        <w:rPr>
          <w:rStyle w:val="stylenumberedparagraphs11ptchar0"/>
        </w:rPr>
        <w:t>difficult for schools and libraries</w:t>
      </w:r>
      <w:r w:rsidR="00751E58" w:rsidRPr="004F322C">
        <w:rPr>
          <w:rStyle w:val="stylenumberedparagraphs11ptchar0"/>
        </w:rPr>
        <w:t xml:space="preserve"> and </w:t>
      </w:r>
      <w:r w:rsidRPr="004F322C">
        <w:rPr>
          <w:rStyle w:val="stylenumberedparagraphs11ptchar0"/>
        </w:rPr>
        <w:t>therefore</w:t>
      </w:r>
      <w:r w:rsidR="00F64A10" w:rsidRPr="004F322C">
        <w:rPr>
          <w:rStyle w:val="stylenumberedparagraphs11ptchar0"/>
        </w:rPr>
        <w:t>, throughout this section,</w:t>
      </w:r>
      <w:r w:rsidRPr="004F322C">
        <w:rPr>
          <w:rStyle w:val="stylenumberedparagraphs11ptchar0"/>
        </w:rPr>
        <w:t xml:space="preserve"> </w:t>
      </w:r>
      <w:r w:rsidR="00F64A10" w:rsidRPr="004F322C">
        <w:rPr>
          <w:rStyle w:val="stylenumberedparagraphs11ptchar0"/>
        </w:rPr>
        <w:t xml:space="preserve">we </w:t>
      </w:r>
      <w:r w:rsidRPr="004F322C">
        <w:rPr>
          <w:rStyle w:val="stylenumberedparagraphs11ptchar0"/>
        </w:rPr>
        <w:t xml:space="preserve">seek comment on phasing </w:t>
      </w:r>
      <w:r w:rsidR="00536CD5" w:rsidRPr="004F322C">
        <w:rPr>
          <w:rStyle w:val="stylenumberedparagraphs11ptchar0"/>
        </w:rPr>
        <w:t>out</w:t>
      </w:r>
      <w:r w:rsidR="00CA46AE" w:rsidRPr="004F322C">
        <w:rPr>
          <w:rStyle w:val="stylenumberedparagraphs11ptchar0"/>
        </w:rPr>
        <w:t xml:space="preserve"> </w:t>
      </w:r>
      <w:r w:rsidRPr="004F322C">
        <w:rPr>
          <w:rStyle w:val="stylenumberedparagraphs11ptchar0"/>
        </w:rPr>
        <w:t>support</w:t>
      </w:r>
      <w:r w:rsidR="00F64A10" w:rsidRPr="004F322C">
        <w:rPr>
          <w:rStyle w:val="stylenumberedparagraphs11ptchar0"/>
        </w:rPr>
        <w:t xml:space="preserve"> for services we </w:t>
      </w:r>
      <w:r w:rsidR="00CA46AE" w:rsidRPr="004F322C">
        <w:rPr>
          <w:rStyle w:val="stylenumberedparagraphs11ptchar0"/>
        </w:rPr>
        <w:t xml:space="preserve">remove </w:t>
      </w:r>
      <w:r w:rsidR="00F64A10" w:rsidRPr="004F322C">
        <w:rPr>
          <w:rStyle w:val="stylenumberedparagraphs11ptchar0"/>
        </w:rPr>
        <w:t>from the ESL</w:t>
      </w:r>
      <w:r w:rsidR="00751E58" w:rsidRPr="004F322C">
        <w:rPr>
          <w:rStyle w:val="stylenumberedparagraphs11ptchar0"/>
        </w:rPr>
        <w:t>,</w:t>
      </w:r>
      <w:r w:rsidRPr="004F322C">
        <w:rPr>
          <w:rStyle w:val="stylenumberedparagraphs11ptchar0"/>
        </w:rPr>
        <w:t xml:space="preserve"> rather than</w:t>
      </w:r>
      <w:r>
        <w:t xml:space="preserve"> eliminating </w:t>
      </w:r>
      <w:r w:rsidR="00E90768">
        <w:t xml:space="preserve">them </w:t>
      </w:r>
      <w:r>
        <w:t xml:space="preserve">immediately.  </w:t>
      </w:r>
      <w:r w:rsidRPr="00A27954">
        <w:t xml:space="preserve">We </w:t>
      </w:r>
      <w:r>
        <w:t xml:space="preserve">also </w:t>
      </w:r>
      <w:r w:rsidRPr="00A27954">
        <w:t xml:space="preserve">seek comment on other changes we could make, such as assigning such services a different discount rate that would require applicants to pay </w:t>
      </w:r>
      <w:r>
        <w:t xml:space="preserve">for a greater share of those services than for </w:t>
      </w:r>
      <w:r w:rsidRPr="00A27954">
        <w:t xml:space="preserve">services that we consider to be </w:t>
      </w:r>
      <w:r>
        <w:t xml:space="preserve">directly connected to the fundamental purpose of </w:t>
      </w:r>
      <w:r w:rsidRPr="00A27954">
        <w:t xml:space="preserve">the </w:t>
      </w:r>
      <w:r>
        <w:t>E-rate</w:t>
      </w:r>
      <w:r w:rsidRPr="00A27954">
        <w:t xml:space="preserve"> program.  </w:t>
      </w:r>
      <w:r w:rsidR="00557E8E">
        <w:t>We also seek comment on how to address bundling of supported services, including bundles that include services for which we phase out support.</w:t>
      </w:r>
      <w:r w:rsidR="00297EC5">
        <w:rPr>
          <w:rStyle w:val="FootnoteReference"/>
        </w:rPr>
        <w:footnoteReference w:id="129"/>
      </w:r>
    </w:p>
    <w:p w14:paraId="78C2C8CF" w14:textId="63F551D1" w:rsidR="0012353E" w:rsidRPr="00AF4ED4" w:rsidRDefault="0012353E" w:rsidP="004F322C">
      <w:pPr>
        <w:pStyle w:val="Heading4"/>
      </w:pPr>
      <w:bookmarkStart w:id="1065" w:name="_Toc361663097"/>
      <w:bookmarkStart w:id="1066" w:name="_Toc359853387"/>
      <w:bookmarkStart w:id="1067" w:name="_Toc359858613"/>
      <w:bookmarkStart w:id="1068" w:name="_Toc359940054"/>
      <w:bookmarkStart w:id="1069" w:name="_Toc360025428"/>
      <w:bookmarkStart w:id="1070" w:name="_Toc360107484"/>
      <w:bookmarkStart w:id="1071" w:name="_Toc360111608"/>
      <w:bookmarkStart w:id="1072" w:name="_Toc360172793"/>
      <w:bookmarkStart w:id="1073" w:name="_Toc360186126"/>
      <w:bookmarkStart w:id="1074" w:name="_Toc360186203"/>
      <w:bookmarkStart w:id="1075" w:name="_Toc360186407"/>
      <w:bookmarkStart w:id="1076" w:name="_Toc360187280"/>
      <w:bookmarkStart w:id="1077" w:name="_Toc360208895"/>
      <w:bookmarkStart w:id="1078" w:name="_Toc360212028"/>
      <w:bookmarkStart w:id="1079" w:name="_Toc361663098"/>
      <w:bookmarkStart w:id="1080" w:name="_Toc361857676"/>
      <w:bookmarkStart w:id="1081" w:name="_Toc361918768"/>
      <w:bookmarkEnd w:id="1065"/>
      <w:r w:rsidRPr="00AF4ED4">
        <w:t>Specific Services for Which Support May No Longer Be Appropriate</w:t>
      </w:r>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p>
    <w:p w14:paraId="26A46B8D" w14:textId="4E89C5AD" w:rsidR="00CA46AE" w:rsidRPr="004F322C" w:rsidRDefault="000627C7" w:rsidP="004F322C">
      <w:pPr>
        <w:pStyle w:val="ParaNum"/>
        <w:rPr>
          <w:rStyle w:val="stylenumberedparagraphs11ptchar0"/>
        </w:rPr>
      </w:pPr>
      <w:r w:rsidRPr="00A27954">
        <w:rPr>
          <w:i/>
        </w:rPr>
        <w:t>Outdated services.</w:t>
      </w:r>
      <w:r w:rsidRPr="00A27954">
        <w:t xml:space="preserve"> </w:t>
      </w:r>
      <w:r>
        <w:t>W</w:t>
      </w:r>
      <w:r w:rsidRPr="00A27954">
        <w:t xml:space="preserve">e </w:t>
      </w:r>
      <w:r w:rsidR="00751E58">
        <w:t xml:space="preserve">first </w:t>
      </w:r>
      <w:r w:rsidRPr="00A27954">
        <w:t xml:space="preserve">propose to </w:t>
      </w:r>
      <w:r>
        <w:t>phase</w:t>
      </w:r>
      <w:r w:rsidR="00E90768">
        <w:t xml:space="preserve"> </w:t>
      </w:r>
      <w:r>
        <w:t>out</w:t>
      </w:r>
      <w:r w:rsidRPr="00A27954">
        <w:t xml:space="preserve"> funding for those services that are outdated.  For example, paging services are </w:t>
      </w:r>
      <w:r>
        <w:t xml:space="preserve">eligible for support </w:t>
      </w:r>
      <w:r w:rsidRPr="00A27954">
        <w:t xml:space="preserve">because in 1998, the first year of </w:t>
      </w:r>
      <w:r>
        <w:t>E-rate</w:t>
      </w:r>
      <w:r w:rsidRPr="00A27954">
        <w:t xml:space="preserve"> funding, the adoption of </w:t>
      </w:r>
      <w:r w:rsidRPr="004F322C">
        <w:rPr>
          <w:rStyle w:val="stylenumberedparagraphs11ptchar0"/>
        </w:rPr>
        <w:t>mobile phones was not yet widespread and pagers filled the role of common personal and mobile communications.  Paging services have grown increasingly obsolete with the advent and explosive growth of mobile technology and services, many of which are also supported by the E-rate program.  Yet, paging services continue to be eligible for E-rate support, and in funding year 2011, USAC committed approximately $</w:t>
      </w:r>
      <w:r w:rsidR="00EB3990" w:rsidRPr="004F322C">
        <w:rPr>
          <w:rStyle w:val="stylenumberedparagraphs11ptchar0"/>
        </w:rPr>
        <w:t>934</w:t>
      </w:r>
      <w:r w:rsidRPr="004F322C">
        <w:rPr>
          <w:rStyle w:val="stylenumberedparagraphs11ptchar0"/>
        </w:rPr>
        <w:t xml:space="preserve">,000 for paging services </w:t>
      </w:r>
      <w:r w:rsidR="00EB3990" w:rsidRPr="004F322C">
        <w:rPr>
          <w:rStyle w:val="stylenumberedparagraphs11ptchar0"/>
        </w:rPr>
        <w:t xml:space="preserve">for </w:t>
      </w:r>
      <w:r w:rsidRPr="004F322C">
        <w:rPr>
          <w:rStyle w:val="stylenumberedparagraphs11ptchar0"/>
        </w:rPr>
        <w:t xml:space="preserve">more than 500 E-rate </w:t>
      </w:r>
      <w:r w:rsidR="00EB3990" w:rsidRPr="004F322C">
        <w:rPr>
          <w:rStyle w:val="stylenumberedparagraphs11ptchar0"/>
        </w:rPr>
        <w:t>requests</w:t>
      </w:r>
      <w:r w:rsidRPr="004F322C">
        <w:rPr>
          <w:rStyle w:val="stylenumberedparagraphs11ptchar0"/>
        </w:rPr>
        <w:t>.</w:t>
      </w:r>
      <w:r w:rsidR="00F40A0C" w:rsidRPr="00A93F8B">
        <w:rPr>
          <w:rStyle w:val="FootnoteReference"/>
        </w:rPr>
        <w:footnoteReference w:id="130"/>
      </w:r>
      <w:r w:rsidRPr="008A6123">
        <w:rPr>
          <w:rStyle w:val="FootnoteReference"/>
        </w:rPr>
        <w:t xml:space="preserve"> </w:t>
      </w:r>
      <w:r w:rsidRPr="004F322C">
        <w:rPr>
          <w:rStyle w:val="stylenumberedparagraphs11ptchar0"/>
        </w:rPr>
        <w:t xml:space="preserve"> </w:t>
      </w:r>
    </w:p>
    <w:p w14:paraId="7BBB3C2B" w14:textId="616EBA2A" w:rsidR="00CA46AE" w:rsidRPr="004F322C" w:rsidRDefault="000627C7" w:rsidP="004F322C">
      <w:pPr>
        <w:pStyle w:val="ParaNum"/>
        <w:rPr>
          <w:rStyle w:val="stylenumberedparagraphs11ptchar0"/>
        </w:rPr>
      </w:pPr>
      <w:r w:rsidRPr="004F322C">
        <w:rPr>
          <w:rStyle w:val="stylenumberedparagraphs11ptchar0"/>
        </w:rPr>
        <w:t>Likewise, directory assistance services are eligible for support because, in 1997, directory assistance was considered a core service.</w:t>
      </w:r>
      <w:r w:rsidRPr="008A6123">
        <w:rPr>
          <w:rStyle w:val="FootnoteReference"/>
        </w:rPr>
        <w:footnoteReference w:id="131"/>
      </w:r>
      <w:r w:rsidRPr="008A6123">
        <w:rPr>
          <w:rStyle w:val="FootnoteReference"/>
        </w:rPr>
        <w:t xml:space="preserve"> </w:t>
      </w:r>
      <w:r w:rsidRPr="004F322C">
        <w:rPr>
          <w:rStyle w:val="stylenumberedparagraphs11ptchar0"/>
        </w:rPr>
        <w:t xml:space="preserve"> Now, however, Internet search has </w:t>
      </w:r>
      <w:r w:rsidRPr="004F322C">
        <w:rPr>
          <w:rStyle w:val="stylenumberedparagraphs11ptchar0"/>
        </w:rPr>
        <w:lastRenderedPageBreak/>
        <w:t>largely replaced directory services.</w:t>
      </w:r>
      <w:r w:rsidRPr="00C01136">
        <w:rPr>
          <w:rStyle w:val="FootnoteReference"/>
        </w:rPr>
        <w:footnoteReference w:id="132"/>
      </w:r>
      <w:r w:rsidRPr="008A6123">
        <w:rPr>
          <w:rStyle w:val="FootnoteReference"/>
        </w:rPr>
        <w:t xml:space="preserve"> </w:t>
      </w:r>
      <w:r w:rsidRPr="004F322C">
        <w:rPr>
          <w:rStyle w:val="stylenumberedparagraphs11ptchar0"/>
        </w:rPr>
        <w:t xml:space="preserve"> We</w:t>
      </w:r>
      <w:r w:rsidR="00D33642">
        <w:rPr>
          <w:rStyle w:val="stylenumberedparagraphs11ptchar0"/>
        </w:rPr>
        <w:t>,</w:t>
      </w:r>
      <w:r w:rsidRPr="004F322C">
        <w:rPr>
          <w:rStyle w:val="stylenumberedparagraphs11ptchar0"/>
        </w:rPr>
        <w:t xml:space="preserve"> therefore</w:t>
      </w:r>
      <w:r w:rsidR="00D33642">
        <w:rPr>
          <w:rStyle w:val="stylenumberedparagraphs11ptchar0"/>
        </w:rPr>
        <w:t>,</w:t>
      </w:r>
      <w:r w:rsidRPr="004F322C">
        <w:rPr>
          <w:rStyle w:val="stylenumberedparagraphs11ptchar0"/>
        </w:rPr>
        <w:t xml:space="preserve"> seek comment on our proposal to </w:t>
      </w:r>
      <w:r w:rsidR="00E90768">
        <w:rPr>
          <w:rStyle w:val="stylenumberedparagraphs11ptchar0"/>
        </w:rPr>
        <w:t xml:space="preserve">phase out </w:t>
      </w:r>
      <w:r w:rsidRPr="004F322C">
        <w:rPr>
          <w:rStyle w:val="stylenumberedparagraphs11ptchar0"/>
        </w:rPr>
        <w:t xml:space="preserve">E-rate support for paging services and directory assistance.  </w:t>
      </w:r>
    </w:p>
    <w:p w14:paraId="3BC6FC14" w14:textId="6FE8D24B" w:rsidR="000627C7" w:rsidRDefault="000627C7" w:rsidP="004F322C">
      <w:pPr>
        <w:pStyle w:val="ParaNum"/>
      </w:pPr>
      <w:bookmarkStart w:id="1082" w:name="_Ref361945678"/>
      <w:r w:rsidRPr="004F322C">
        <w:rPr>
          <w:rStyle w:val="stylenumberedparagraphs11ptchar0"/>
        </w:rPr>
        <w:t xml:space="preserve">Do either paging services or directory </w:t>
      </w:r>
      <w:r w:rsidR="00E90768">
        <w:rPr>
          <w:rStyle w:val="stylenumberedparagraphs11ptchar0"/>
        </w:rPr>
        <w:t xml:space="preserve">assistance </w:t>
      </w:r>
      <w:r w:rsidRPr="004F322C">
        <w:rPr>
          <w:rStyle w:val="stylenumberedparagraphs11ptchar0"/>
        </w:rPr>
        <w:t>service serve any important educational purposes?  Is it in the public interest to continue to provide support for either paging services or directory assistance?  Are there any other services that are similarly outdated and should no longer be eligible for E-rate support?</w:t>
      </w:r>
      <w:r w:rsidR="00BB01F0" w:rsidRPr="00C01136">
        <w:rPr>
          <w:rStyle w:val="FootnoteReference"/>
        </w:rPr>
        <w:footnoteReference w:id="133"/>
      </w:r>
      <w:r w:rsidRPr="008A6123">
        <w:rPr>
          <w:rStyle w:val="FootnoteReference"/>
        </w:rPr>
        <w:t xml:space="preserve">  </w:t>
      </w:r>
      <w:r w:rsidRPr="004F322C">
        <w:rPr>
          <w:rStyle w:val="stylenumberedparagraphs11ptchar0"/>
        </w:rPr>
        <w:t xml:space="preserve">For example, is there any reason to continue to provide support for dial-up services?  In funding year 2011, </w:t>
      </w:r>
      <w:r w:rsidR="00EB3990" w:rsidRPr="004F322C">
        <w:rPr>
          <w:rStyle w:val="stylenumberedparagraphs11ptchar0"/>
        </w:rPr>
        <w:t>there w</w:t>
      </w:r>
      <w:r w:rsidR="0026280F" w:rsidRPr="004F322C">
        <w:rPr>
          <w:rStyle w:val="stylenumberedparagraphs11ptchar0"/>
        </w:rPr>
        <w:t>ere</w:t>
      </w:r>
      <w:r w:rsidR="00EB3990" w:rsidRPr="004F322C">
        <w:rPr>
          <w:rStyle w:val="stylenumberedparagraphs11ptchar0"/>
        </w:rPr>
        <w:t xml:space="preserve"> </w:t>
      </w:r>
      <w:r w:rsidR="00053A62" w:rsidRPr="004F322C">
        <w:rPr>
          <w:rStyle w:val="stylenumberedparagraphs11ptchar0"/>
        </w:rPr>
        <w:t xml:space="preserve">more than </w:t>
      </w:r>
      <w:r w:rsidRPr="004F322C">
        <w:rPr>
          <w:rStyle w:val="stylenumberedparagraphs11ptchar0"/>
        </w:rPr>
        <w:t xml:space="preserve">100 </w:t>
      </w:r>
      <w:r w:rsidR="00EB3990" w:rsidRPr="004F322C">
        <w:rPr>
          <w:rStyle w:val="stylenumberedparagraphs11ptchar0"/>
        </w:rPr>
        <w:t>requests for</w:t>
      </w:r>
      <w:r w:rsidR="003F4E29">
        <w:t xml:space="preserve"> approximately</w:t>
      </w:r>
      <w:r w:rsidR="00EB3990">
        <w:t xml:space="preserve"> </w:t>
      </w:r>
      <w:r>
        <w:t>$</w:t>
      </w:r>
      <w:r w:rsidR="00053A62">
        <w:t>95</w:t>
      </w:r>
      <w:r>
        <w:t>,000 in funding commitments for dial-up services.</w:t>
      </w:r>
      <w:r w:rsidR="00A13C7A">
        <w:rPr>
          <w:rStyle w:val="FootnoteReference"/>
        </w:rPr>
        <w:footnoteReference w:id="134"/>
      </w:r>
      <w:r>
        <w:t xml:space="preserve">  Is that still necessary today?  </w:t>
      </w:r>
      <w:r w:rsidRPr="00A27954">
        <w:t>Are there any schools or libraries that have no other option for accessing the Internet besides dial up services?</w:t>
      </w:r>
      <w:bookmarkEnd w:id="1082"/>
      <w:r w:rsidR="00C02EF5">
        <w:t xml:space="preserve">  </w:t>
      </w:r>
    </w:p>
    <w:p w14:paraId="24A6F61D" w14:textId="5EAEC73C" w:rsidR="000627C7" w:rsidRPr="004F322C" w:rsidRDefault="000627C7" w:rsidP="002F34FB">
      <w:pPr>
        <w:pStyle w:val="ParaNum"/>
        <w:rPr>
          <w:rStyle w:val="stylenumberedparagraphs11ptchar0"/>
        </w:rPr>
      </w:pPr>
      <w:r w:rsidRPr="00A27954">
        <w:rPr>
          <w:i/>
        </w:rPr>
        <w:t xml:space="preserve">Components of voice service and supplemental services.  </w:t>
      </w:r>
      <w:r w:rsidRPr="00A27954">
        <w:t xml:space="preserve">We also propose to </w:t>
      </w:r>
      <w:r>
        <w:t>phase</w:t>
      </w:r>
      <w:r w:rsidR="00E90768">
        <w:t xml:space="preserve"> </w:t>
      </w:r>
      <w:r>
        <w:t>out</w:t>
      </w:r>
      <w:r w:rsidRPr="00A27954">
        <w:t xml:space="preserve"> funding </w:t>
      </w:r>
      <w:r>
        <w:t xml:space="preserve">for </w:t>
      </w:r>
      <w:r w:rsidRPr="00A27954">
        <w:t xml:space="preserve">services that are simply components of voice service </w:t>
      </w:r>
      <w:r>
        <w:t>as well as</w:t>
      </w:r>
      <w:r w:rsidRPr="00A27954">
        <w:t xml:space="preserve"> those </w:t>
      </w:r>
      <w:r>
        <w:t xml:space="preserve">services, other than voice, </w:t>
      </w:r>
      <w:r w:rsidRPr="00A27954">
        <w:t xml:space="preserve">that ride over or are supplemental to </w:t>
      </w:r>
      <w:r w:rsidR="00AE5162">
        <w:t>high-capacity broadband</w:t>
      </w:r>
      <w:r w:rsidRPr="00A27954">
        <w:t xml:space="preserve"> connections but are not necessary to make a broadband </w:t>
      </w:r>
      <w:r w:rsidRPr="004F322C">
        <w:rPr>
          <w:rStyle w:val="stylenumberedparagraphs11ptchar0"/>
        </w:rPr>
        <w:t>service functional.</w:t>
      </w:r>
      <w:r w:rsidRPr="00C01136">
        <w:rPr>
          <w:rStyle w:val="FootnoteReference"/>
        </w:rPr>
        <w:footnoteReference w:id="135"/>
      </w:r>
      <w:r w:rsidRPr="008A6123">
        <w:rPr>
          <w:rStyle w:val="FootnoteReference"/>
        </w:rPr>
        <w:t xml:space="preserve">  </w:t>
      </w:r>
      <w:r w:rsidRPr="004F322C">
        <w:rPr>
          <w:rStyle w:val="stylenumberedparagraphs11ptchar0"/>
        </w:rPr>
        <w:t>More specifically, we first propose to eliminate support for custom calling features, inside wiring maintenance plans, call blocking, 800 number services, and text messaging as components of voice services that may not serve educational purposes and do not further our proposed goals.</w:t>
      </w:r>
      <w:r w:rsidR="003C22B1" w:rsidRPr="00C01136">
        <w:rPr>
          <w:rStyle w:val="FootnoteReference"/>
        </w:rPr>
        <w:footnoteReference w:id="136"/>
      </w:r>
      <w:r w:rsidRPr="004F322C">
        <w:rPr>
          <w:rStyle w:val="stylenumberedparagraphs11ptchar0"/>
        </w:rPr>
        <w:t xml:space="preserve">  </w:t>
      </w:r>
      <w:r w:rsidR="009D2ED1" w:rsidRPr="004F322C">
        <w:rPr>
          <w:rStyle w:val="stylenumberedparagraphs11ptchar0"/>
        </w:rPr>
        <w:t>USAC has estimated that it committed more than $85,000 for 800 number service in funding year 2011 and more than $75,000 for unbundled text messaging in funding year 2011.</w:t>
      </w:r>
      <w:r w:rsidR="009D2ED1" w:rsidRPr="00C01136">
        <w:rPr>
          <w:rStyle w:val="FootnoteReference"/>
        </w:rPr>
        <w:footnoteReference w:id="137"/>
      </w:r>
      <w:r w:rsidR="009D2ED1" w:rsidRPr="008A6123">
        <w:rPr>
          <w:rStyle w:val="FootnoteReference"/>
        </w:rPr>
        <w:t xml:space="preserve"> </w:t>
      </w:r>
      <w:r w:rsidR="009D2ED1" w:rsidRPr="004F322C">
        <w:rPr>
          <w:rStyle w:val="stylenumberedparagraphs11ptchar0"/>
        </w:rPr>
        <w:t xml:space="preserve"> We seek comment on this proposal and we ask whether there are other such services for which we should no longer provide E-rate support? </w:t>
      </w:r>
      <w:r w:rsidR="0004588B" w:rsidRPr="004F322C">
        <w:rPr>
          <w:rStyle w:val="stylenumberedparagraphs11ptchar0"/>
        </w:rPr>
        <w:t xml:space="preserve">  </w:t>
      </w:r>
      <w:r w:rsidRPr="004F322C">
        <w:rPr>
          <w:rStyle w:val="stylenumberedparagraphs11ptchar0"/>
        </w:rPr>
        <w:t xml:space="preserve"> </w:t>
      </w:r>
    </w:p>
    <w:p w14:paraId="343C7686" w14:textId="66DDB4A5" w:rsidR="000627C7" w:rsidRPr="004F322C" w:rsidRDefault="000627C7" w:rsidP="0036678A">
      <w:pPr>
        <w:pStyle w:val="ParaNum"/>
        <w:rPr>
          <w:rStyle w:val="stylenumberedparagraphs11ptchar0"/>
        </w:rPr>
      </w:pPr>
      <w:bookmarkStart w:id="1083" w:name="_Ref360205325"/>
      <w:r w:rsidRPr="004F322C">
        <w:rPr>
          <w:rStyle w:val="stylenumberedparagraphs11ptchar0"/>
        </w:rPr>
        <w:t xml:space="preserve">We also </w:t>
      </w:r>
      <w:r w:rsidR="00557E8E">
        <w:rPr>
          <w:rStyle w:val="stylenumberedparagraphs11ptchar0"/>
        </w:rPr>
        <w:t>seek comment on phasing</w:t>
      </w:r>
      <w:r w:rsidRPr="004F322C">
        <w:rPr>
          <w:rStyle w:val="stylenumberedparagraphs11ptchar0"/>
        </w:rPr>
        <w:t xml:space="preserve"> out funding for supplemental or “ride-over” services.  In the </w:t>
      </w:r>
      <w:r w:rsidRPr="004F322C">
        <w:rPr>
          <w:rStyle w:val="stylenumberedparagraphs11ptchar0"/>
          <w:i/>
        </w:rPr>
        <w:t>Healthcare Connect Fund Order</w:t>
      </w:r>
      <w:r w:rsidRPr="004F322C">
        <w:rPr>
          <w:rStyle w:val="stylenumberedparagraphs11ptchar0"/>
        </w:rPr>
        <w:t xml:space="preserve">, the Commission determined it would only provide </w:t>
      </w:r>
      <w:r w:rsidRPr="004F322C">
        <w:rPr>
          <w:rStyle w:val="stylenumberedparagraphs11ptchar0"/>
        </w:rPr>
        <w:lastRenderedPageBreak/>
        <w:t xml:space="preserve">support for services necessary to make a </w:t>
      </w:r>
      <w:r w:rsidR="00AE5162" w:rsidRPr="004F322C">
        <w:rPr>
          <w:rStyle w:val="stylenumberedparagraphs11ptchar0"/>
        </w:rPr>
        <w:t>high-capacity broadband</w:t>
      </w:r>
      <w:r w:rsidRPr="004F322C">
        <w:rPr>
          <w:rStyle w:val="stylenumberedparagraphs11ptchar0"/>
        </w:rPr>
        <w:t xml:space="preserve"> service functional as distinguished from services or applications that ride over the network.  The Commission explained that it was connectivity that served as the “input” to making the ride-over services functional and not the other way around.</w:t>
      </w:r>
      <w:r w:rsidRPr="008A6123">
        <w:rPr>
          <w:rStyle w:val="FootnoteReference"/>
        </w:rPr>
        <w:footnoteReference w:id="138"/>
      </w:r>
      <w:r w:rsidRPr="008A6123">
        <w:rPr>
          <w:rStyle w:val="FootnoteReference"/>
        </w:rPr>
        <w:t xml:space="preserve"> </w:t>
      </w:r>
      <w:r w:rsidRPr="004F322C">
        <w:rPr>
          <w:rStyle w:val="stylenumberedparagraphs11ptchar0"/>
        </w:rPr>
        <w:t xml:space="preserve"> Although the proposed goals for the E-rate program are somewhat different from our Healthcare Connect Fund goals, </w:t>
      </w:r>
      <w:r w:rsidR="00557E8E">
        <w:rPr>
          <w:rStyle w:val="stylenumberedparagraphs11ptchar0"/>
        </w:rPr>
        <w:t>should we</w:t>
      </w:r>
      <w:r w:rsidR="00557E8E" w:rsidRPr="004F322C">
        <w:rPr>
          <w:rStyle w:val="stylenumberedparagraphs11ptchar0"/>
        </w:rPr>
        <w:t xml:space="preserve"> </w:t>
      </w:r>
      <w:r w:rsidR="00557E8E">
        <w:rPr>
          <w:rStyle w:val="stylenumberedparagraphs11ptchar0"/>
        </w:rPr>
        <w:t xml:space="preserve">use </w:t>
      </w:r>
      <w:r w:rsidRPr="004F322C">
        <w:rPr>
          <w:rStyle w:val="stylenumberedparagraphs11ptchar0"/>
        </w:rPr>
        <w:t xml:space="preserve">the </w:t>
      </w:r>
      <w:r w:rsidR="003C2950" w:rsidRPr="003C2950">
        <w:rPr>
          <w:rStyle w:val="stylenumberedparagraphs11ptchar0"/>
          <w:i/>
        </w:rPr>
        <w:t>Healthcare Connect Fund Order</w:t>
      </w:r>
      <w:r w:rsidRPr="004F322C">
        <w:rPr>
          <w:rStyle w:val="stylenumberedparagraphs11ptchar0"/>
        </w:rPr>
        <w:t>’s concept of “ride over” services to help determine what currently supported E-rate services should be considered supplemental to broadband, and therefore no longer supported</w:t>
      </w:r>
      <w:r w:rsidR="00557E8E">
        <w:rPr>
          <w:rStyle w:val="stylenumberedparagraphs11ptchar0"/>
        </w:rPr>
        <w:t>?</w:t>
      </w:r>
      <w:r w:rsidRPr="004F322C">
        <w:rPr>
          <w:rStyle w:val="stylenumberedparagraphs11ptchar0"/>
        </w:rPr>
        <w:t xml:space="preserve">  </w:t>
      </w:r>
      <w:r w:rsidR="009D2ED1" w:rsidRPr="004F322C">
        <w:rPr>
          <w:rStyle w:val="stylenumberedparagraphs11ptchar0"/>
        </w:rPr>
        <w:t xml:space="preserve">We seek comment on whether the </w:t>
      </w:r>
      <w:r w:rsidR="003C2950" w:rsidRPr="003C2950">
        <w:rPr>
          <w:rStyle w:val="stylenumberedparagraphs11ptchar0"/>
          <w:i/>
        </w:rPr>
        <w:t>Healthcare Connect Fund Order</w:t>
      </w:r>
      <w:r w:rsidR="009D2ED1" w:rsidRPr="004F322C">
        <w:rPr>
          <w:rStyle w:val="stylenumberedparagraphs11ptchar0"/>
        </w:rPr>
        <w:t xml:space="preserve">’s </w:t>
      </w:r>
      <w:r w:rsidR="009D2ED1" w:rsidRPr="008A6123">
        <w:rPr>
          <w:rStyle w:val="stylenumberedparagraphs11ptchar0"/>
          <w:szCs w:val="22"/>
        </w:rPr>
        <w:t>characterization of</w:t>
      </w:r>
      <w:r w:rsidR="009D2ED1" w:rsidRPr="004F322C">
        <w:rPr>
          <w:rStyle w:val="stylenumberedparagraphs11ptchar0"/>
        </w:rPr>
        <w:t xml:space="preserve"> ride-over services is instructive for E-rate purposes.</w:t>
      </w:r>
      <w:r w:rsidR="009D2ED1" w:rsidRPr="008A6123">
        <w:rPr>
          <w:rStyle w:val="stylenumberedparagraphs11ptchar0"/>
          <w:szCs w:val="22"/>
        </w:rPr>
        <w:t xml:space="preserve"> </w:t>
      </w:r>
      <w:r w:rsidR="009D2ED1" w:rsidRPr="004F322C">
        <w:rPr>
          <w:rStyle w:val="stylenumberedparagraphs11ptchar0"/>
        </w:rPr>
        <w:t xml:space="preserve"> </w:t>
      </w:r>
      <w:bookmarkEnd w:id="1083"/>
      <w:r w:rsidRPr="004F322C">
        <w:rPr>
          <w:rStyle w:val="stylenumberedparagraphs11ptchar0"/>
        </w:rPr>
        <w:t xml:space="preserve"> </w:t>
      </w:r>
    </w:p>
    <w:p w14:paraId="0E9BD12B" w14:textId="19289E5E" w:rsidR="000627C7" w:rsidRPr="004F322C" w:rsidRDefault="004C6904" w:rsidP="0036678A">
      <w:pPr>
        <w:pStyle w:val="ParaNum"/>
        <w:rPr>
          <w:rStyle w:val="stylenumberedparagraphs11ptchar0"/>
        </w:rPr>
      </w:pPr>
      <w:bookmarkStart w:id="1084" w:name="_Ref360205352"/>
      <w:r w:rsidRPr="004F322C">
        <w:rPr>
          <w:rStyle w:val="stylenumberedparagraphs11ptchar0"/>
        </w:rPr>
        <w:t xml:space="preserve">Based on the concept articulated in the </w:t>
      </w:r>
      <w:r w:rsidR="003C2950" w:rsidRPr="003C2950">
        <w:rPr>
          <w:rStyle w:val="stylenumberedparagraphs11ptchar0"/>
          <w:i/>
        </w:rPr>
        <w:t>Healthcare Connect Fund Order</w:t>
      </w:r>
      <w:r w:rsidRPr="004F322C">
        <w:rPr>
          <w:rStyle w:val="stylenumberedparagraphs11ptchar0"/>
        </w:rPr>
        <w:t xml:space="preserve">, we </w:t>
      </w:r>
      <w:r w:rsidR="00557E8E">
        <w:rPr>
          <w:rStyle w:val="stylenumberedparagraphs11ptchar0"/>
        </w:rPr>
        <w:t xml:space="preserve">seek comment on phasing </w:t>
      </w:r>
      <w:r w:rsidRPr="004F322C">
        <w:rPr>
          <w:rStyle w:val="stylenumberedparagraphs11ptchar0"/>
        </w:rPr>
        <w:t>out E-rate support for services that are not directly related to connectivity and seek comment on this proposal</w:t>
      </w:r>
      <w:r w:rsidR="00557E8E">
        <w:rPr>
          <w:rStyle w:val="stylenumberedparagraphs11ptchar0"/>
        </w:rPr>
        <w:t>, such as</w:t>
      </w:r>
      <w:r w:rsidR="004702B3">
        <w:rPr>
          <w:rStyle w:val="stylenumberedparagraphs11ptchar0"/>
        </w:rPr>
        <w:t xml:space="preserve"> </w:t>
      </w:r>
      <w:r w:rsidR="004702B3" w:rsidRPr="000F7B97">
        <w:rPr>
          <w:rStyle w:val="stylenumberedparagraphs11ptchar0"/>
        </w:rPr>
        <w:t>electronic mail services</w:t>
      </w:r>
      <w:r w:rsidR="00557E8E">
        <w:rPr>
          <w:rStyle w:val="stylenumberedparagraphs11ptchar0"/>
        </w:rPr>
        <w:t xml:space="preserve"> </w:t>
      </w:r>
      <w:r w:rsidR="004702B3">
        <w:rPr>
          <w:rStyle w:val="stylenumberedparagraphs11ptchar0"/>
        </w:rPr>
        <w:t>(</w:t>
      </w:r>
      <w:r w:rsidR="000627C7" w:rsidRPr="004F322C">
        <w:rPr>
          <w:rStyle w:val="stylenumberedparagraphs11ptchar0"/>
        </w:rPr>
        <w:t>e-mail</w:t>
      </w:r>
      <w:r w:rsidR="004702B3">
        <w:rPr>
          <w:rStyle w:val="stylenumberedparagraphs11ptchar0"/>
        </w:rPr>
        <w:t>)</w:t>
      </w:r>
      <w:r w:rsidR="000627C7" w:rsidRPr="004F322C">
        <w:rPr>
          <w:rStyle w:val="stylenumberedparagraphs11ptchar0"/>
        </w:rPr>
        <w:t xml:space="preserve"> service and web hosting as supplemental services.  In previous proceedings, commenters have claimed that the pricing of web hosting in the K-12 market has become skewed when compared to other commercially available web hosting services and claim that vendors have become adept at packaging their services to increase the cost of web</w:t>
      </w:r>
      <w:r w:rsidR="004702B3">
        <w:rPr>
          <w:rStyle w:val="stylenumberedparagraphs11ptchar0"/>
        </w:rPr>
        <w:t xml:space="preserve"> </w:t>
      </w:r>
      <w:r w:rsidR="000627C7" w:rsidRPr="004F322C">
        <w:rPr>
          <w:rStyle w:val="stylenumberedparagraphs11ptchar0"/>
        </w:rPr>
        <w:t>hosting above market rates in order to decrease the cost of the ineligible services.</w:t>
      </w:r>
      <w:r w:rsidR="000627C7" w:rsidRPr="00C01136">
        <w:rPr>
          <w:rStyle w:val="FootnoteReference"/>
        </w:rPr>
        <w:footnoteReference w:id="139"/>
      </w:r>
      <w:r w:rsidR="000627C7" w:rsidRPr="004F322C">
        <w:rPr>
          <w:rStyle w:val="stylenumberedparagraphs11ptchar0"/>
        </w:rPr>
        <w:t xml:space="preserve">  USAC estimates that it committed $</w:t>
      </w:r>
      <w:r w:rsidR="0026280F" w:rsidRPr="004F322C">
        <w:rPr>
          <w:rStyle w:val="stylenumberedparagraphs11ptchar0"/>
        </w:rPr>
        <w:t>9.</w:t>
      </w:r>
      <w:r w:rsidR="000627C7" w:rsidRPr="004F322C">
        <w:rPr>
          <w:rStyle w:val="stylenumberedparagraphs11ptchar0"/>
        </w:rPr>
        <w:t>8 million for e-mail services and almost $2</w:t>
      </w:r>
      <w:r w:rsidR="0026280F" w:rsidRPr="004F322C">
        <w:rPr>
          <w:rStyle w:val="stylenumberedparagraphs11ptchar0"/>
        </w:rPr>
        <w:t>8</w:t>
      </w:r>
      <w:r w:rsidR="000627C7" w:rsidRPr="004F322C">
        <w:rPr>
          <w:rStyle w:val="stylenumberedparagraphs11ptchar0"/>
        </w:rPr>
        <w:t xml:space="preserve"> million for web</w:t>
      </w:r>
      <w:r w:rsidR="004702B3">
        <w:rPr>
          <w:rStyle w:val="stylenumberedparagraphs11ptchar0"/>
        </w:rPr>
        <w:t xml:space="preserve"> </w:t>
      </w:r>
      <w:r w:rsidR="000627C7" w:rsidRPr="004F322C">
        <w:rPr>
          <w:rStyle w:val="stylenumberedparagraphs11ptchar0"/>
        </w:rPr>
        <w:t>hosting</w:t>
      </w:r>
      <w:r w:rsidR="00850FAC" w:rsidRPr="004F322C">
        <w:rPr>
          <w:rStyle w:val="stylenumberedparagraphs11ptchar0"/>
        </w:rPr>
        <w:t xml:space="preserve"> in funding year 2011</w:t>
      </w:r>
      <w:r w:rsidR="000627C7" w:rsidRPr="004F322C">
        <w:rPr>
          <w:rStyle w:val="stylenumberedparagraphs11ptchar0"/>
        </w:rPr>
        <w:t>.</w:t>
      </w:r>
      <w:r w:rsidR="00A13C7A" w:rsidRPr="00C01136">
        <w:rPr>
          <w:rStyle w:val="FootnoteReference"/>
        </w:rPr>
        <w:footnoteReference w:id="140"/>
      </w:r>
      <w:r w:rsidR="000627C7" w:rsidRPr="008A6123">
        <w:rPr>
          <w:rStyle w:val="FootnoteReference"/>
        </w:rPr>
        <w:t xml:space="preserve">  </w:t>
      </w:r>
      <w:r w:rsidR="000627C7" w:rsidRPr="004F322C">
        <w:rPr>
          <w:rStyle w:val="stylenumberedparagraphs11ptchar0"/>
        </w:rPr>
        <w:t>Should the E-rate fund be supporting services such as web hosting and email at costly monthly rates when many such services are cloud based and offered basically for free to other users?  Is there any continuing and compelling policy reason to continue to fund such services?</w:t>
      </w:r>
      <w:bookmarkEnd w:id="1084"/>
      <w:r w:rsidR="000627C7" w:rsidRPr="004F322C">
        <w:rPr>
          <w:rStyle w:val="stylenumberedparagraphs11ptchar0"/>
        </w:rPr>
        <w:t xml:space="preserve">  </w:t>
      </w:r>
    </w:p>
    <w:p w14:paraId="0AB413F9" w14:textId="20B62E30" w:rsidR="000627C7" w:rsidRDefault="000627C7" w:rsidP="0036678A">
      <w:pPr>
        <w:pStyle w:val="ParaNum"/>
      </w:pPr>
      <w:r w:rsidRPr="004F322C">
        <w:rPr>
          <w:rStyle w:val="stylenumberedparagraphs11ptchar0"/>
        </w:rPr>
        <w:t>We note that “electronic mail services” are included with in the definition of “Internet access” in section 54.5 of our rules and we therefore seek comment on whether we would need to change the definition of “Internet access” for purposes of the E-rate</w:t>
      </w:r>
      <w:r w:rsidRPr="00A27954">
        <w:t xml:space="preserve"> program if we were to stop providing support for e-mail services.</w:t>
      </w:r>
      <w:r w:rsidR="0026280F">
        <w:rPr>
          <w:rStyle w:val="FootnoteReference"/>
        </w:rPr>
        <w:footnoteReference w:id="141"/>
      </w:r>
      <w:r w:rsidRPr="00A27954">
        <w:t xml:space="preserve">  If so</w:t>
      </w:r>
      <w:r w:rsidR="00D33642">
        <w:t>,</w:t>
      </w:r>
      <w:r w:rsidRPr="00A27954">
        <w:t xml:space="preserve"> </w:t>
      </w:r>
      <w:r>
        <w:t xml:space="preserve">should we simply delete the reference to electronic mail services in the definition of Internet access in </w:t>
      </w:r>
      <w:r>
        <w:lastRenderedPageBreak/>
        <w:t>section 54.5 of our rules?  Are there are other changes we need to make to our rules if we phase down or eliminate support for the types of services discussed above?  A</w:t>
      </w:r>
      <w:r w:rsidRPr="00A27954">
        <w:t xml:space="preserve">re other services </w:t>
      </w:r>
      <w:r>
        <w:t>that are currently eligible for E-rate support</w:t>
      </w:r>
      <w:r w:rsidRPr="00A27954">
        <w:t xml:space="preserve"> that ride over or are supplemental to </w:t>
      </w:r>
      <w:r w:rsidR="00AE5162">
        <w:t>high-capacity broadband</w:t>
      </w:r>
      <w:r w:rsidRPr="00A27954">
        <w:t xml:space="preserve"> connections, but are not necessary to make a </w:t>
      </w:r>
      <w:r w:rsidR="00AE5162">
        <w:t>high-capacity broadband</w:t>
      </w:r>
      <w:r w:rsidRPr="00A27954">
        <w:t xml:space="preserve"> service functional?  </w:t>
      </w:r>
    </w:p>
    <w:p w14:paraId="2F4B2AB9" w14:textId="46502A01" w:rsidR="008C2565" w:rsidRPr="002818C6" w:rsidRDefault="008C2565" w:rsidP="008C2565">
      <w:pPr>
        <w:pStyle w:val="ParaNum"/>
        <w:rPr>
          <w:szCs w:val="22"/>
        </w:rPr>
      </w:pPr>
      <w:r w:rsidRPr="002818C6">
        <w:rPr>
          <w:i/>
          <w:szCs w:val="22"/>
        </w:rPr>
        <w:t>Educational purposes.</w:t>
      </w:r>
      <w:r w:rsidRPr="002818C6">
        <w:rPr>
          <w:szCs w:val="22"/>
        </w:rPr>
        <w:t xml:space="preserve"> </w:t>
      </w:r>
      <w:r w:rsidR="003A39BC">
        <w:rPr>
          <w:szCs w:val="22"/>
        </w:rPr>
        <w:t xml:space="preserve"> </w:t>
      </w:r>
      <w:r w:rsidRPr="002818C6">
        <w:rPr>
          <w:szCs w:val="22"/>
        </w:rPr>
        <w:t xml:space="preserve">In the </w:t>
      </w:r>
      <w:r w:rsidRPr="002818C6">
        <w:rPr>
          <w:i/>
          <w:szCs w:val="22"/>
        </w:rPr>
        <w:t>Schools and Libraries Second Report and Order</w:t>
      </w:r>
      <w:r w:rsidRPr="002818C6">
        <w:rPr>
          <w:szCs w:val="22"/>
        </w:rPr>
        <w:t>, the Commission determined that activities that are integral, immediate, and proximate to the education of students, or in the case of libraries, integral, immediate, and proximate to the provision of library services to library patrons, qualify as “educational purposes.”</w:t>
      </w:r>
      <w:r w:rsidRPr="002818C6">
        <w:rPr>
          <w:szCs w:val="22"/>
          <w:vertAlign w:val="superscript"/>
        </w:rPr>
        <w:footnoteReference w:id="142"/>
      </w:r>
      <w:r w:rsidRPr="002818C6">
        <w:rPr>
          <w:szCs w:val="22"/>
        </w:rPr>
        <w:t xml:space="preserve">  The </w:t>
      </w:r>
      <w:r w:rsidRPr="002818C6">
        <w:rPr>
          <w:i/>
          <w:szCs w:val="22"/>
        </w:rPr>
        <w:t>Schools and Libraries Second Report and Order</w:t>
      </w:r>
      <w:r w:rsidRPr="002818C6">
        <w:rPr>
          <w:szCs w:val="22"/>
        </w:rPr>
        <w:t xml:space="preserve"> also, however, provided a presumption that services provided on-campus serve an educational purpose.</w:t>
      </w:r>
      <w:r w:rsidRPr="002818C6">
        <w:rPr>
          <w:szCs w:val="22"/>
          <w:vertAlign w:val="superscript"/>
        </w:rPr>
        <w:footnoteReference w:id="143"/>
      </w:r>
      <w:r w:rsidRPr="002818C6">
        <w:rPr>
          <w:szCs w:val="22"/>
        </w:rPr>
        <w:t xml:space="preserve">  More recently, the Commission clarified educational purposes in </w:t>
      </w:r>
      <w:r w:rsidR="00227056" w:rsidRPr="00227056">
        <w:rPr>
          <w:i/>
          <w:szCs w:val="22"/>
        </w:rPr>
        <w:t>Schools and Libraries Sixth Report and Order</w:t>
      </w:r>
      <w:r w:rsidRPr="002818C6">
        <w:rPr>
          <w:szCs w:val="22"/>
        </w:rPr>
        <w:t xml:space="preserve"> by requiring that schools must primarily use services funded under the E-rate program, in the first instance, for educational purposes.</w:t>
      </w:r>
      <w:r w:rsidRPr="002818C6">
        <w:rPr>
          <w:szCs w:val="22"/>
          <w:vertAlign w:val="superscript"/>
        </w:rPr>
        <w:footnoteReference w:id="144"/>
      </w:r>
      <w:r w:rsidRPr="002818C6">
        <w:rPr>
          <w:szCs w:val="22"/>
        </w:rPr>
        <w:t xml:space="preserve">  </w:t>
      </w:r>
    </w:p>
    <w:p w14:paraId="40DB8559" w14:textId="57B8C775" w:rsidR="00D34B43" w:rsidRDefault="00CB28DC">
      <w:pPr>
        <w:pStyle w:val="ParaNum"/>
      </w:pPr>
      <w:r w:rsidRPr="002818C6">
        <w:rPr>
          <w:szCs w:val="22"/>
        </w:rPr>
        <w:t>We seek comment on whether we should make changes to the E-rate program to ensure that supported services are, at a minimum, used for the core purpose of educating students and serving library patrons.</w:t>
      </w:r>
      <w:r w:rsidRPr="002818C6">
        <w:rPr>
          <w:szCs w:val="22"/>
          <w:vertAlign w:val="superscript"/>
        </w:rPr>
        <w:footnoteReference w:id="145"/>
      </w:r>
      <w:r w:rsidRPr="002818C6">
        <w:rPr>
          <w:szCs w:val="22"/>
        </w:rPr>
        <w:t xml:space="preserve">  </w:t>
      </w:r>
      <w:r w:rsidRPr="00C35FE5">
        <w:t>More specifically, we seek comment on whether we should allow a school or library to seek E-rate support for services that will be used only by school and library staff, administrators, or board members.  If school and library staff use the supported services in their role as educators and information providers but the services are inaccessible to students and library patrons, does this satisfy the statutory requirement that the support be used for educational purposes in 254(h)(1)(B) and that advanced telecommunications be enhanced for all classrooms and libraries in 254(h)(2)(A)?</w:t>
      </w:r>
      <w:r w:rsidR="000364E4">
        <w:rPr>
          <w:rStyle w:val="FootnoteReference"/>
        </w:rPr>
        <w:footnoteReference w:id="146"/>
      </w:r>
      <w:r w:rsidRPr="002818C6">
        <w:rPr>
          <w:szCs w:val="22"/>
        </w:rPr>
        <w:t xml:space="preserve">  Should E-rate funds be provided if school and library staff use such services only for administrative or other </w:t>
      </w:r>
      <w:r w:rsidRPr="002818C6">
        <w:rPr>
          <w:szCs w:val="22"/>
        </w:rPr>
        <w:lastRenderedPageBreak/>
        <w:t xml:space="preserve">purposes not directly tied to education?  If funds are provided for administrative or other purposes not directly tied to education, should they have a lower priority than funds provided for the core purpose of serving students and library patrons?  </w:t>
      </w:r>
      <w:r>
        <w:t>Alternatively or additionally, should we stop providing E-rate support for services to non-instructional buildings, such as bus garages?  If so, how should we treat</w:t>
      </w:r>
      <w:r w:rsidRPr="007645F3">
        <w:t xml:space="preserve"> </w:t>
      </w:r>
      <w:r>
        <w:t xml:space="preserve">non-instructional buildings, such as technology centers, that support E-rate supported services?  </w:t>
      </w:r>
      <w:r>
        <w:rPr>
          <w:szCs w:val="22"/>
        </w:rPr>
        <w:t xml:space="preserve">Are there some administrative functions such as parent-teacher communication that should always be considered as primarily serving an educational purpose?  Or, even if there are services that </w:t>
      </w:r>
      <w:r w:rsidRPr="00EA37D0">
        <w:t>further the edu</w:t>
      </w:r>
      <w:r>
        <w:t>cational mission of the school, is it now no longer realistic to support all of these services within our budget since funding is always limited?</w:t>
      </w:r>
      <w:r w:rsidRPr="002818C6">
        <w:rPr>
          <w:szCs w:val="22"/>
        </w:rPr>
        <w:t xml:space="preserve">  We invite comment</w:t>
      </w:r>
      <w:r>
        <w:rPr>
          <w:szCs w:val="22"/>
        </w:rPr>
        <w:t>ers</w:t>
      </w:r>
      <w:r w:rsidRPr="002818C6">
        <w:rPr>
          <w:szCs w:val="22"/>
        </w:rPr>
        <w:t xml:space="preserve"> to distinguish between and among E-rate supported services when responding to these questions.  For example, do commenters think we should take a different approach when it comes to Internet access services as opposed to basic voice services?  What changes to the E-rate program would be necessary, such as changes to our rules or required program certifications, if we were to limit E-rate funding to services directly available, at least in part, to students and patrons?</w:t>
      </w:r>
      <w:r w:rsidRPr="002818C6">
        <w:rPr>
          <w:color w:val="000000"/>
          <w:szCs w:val="22"/>
          <w:vertAlign w:val="superscript"/>
        </w:rPr>
        <w:footnoteReference w:id="147"/>
      </w:r>
      <w:r w:rsidRPr="002818C6">
        <w:rPr>
          <w:szCs w:val="22"/>
        </w:rPr>
        <w:t xml:space="preserve">  </w:t>
      </w:r>
      <w:r>
        <w:rPr>
          <w:szCs w:val="22"/>
        </w:rPr>
        <w:t>Would placing limits on</w:t>
      </w:r>
      <w:r w:rsidRPr="002818C6">
        <w:rPr>
          <w:szCs w:val="22"/>
        </w:rPr>
        <w:t xml:space="preserve"> funding for services that are not directly available to student</w:t>
      </w:r>
      <w:r>
        <w:rPr>
          <w:szCs w:val="22"/>
        </w:rPr>
        <w:t>s</w:t>
      </w:r>
      <w:r w:rsidRPr="002818C6">
        <w:rPr>
          <w:szCs w:val="22"/>
        </w:rPr>
        <w:t xml:space="preserve"> or patrons </w:t>
      </w:r>
      <w:r>
        <w:rPr>
          <w:szCs w:val="22"/>
        </w:rPr>
        <w:t xml:space="preserve">be too difficult to monitor or audit or </w:t>
      </w:r>
      <w:r w:rsidRPr="002818C6">
        <w:rPr>
          <w:szCs w:val="22"/>
        </w:rPr>
        <w:t>raise cost-allocation challenges?  Commenters should be specific in their proposals.</w:t>
      </w:r>
    </w:p>
    <w:p w14:paraId="53B9563C" w14:textId="11720EC4" w:rsidR="003A39BC" w:rsidRDefault="000627C7" w:rsidP="00490FCE">
      <w:pPr>
        <w:pStyle w:val="ParaNum"/>
      </w:pPr>
      <w:r w:rsidRPr="00A27954">
        <w:rPr>
          <w:i/>
        </w:rPr>
        <w:t>Basic maintenance of internal connections</w:t>
      </w:r>
      <w:r>
        <w:rPr>
          <w:i/>
        </w:rPr>
        <w:t xml:space="preserve"> (BMIC)</w:t>
      </w:r>
      <w:r w:rsidRPr="00A27954">
        <w:rPr>
          <w:i/>
        </w:rPr>
        <w:t>.</w:t>
      </w:r>
      <w:r w:rsidRPr="00A27954">
        <w:t xml:space="preserve">  We </w:t>
      </w:r>
      <w:r w:rsidR="00807DFE">
        <w:t xml:space="preserve">seek comment on phasing </w:t>
      </w:r>
      <w:r>
        <w:t xml:space="preserve">out funding </w:t>
      </w:r>
      <w:r w:rsidR="00AD6AB4">
        <w:t xml:space="preserve">for </w:t>
      </w:r>
      <w:r>
        <w:t>BMIC</w:t>
      </w:r>
      <w:r w:rsidRPr="00A27954">
        <w:t>.</w:t>
      </w:r>
      <w:r>
        <w:t xml:space="preserve">  </w:t>
      </w:r>
      <w:r w:rsidR="00A8240A">
        <w:t xml:space="preserve">For funding year 2011, USAC committed </w:t>
      </w:r>
      <w:r w:rsidR="00AA1374">
        <w:t xml:space="preserve">nearly </w:t>
      </w:r>
      <w:r w:rsidR="00A8240A">
        <w:t>$</w:t>
      </w:r>
      <w:r w:rsidR="00AA1374">
        <w:t xml:space="preserve">125 </w:t>
      </w:r>
      <w:r w:rsidR="00A8240A">
        <w:t>million for BMIC.</w:t>
      </w:r>
      <w:r w:rsidR="00A8240A">
        <w:rPr>
          <w:rStyle w:val="FootnoteReference"/>
        </w:rPr>
        <w:footnoteReference w:id="148"/>
      </w:r>
      <w:r>
        <w:t xml:space="preserve">  </w:t>
      </w:r>
      <w:r w:rsidRPr="00A27954">
        <w:t>We previously sought comment on modifying our approach to funding for BMIC, and now seek to refresh the record.</w:t>
      </w:r>
      <w:r w:rsidRPr="00A27954">
        <w:rPr>
          <w:vertAlign w:val="superscript"/>
        </w:rPr>
        <w:footnoteReference w:id="149"/>
      </w:r>
      <w:r w:rsidRPr="00A27954">
        <w:t xml:space="preserve">  We recognize that maintenance in some form is necessary for broadband and other supported services to remain available to schools and libraries.  However, under our current rules</w:t>
      </w:r>
      <w:r w:rsidR="00BB01F0">
        <w:t xml:space="preserve"> which fund BMIC as a priority two service</w:t>
      </w:r>
      <w:r w:rsidRPr="00A27954">
        <w:t xml:space="preserve">, the same high-discount school districts receive more than ample funding for basic maintenance each year, </w:t>
      </w:r>
      <w:r w:rsidRPr="00A27954">
        <w:lastRenderedPageBreak/>
        <w:t xml:space="preserve">while other needy schools and school districts have received no </w:t>
      </w:r>
      <w:r w:rsidR="00BB01F0">
        <w:t xml:space="preserve">priority two </w:t>
      </w:r>
      <w:r w:rsidRPr="00A27954">
        <w:t xml:space="preserve">support for increasingly important and necessary internal connections. </w:t>
      </w:r>
      <w:r>
        <w:t xml:space="preserve"> </w:t>
      </w:r>
      <w:r w:rsidR="00DD0772">
        <w:t xml:space="preserve">Additionally, it is </w:t>
      </w:r>
      <w:r w:rsidR="004B12A9">
        <w:t>especially difficult for USAC to monitor compliance with rules regarding BMIC</w:t>
      </w:r>
      <w:r w:rsidR="00AD6AB4">
        <w:t>,</w:t>
      </w:r>
      <w:r w:rsidR="004B12A9">
        <w:t xml:space="preserve"> and BMIC may therefore be more susceptible to abuse than other funded services.  </w:t>
      </w:r>
      <w:r>
        <w:t>We therefore seek comment on whether to amend section 54.502 of our rules by deleting subsection (a)(2) and removing all other references to basic maintenance services.</w:t>
      </w:r>
      <w:r>
        <w:rPr>
          <w:rStyle w:val="FootnoteReference"/>
        </w:rPr>
        <w:footnoteReference w:id="150"/>
      </w:r>
      <w:r>
        <w:t xml:space="preserve">  We also seek comment on whether there are other provisions of our rules t</w:t>
      </w:r>
      <w:r w:rsidR="00BB01F0">
        <w:t xml:space="preserve">hat need to be amended if we </w:t>
      </w:r>
      <w:r>
        <w:t xml:space="preserve">phase </w:t>
      </w:r>
      <w:r w:rsidR="00AD6AB4">
        <w:t xml:space="preserve">out </w:t>
      </w:r>
      <w:r>
        <w:t xml:space="preserve">support for BMIC. </w:t>
      </w:r>
    </w:p>
    <w:p w14:paraId="59995538" w14:textId="2973FCD8" w:rsidR="004D3055" w:rsidRDefault="000627C7" w:rsidP="004D3055">
      <w:pPr>
        <w:pStyle w:val="ParaNum"/>
      </w:pPr>
      <w:r>
        <w:rPr>
          <w:i/>
        </w:rPr>
        <w:t xml:space="preserve">Cellular data plans and air cards. </w:t>
      </w:r>
      <w:r w:rsidRPr="00A27954">
        <w:t>We also seek comment on how to treat support for Internet access services provided via cellular data plans, including air cards.  Such services are costly, and can be provided more efficiently on-campus via a</w:t>
      </w:r>
      <w:r w:rsidR="00F504A9">
        <w:t>n</w:t>
      </w:r>
      <w:r w:rsidRPr="00A27954">
        <w:t xml:space="preserve"> </w:t>
      </w:r>
      <w:r w:rsidR="00F504A9">
        <w:t xml:space="preserve">E-rate supported local area </w:t>
      </w:r>
      <w:r w:rsidR="00AD6AB4">
        <w:t xml:space="preserve">(LAN) </w:t>
      </w:r>
      <w:r w:rsidR="00F504A9">
        <w:t xml:space="preserve">network </w:t>
      </w:r>
      <w:r w:rsidRPr="00A27954">
        <w:t>that connects to the Internet.</w:t>
      </w:r>
      <w:r w:rsidR="00C16C94">
        <w:rPr>
          <w:rStyle w:val="FootnoteReference"/>
        </w:rPr>
        <w:footnoteReference w:id="151"/>
      </w:r>
      <w:r w:rsidRPr="00A27954">
        <w:t xml:space="preserve">  Should we </w:t>
      </w:r>
      <w:r>
        <w:t xml:space="preserve">phase out support for </w:t>
      </w:r>
      <w:r w:rsidR="00FD0BD5" w:rsidRPr="00A27954">
        <w:t>cellular data plans and air cards</w:t>
      </w:r>
      <w:r w:rsidR="00FD0BD5">
        <w:t xml:space="preserve"> </w:t>
      </w:r>
      <w:r w:rsidRPr="00A27954">
        <w:t xml:space="preserve">or </w:t>
      </w:r>
      <w:r>
        <w:t xml:space="preserve">should we </w:t>
      </w:r>
      <w:r w:rsidR="00F504A9">
        <w:t xml:space="preserve">instead </w:t>
      </w:r>
      <w:r w:rsidRPr="00A27954">
        <w:t xml:space="preserve">deprioritize support for such services?  </w:t>
      </w:r>
    </w:p>
    <w:p w14:paraId="72C36E78" w14:textId="5FAD2D9F" w:rsidR="0012353E" w:rsidRPr="0012353E" w:rsidRDefault="00807DFE" w:rsidP="0048025B">
      <w:pPr>
        <w:pStyle w:val="Heading4"/>
      </w:pPr>
      <w:bookmarkStart w:id="1085" w:name="_Toc359853388"/>
      <w:bookmarkStart w:id="1086" w:name="_Toc359858614"/>
      <w:bookmarkStart w:id="1087" w:name="_Toc359940055"/>
      <w:bookmarkStart w:id="1088" w:name="_Toc360025429"/>
      <w:bookmarkStart w:id="1089" w:name="_Toc360107485"/>
      <w:bookmarkStart w:id="1090" w:name="_Toc360111609"/>
      <w:bookmarkStart w:id="1091" w:name="_Toc360172794"/>
      <w:bookmarkStart w:id="1092" w:name="_Toc360186127"/>
      <w:bookmarkStart w:id="1093" w:name="_Toc360186204"/>
      <w:bookmarkStart w:id="1094" w:name="_Toc360186408"/>
      <w:bookmarkStart w:id="1095" w:name="_Toc360187281"/>
      <w:bookmarkStart w:id="1096" w:name="_Toc360208896"/>
      <w:bookmarkStart w:id="1097" w:name="_Toc360212029"/>
      <w:bookmarkStart w:id="1098" w:name="_Toc361663099"/>
      <w:bookmarkStart w:id="1099" w:name="_Toc361857677"/>
      <w:bookmarkStart w:id="1100" w:name="_Toc361918769"/>
      <w:r>
        <w:t>Tightly Focusing</w:t>
      </w:r>
      <w:r w:rsidR="00E32263">
        <w:t xml:space="preserve"> the Eligible Service List</w:t>
      </w:r>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p>
    <w:p w14:paraId="3B145B2C" w14:textId="79CB4046" w:rsidR="0041596D" w:rsidRDefault="0088312D" w:rsidP="0088312D">
      <w:pPr>
        <w:pStyle w:val="ParaNum"/>
      </w:pPr>
      <w:r>
        <w:t>In addition to the specific services identified above, w</w:t>
      </w:r>
      <w:r w:rsidR="001D1A96" w:rsidRPr="00A27954">
        <w:t xml:space="preserve">e </w:t>
      </w:r>
      <w:r w:rsidR="001D1A96">
        <w:t xml:space="preserve">seek comment on whether we should </w:t>
      </w:r>
      <w:r w:rsidR="00FD0BD5">
        <w:t xml:space="preserve">more </w:t>
      </w:r>
      <w:r w:rsidR="001D1A96">
        <w:t xml:space="preserve">fundamentally shift the way we prioritize E-rate support to </w:t>
      </w:r>
      <w:r w:rsidR="001D1A96" w:rsidRPr="00A27954">
        <w:t xml:space="preserve">emphasize and accelerate </w:t>
      </w:r>
      <w:r w:rsidR="00AE5162">
        <w:t>high-capacity broadband</w:t>
      </w:r>
      <w:r w:rsidR="001D1A96" w:rsidRPr="00A27954">
        <w:t xml:space="preserve"> connectivity to</w:t>
      </w:r>
      <w:r w:rsidR="001D1A96">
        <w:t xml:space="preserve"> and within</w:t>
      </w:r>
      <w:r w:rsidR="001D1A96" w:rsidRPr="00A27954">
        <w:t xml:space="preserve"> schools and libraries</w:t>
      </w:r>
      <w:r w:rsidR="001D1A96">
        <w:t xml:space="preserve">.  In particular, </w:t>
      </w:r>
      <w:r>
        <w:t xml:space="preserve">we seek comment on whether we should seek to identify the services currently on the ESL – plus any additional services – that are essential for </w:t>
      </w:r>
      <w:r w:rsidR="00AE5162">
        <w:t>high-capacity broadband</w:t>
      </w:r>
      <w:r>
        <w:t xml:space="preserve"> connectivity, and limit the </w:t>
      </w:r>
      <w:r w:rsidR="00AD6AB4">
        <w:t xml:space="preserve">ESL </w:t>
      </w:r>
      <w:r>
        <w:t xml:space="preserve">to just those services.  What services, in addition to those identified above, </w:t>
      </w:r>
      <w:r w:rsidR="00AD6AB4">
        <w:t xml:space="preserve">should </w:t>
      </w:r>
      <w:r>
        <w:t xml:space="preserve">we remove from eligibility under this approach? </w:t>
      </w:r>
      <w:r w:rsidR="004074F4">
        <w:t xml:space="preserve"> </w:t>
      </w:r>
      <w:r>
        <w:t>Would taking this approach help</w:t>
      </w:r>
      <w:r w:rsidR="001D1A96">
        <w:t xml:space="preserve"> ensure that schools and libraries have the bandwidth necessary to support digital learning</w:t>
      </w:r>
      <w:r>
        <w:t>?</w:t>
      </w:r>
    </w:p>
    <w:p w14:paraId="3CCE36E1" w14:textId="28715B4F" w:rsidR="001D1A96" w:rsidRDefault="0041596D" w:rsidP="0088312D">
      <w:pPr>
        <w:pStyle w:val="ParaNum"/>
      </w:pPr>
      <w:r>
        <w:t>SECA’s recent proposal to streamline priority two services is one example of such an appro</w:t>
      </w:r>
      <w:r w:rsidR="00AD6AB4">
        <w:t>ach.</w:t>
      </w:r>
      <w:r w:rsidR="00AD6AB4">
        <w:rPr>
          <w:rStyle w:val="FootnoteReference"/>
        </w:rPr>
        <w:footnoteReference w:id="152"/>
      </w:r>
      <w:r w:rsidR="00AD6AB4">
        <w:t xml:space="preserve">  SECA recommends that the p</w:t>
      </w:r>
      <w:r>
        <w:t xml:space="preserve">riority </w:t>
      </w:r>
      <w:r w:rsidR="00AD6AB4">
        <w:t xml:space="preserve">two </w:t>
      </w:r>
      <w:r>
        <w:t>ESL be “redefined to focus on ensuring that the transmission of bandwidth inside the building is sufficient, and all other functionality should no longer be eligible for support.”</w:t>
      </w:r>
      <w:r>
        <w:rPr>
          <w:rStyle w:val="FootnoteReference"/>
        </w:rPr>
        <w:footnoteReference w:id="153"/>
      </w:r>
      <w:r w:rsidR="00AD6AB4">
        <w:t xml:space="preserve">  It therefore suggests that p</w:t>
      </w:r>
      <w:r>
        <w:t xml:space="preserve">riority </w:t>
      </w:r>
      <w:r w:rsidR="00AD6AB4">
        <w:t xml:space="preserve">two </w:t>
      </w:r>
      <w:r>
        <w:lastRenderedPageBreak/>
        <w:t xml:space="preserve">eligible services should be limited to routers, up </w:t>
      </w:r>
      <w:r w:rsidR="00EE539D">
        <w:t>to</w:t>
      </w:r>
      <w:r>
        <w:t xml:space="preserve"> one per building;</w:t>
      </w:r>
      <w:r w:rsidRPr="009137D6">
        <w:t xml:space="preserve"> </w:t>
      </w:r>
      <w:r>
        <w:t xml:space="preserve">wireless access points, up to one per classroom for schools; and internal cabling, up to </w:t>
      </w:r>
      <w:r w:rsidR="00EE539D">
        <w:t>three</w:t>
      </w:r>
      <w:r>
        <w:t xml:space="preserve"> cabling drops per classroom for schools.</w:t>
      </w:r>
      <w:r>
        <w:rPr>
          <w:rStyle w:val="FootnoteReference"/>
        </w:rPr>
        <w:footnoteReference w:id="154"/>
      </w:r>
      <w:r>
        <w:t xml:space="preserve">  We seek comment on SECA’s proposal, as well as on variations and alternatives.</w:t>
      </w:r>
      <w:r w:rsidR="001D1A96" w:rsidRPr="00A27954">
        <w:t xml:space="preserve">  </w:t>
      </w:r>
    </w:p>
    <w:p w14:paraId="283064E8" w14:textId="429817B2" w:rsidR="003C60F3" w:rsidRDefault="00E4308D" w:rsidP="00957484">
      <w:pPr>
        <w:pStyle w:val="Heading4"/>
      </w:pPr>
      <w:bookmarkStart w:id="1101" w:name="_Toc360186128"/>
      <w:bookmarkStart w:id="1102" w:name="_Toc360186205"/>
      <w:bookmarkStart w:id="1103" w:name="_Toc360186409"/>
      <w:bookmarkStart w:id="1104" w:name="_Toc360187282"/>
      <w:bookmarkStart w:id="1105" w:name="_Toc359940057"/>
      <w:bookmarkStart w:id="1106" w:name="_Toc360025434"/>
      <w:bookmarkStart w:id="1107" w:name="_Toc360107486"/>
      <w:bookmarkStart w:id="1108" w:name="_Toc360111610"/>
      <w:bookmarkStart w:id="1109" w:name="_Toc360172795"/>
      <w:bookmarkStart w:id="1110" w:name="_Toc360186129"/>
      <w:bookmarkStart w:id="1111" w:name="_Toc360186206"/>
      <w:bookmarkStart w:id="1112" w:name="_Toc360186410"/>
      <w:bookmarkStart w:id="1113" w:name="_Toc360187283"/>
      <w:bookmarkStart w:id="1114" w:name="_Toc360208897"/>
      <w:bookmarkStart w:id="1115" w:name="_Toc360212030"/>
      <w:bookmarkStart w:id="1116" w:name="_Toc361663100"/>
      <w:bookmarkStart w:id="1117" w:name="_Toc361857678"/>
      <w:bookmarkStart w:id="1118" w:name="_Toc361918770"/>
      <w:bookmarkStart w:id="1119" w:name="_Toc359853154"/>
      <w:bookmarkStart w:id="1120" w:name="_Toc359853390"/>
      <w:bookmarkStart w:id="1121" w:name="_Toc359853653"/>
      <w:bookmarkStart w:id="1122" w:name="_Toc359858616"/>
      <w:bookmarkStart w:id="1123" w:name="_Toc359859596"/>
      <w:bookmarkStart w:id="1124" w:name="_Toc352064097"/>
      <w:bookmarkStart w:id="1125" w:name="_Toc352064540"/>
      <w:bookmarkStart w:id="1126" w:name="_Toc352078322"/>
      <w:bookmarkStart w:id="1127" w:name="_Toc352078374"/>
      <w:bookmarkStart w:id="1128" w:name="_Toc352078436"/>
      <w:bookmarkStart w:id="1129" w:name="_Toc352079028"/>
      <w:bookmarkStart w:id="1130" w:name="_Toc352080389"/>
      <w:bookmarkStart w:id="1131" w:name="_Toc352139772"/>
      <w:bookmarkStart w:id="1132" w:name="_Toc354478075"/>
      <w:bookmarkStart w:id="1133" w:name="_Toc354478697"/>
      <w:bookmarkStart w:id="1134" w:name="_Toc354660713"/>
      <w:bookmarkStart w:id="1135" w:name="_Toc358208794"/>
      <w:bookmarkStart w:id="1136" w:name="_Toc358210292"/>
      <w:bookmarkStart w:id="1137" w:name="_Toc358210439"/>
      <w:bookmarkStart w:id="1138" w:name="_Toc358210617"/>
      <w:bookmarkStart w:id="1139" w:name="_Toc358210718"/>
      <w:bookmarkStart w:id="1140" w:name="_Toc358213652"/>
      <w:bookmarkStart w:id="1141" w:name="_Toc358213784"/>
      <w:bookmarkStart w:id="1142" w:name="_Toc358301279"/>
      <w:bookmarkStart w:id="1143" w:name="_Toc358720025"/>
      <w:bookmarkStart w:id="1144" w:name="_Toc358971251"/>
      <w:bookmarkStart w:id="1145" w:name="_Toc358974852"/>
      <w:bookmarkStart w:id="1146" w:name="_Toc358975750"/>
      <w:bookmarkStart w:id="1147" w:name="_Toc358975912"/>
      <w:bookmarkStart w:id="1148" w:name="_Toc358976153"/>
      <w:bookmarkStart w:id="1149" w:name="_Toc358981008"/>
      <w:bookmarkStart w:id="1150" w:name="_Toc358981124"/>
      <w:bookmarkStart w:id="1151" w:name="_Toc358982388"/>
      <w:bookmarkStart w:id="1152" w:name="_Toc358982478"/>
      <w:bookmarkStart w:id="1153" w:name="_Toc359239260"/>
      <w:bookmarkStart w:id="1154" w:name="_Toc359239317"/>
      <w:bookmarkStart w:id="1155" w:name="_Toc359252276"/>
      <w:bookmarkStart w:id="1156" w:name="_Toc359326025"/>
      <w:bookmarkStart w:id="1157" w:name="_Toc359333273"/>
      <w:bookmarkStart w:id="1158" w:name="_Toc359339927"/>
      <w:bookmarkStart w:id="1159" w:name="_Toc359343191"/>
      <w:bookmarkStart w:id="1160" w:name="_Toc359347000"/>
      <w:bookmarkStart w:id="1161" w:name="_Toc359598689"/>
      <w:bookmarkEnd w:id="1101"/>
      <w:bookmarkEnd w:id="1102"/>
      <w:bookmarkEnd w:id="1103"/>
      <w:bookmarkEnd w:id="1104"/>
      <w:r>
        <w:t>Transitioning Voice Support to Broadband</w:t>
      </w:r>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r w:rsidR="003C60F3">
        <w:t xml:space="preserve"> </w:t>
      </w:r>
      <w:bookmarkEnd w:id="1119"/>
      <w:bookmarkEnd w:id="1120"/>
      <w:bookmarkEnd w:id="1121"/>
      <w:bookmarkEnd w:id="1122"/>
      <w:bookmarkEnd w:id="1123"/>
    </w:p>
    <w:p w14:paraId="639BE408" w14:textId="40FFEC12" w:rsidR="003C60F3" w:rsidRDefault="00536CD5" w:rsidP="00434A8B">
      <w:pPr>
        <w:pStyle w:val="ParaNum"/>
      </w:pPr>
      <w:bookmarkStart w:id="1162" w:name="_Ref360203792"/>
      <w:r>
        <w:t>W</w:t>
      </w:r>
      <w:r w:rsidR="003C60F3" w:rsidRPr="002B699B">
        <w:t xml:space="preserve">e </w:t>
      </w:r>
      <w:r>
        <w:t xml:space="preserve">also </w:t>
      </w:r>
      <w:r w:rsidR="003C60F3" w:rsidRPr="002B699B">
        <w:t xml:space="preserve">seek comment on </w:t>
      </w:r>
      <w:r w:rsidR="003C60F3">
        <w:t xml:space="preserve">phasing out </w:t>
      </w:r>
      <w:r w:rsidR="003C60F3" w:rsidRPr="002B699B">
        <w:t>services that are used only for voice communications</w:t>
      </w:r>
      <w:r w:rsidR="003C60F3">
        <w:t>.  At the inception of the E-rate program, one of the primary ways to access the Internet was through voice telephone lines that delivered dial-up service</w:t>
      </w:r>
      <w:r w:rsidR="003C60F3" w:rsidRPr="00876661">
        <w:t xml:space="preserve"> </w:t>
      </w:r>
      <w:r w:rsidR="003C60F3" w:rsidRPr="0048352F">
        <w:t>via a 56 kbps modem</w:t>
      </w:r>
      <w:r w:rsidR="003C60F3">
        <w:t>.  Today, widespread deployment of faster-</w:t>
      </w:r>
      <w:r w:rsidR="003C60F3" w:rsidRPr="0048352F">
        <w:t>speed</w:t>
      </w:r>
      <w:r w:rsidR="003C60F3">
        <w:t xml:space="preserve"> </w:t>
      </w:r>
      <w:r w:rsidR="003C60F3" w:rsidRPr="0048352F">
        <w:t xml:space="preserve">technology </w:t>
      </w:r>
      <w:r w:rsidR="003C60F3">
        <w:t xml:space="preserve">has permitted schools and libraries to have access to </w:t>
      </w:r>
      <w:r w:rsidR="003C60F3">
        <w:rPr>
          <w:rStyle w:val="stylenumberedparagraphs11ptchar0"/>
          <w:szCs w:val="22"/>
        </w:rPr>
        <w:t xml:space="preserve">high-capacity broadband connections that permit many types of </w:t>
      </w:r>
      <w:r w:rsidR="003C60F3" w:rsidRPr="00AE799A">
        <w:rPr>
          <w:rStyle w:val="stylenumberedparagraphs11ptchar0"/>
          <w:szCs w:val="22"/>
        </w:rPr>
        <w:t>digital</w:t>
      </w:r>
      <w:r w:rsidR="003C60F3">
        <w:rPr>
          <w:rStyle w:val="stylenumberedparagraphs11ptchar0"/>
          <w:szCs w:val="22"/>
        </w:rPr>
        <w:t xml:space="preserve"> learning technologies.  </w:t>
      </w:r>
      <w:r w:rsidR="003C60F3">
        <w:t xml:space="preserve">We ask whether </w:t>
      </w:r>
      <w:r w:rsidR="003C60F3" w:rsidRPr="00C50B89">
        <w:t>focus</w:t>
      </w:r>
      <w:r w:rsidR="003C60F3">
        <w:t>ing</w:t>
      </w:r>
      <w:r w:rsidR="003C60F3" w:rsidRPr="00C50B89">
        <w:t xml:space="preserve"> on the transport of </w:t>
      </w:r>
      <w:r w:rsidR="003C60F3">
        <w:t xml:space="preserve">broadband </w:t>
      </w:r>
      <w:r w:rsidR="003C60F3" w:rsidRPr="00C50B89">
        <w:t>and transition</w:t>
      </w:r>
      <w:r w:rsidR="003C60F3">
        <w:t>ing</w:t>
      </w:r>
      <w:r w:rsidR="003C60F3" w:rsidRPr="00C50B89">
        <w:t xml:space="preserve"> away from voice services</w:t>
      </w:r>
      <w:r w:rsidR="003C60F3" w:rsidRPr="009E1993">
        <w:t xml:space="preserve"> </w:t>
      </w:r>
      <w:r w:rsidR="003C60F3">
        <w:t>would better serve the proposed priorities of the program</w:t>
      </w:r>
      <w:r w:rsidR="003C60F3" w:rsidRPr="00C50B89">
        <w:t>.</w:t>
      </w:r>
      <w:r w:rsidR="003C60F3">
        <w:rPr>
          <w:rStyle w:val="FootnoteReference"/>
        </w:rPr>
        <w:footnoteReference w:id="155"/>
      </w:r>
      <w:bookmarkEnd w:id="1162"/>
      <w:r w:rsidR="003C60F3">
        <w:t xml:space="preserve">  </w:t>
      </w:r>
    </w:p>
    <w:p w14:paraId="31733927" w14:textId="2DF4393A" w:rsidR="00B72D2A" w:rsidRPr="00B9652C" w:rsidRDefault="003C60F3" w:rsidP="00B72D2A">
      <w:pPr>
        <w:pStyle w:val="ParaNum"/>
        <w:rPr>
          <w:szCs w:val="22"/>
        </w:rPr>
      </w:pPr>
      <w:r>
        <w:t>I</w:t>
      </w:r>
      <w:r w:rsidRPr="002B699B">
        <w:t>n funding year 201</w:t>
      </w:r>
      <w:r>
        <w:t>1</w:t>
      </w:r>
      <w:r w:rsidRPr="002B699B">
        <w:t xml:space="preserve">, there were </w:t>
      </w:r>
      <w:r>
        <w:t xml:space="preserve">more than 37,000 requests for local and </w:t>
      </w:r>
      <w:r w:rsidRPr="002B699B">
        <w:t xml:space="preserve">long distance </w:t>
      </w:r>
      <w:r>
        <w:t xml:space="preserve">telephone </w:t>
      </w:r>
      <w:r w:rsidRPr="002B699B">
        <w:t>service</w:t>
      </w:r>
      <w:r>
        <w:t>,</w:t>
      </w:r>
      <w:r w:rsidRPr="002B699B">
        <w:t xml:space="preserve"> amounting to </w:t>
      </w:r>
      <w:r w:rsidR="003917B4">
        <w:t>approximately</w:t>
      </w:r>
      <w:r w:rsidRPr="002B699B">
        <w:t xml:space="preserve"> $</w:t>
      </w:r>
      <w:r>
        <w:t xml:space="preserve">260 </w:t>
      </w:r>
      <w:r w:rsidRPr="002B699B">
        <w:t>million in funding commitments.</w:t>
      </w:r>
      <w:r>
        <w:rPr>
          <w:rStyle w:val="FootnoteReference"/>
        </w:rPr>
        <w:footnoteReference w:id="156"/>
      </w:r>
      <w:r>
        <w:t xml:space="preserve">  </w:t>
      </w:r>
      <w:r w:rsidR="00B72D2A">
        <w:t>While, f</w:t>
      </w:r>
      <w:r w:rsidR="00B72D2A" w:rsidRPr="00C35FE5">
        <w:t xml:space="preserve">or funding year 2011, USAC estimates that it committed </w:t>
      </w:r>
      <w:r w:rsidR="00B72D2A">
        <w:t xml:space="preserve">close to an additional </w:t>
      </w:r>
      <w:r w:rsidR="00B72D2A" w:rsidRPr="00C35FE5">
        <w:t>$17</w:t>
      </w:r>
      <w:r w:rsidR="00B72D2A">
        <w:t>6</w:t>
      </w:r>
      <w:r w:rsidR="00B72D2A" w:rsidRPr="00C35FE5">
        <w:t xml:space="preserve"> million for cellular </w:t>
      </w:r>
      <w:r w:rsidR="00B72D2A" w:rsidRPr="000B387B">
        <w:rPr>
          <w:szCs w:val="22"/>
        </w:rPr>
        <w:t>services.</w:t>
      </w:r>
      <w:r w:rsidR="00E243C9">
        <w:rPr>
          <w:rStyle w:val="FootnoteReference"/>
          <w:szCs w:val="22"/>
        </w:rPr>
        <w:footnoteReference w:id="157"/>
      </w:r>
      <w:r w:rsidR="00B72D2A" w:rsidRPr="000B387B">
        <w:rPr>
          <w:szCs w:val="22"/>
        </w:rPr>
        <w:t xml:space="preserve">  We seek comments on whether this funding would have greater impact for students and library patrons if it were transitioned to support broadband for schools and libraries.</w:t>
      </w:r>
      <w:r w:rsidR="00B72D2A" w:rsidRPr="00B9652C">
        <w:rPr>
          <w:szCs w:val="22"/>
        </w:rPr>
        <w:t xml:space="preserve">    </w:t>
      </w:r>
    </w:p>
    <w:p w14:paraId="6E87F93F" w14:textId="0FC1DB3B" w:rsidR="003C60F3" w:rsidRPr="00414DF2" w:rsidRDefault="008472A7">
      <w:pPr>
        <w:pStyle w:val="ParaNum"/>
        <w:rPr>
          <w:szCs w:val="22"/>
        </w:rPr>
      </w:pPr>
      <w:r w:rsidRPr="00414DF2">
        <w:rPr>
          <w:szCs w:val="22"/>
        </w:rPr>
        <w:t>SECA</w:t>
      </w:r>
      <w:r w:rsidR="0068619B" w:rsidRPr="00414DF2">
        <w:rPr>
          <w:szCs w:val="22"/>
        </w:rPr>
        <w:t>’s</w:t>
      </w:r>
      <w:r w:rsidRPr="00414DF2">
        <w:rPr>
          <w:szCs w:val="22"/>
        </w:rPr>
        <w:t xml:space="preserve"> June 2013 White Paper recommends that telecommunications services that are used only for voice communications should be phased out of E-rate support because such services are not</w:t>
      </w:r>
      <w:r w:rsidRPr="00414DF2">
        <w:rPr>
          <w:b/>
          <w:bCs/>
          <w:i/>
          <w:iCs/>
          <w:szCs w:val="22"/>
        </w:rPr>
        <w:t xml:space="preserve"> </w:t>
      </w:r>
      <w:r w:rsidRPr="00414DF2">
        <w:rPr>
          <w:szCs w:val="22"/>
        </w:rPr>
        <w:t>used to provide advanced telecommunications or information services to schools or libraries</w:t>
      </w:r>
      <w:r w:rsidR="0068619B" w:rsidRPr="00414DF2">
        <w:rPr>
          <w:szCs w:val="22"/>
        </w:rPr>
        <w:t>.  It suggests, however, that telecommunications services used for both data and voice telecommunications services should continue to be fully eligible for E-rate without requiring any cost allocation.</w:t>
      </w:r>
      <w:r w:rsidRPr="00414DF2">
        <w:rPr>
          <w:rStyle w:val="FootnoteReference"/>
          <w:szCs w:val="22"/>
        </w:rPr>
        <w:footnoteReference w:id="158"/>
      </w:r>
      <w:r w:rsidR="00AB45B1">
        <w:rPr>
          <w:szCs w:val="22"/>
        </w:rPr>
        <w:t xml:space="preserve">  </w:t>
      </w:r>
      <w:r w:rsidRPr="00414DF2">
        <w:rPr>
          <w:szCs w:val="22"/>
        </w:rPr>
        <w:t xml:space="preserve">SECA specifically proposes a tiered phase out of funding for all basic phone service over a </w:t>
      </w:r>
      <w:r w:rsidRPr="00414DF2">
        <w:rPr>
          <w:szCs w:val="22"/>
        </w:rPr>
        <w:lastRenderedPageBreak/>
        <w:t>five</w:t>
      </w:r>
      <w:r w:rsidR="00331878" w:rsidRPr="00414DF2">
        <w:rPr>
          <w:szCs w:val="22"/>
        </w:rPr>
        <w:t>-</w:t>
      </w:r>
      <w:r w:rsidRPr="00414DF2">
        <w:rPr>
          <w:szCs w:val="22"/>
        </w:rPr>
        <w:t>year period to allow the smaller and more rural applicants who disproportionately use the basic phone service and legacy technologies ample opportunity to upgrade their infrastructure, and for their associated service providers to also update their service offerings.</w:t>
      </w:r>
      <w:r w:rsidRPr="00414DF2">
        <w:rPr>
          <w:rStyle w:val="FootnoteReference"/>
          <w:szCs w:val="22"/>
        </w:rPr>
        <w:footnoteReference w:id="159"/>
      </w:r>
      <w:r w:rsidRPr="00414DF2">
        <w:rPr>
          <w:color w:val="000000"/>
          <w:szCs w:val="22"/>
        </w:rPr>
        <w:t xml:space="preserve">  We seek comment on SECA’s plan for phasing out E-rate support for basic voice telecommunications.  </w:t>
      </w:r>
      <w:r w:rsidRPr="00414DF2">
        <w:rPr>
          <w:szCs w:val="22"/>
        </w:rPr>
        <w:t xml:space="preserve">Would the savings resulting from the phase out of funding for basic voice be better spent on high-capacity broadband </w:t>
      </w:r>
      <w:r w:rsidRPr="00414DF2">
        <w:rPr>
          <w:color w:val="000000"/>
          <w:szCs w:val="22"/>
        </w:rPr>
        <w:t>that supports digital learning?  Would the phase</w:t>
      </w:r>
      <w:r w:rsidR="00E90768" w:rsidRPr="00414DF2">
        <w:rPr>
          <w:color w:val="000000"/>
          <w:szCs w:val="22"/>
        </w:rPr>
        <w:t xml:space="preserve"> </w:t>
      </w:r>
      <w:r w:rsidRPr="00414DF2">
        <w:rPr>
          <w:color w:val="000000"/>
          <w:szCs w:val="22"/>
        </w:rPr>
        <w:t>out of voice services give more E-rate applicants the opportunity to have internal connections project funded under the program?</w:t>
      </w:r>
      <w:r w:rsidRPr="00414DF2">
        <w:rPr>
          <w:szCs w:val="22"/>
        </w:rPr>
        <w:t xml:space="preserve"> </w:t>
      </w:r>
    </w:p>
    <w:p w14:paraId="7171C6C4" w14:textId="47754AB3" w:rsidR="003C60F3" w:rsidRPr="00E4308D" w:rsidRDefault="0016642C" w:rsidP="00490FCE">
      <w:pPr>
        <w:pStyle w:val="ParaNum"/>
      </w:pPr>
      <w:r w:rsidRPr="00E4308D">
        <w:t xml:space="preserve">We ask about </w:t>
      </w:r>
      <w:r>
        <w:t xml:space="preserve">the potential hardship </w:t>
      </w:r>
      <w:r w:rsidRPr="00E4308D">
        <w:t xml:space="preserve">schools and libraries </w:t>
      </w:r>
      <w:r>
        <w:t xml:space="preserve">would face if </w:t>
      </w:r>
      <w:r w:rsidRPr="00E4308D">
        <w:t xml:space="preserve">voice phone service </w:t>
      </w:r>
      <w:r>
        <w:t>was phased out</w:t>
      </w:r>
      <w:r w:rsidRPr="00E4308D">
        <w:t xml:space="preserve"> under the E-rate program.  As we noted in the </w:t>
      </w:r>
      <w:r w:rsidRPr="00E4308D">
        <w:rPr>
          <w:i/>
        </w:rPr>
        <w:t>E-rate Broadband NPRM</w:t>
      </w:r>
      <w:r w:rsidRPr="00E4308D">
        <w:t xml:space="preserve">, we recognize that </w:t>
      </w:r>
      <w:r>
        <w:t xml:space="preserve">local, </w:t>
      </w:r>
      <w:r w:rsidRPr="00E4308D">
        <w:t>state</w:t>
      </w:r>
      <w:r>
        <w:t xml:space="preserve"> and Tribal</w:t>
      </w:r>
      <w:r w:rsidRPr="00E4308D">
        <w:t xml:space="preserve"> </w:t>
      </w:r>
      <w:r>
        <w:t xml:space="preserve">jurisdictions </w:t>
      </w:r>
      <w:r w:rsidRPr="00E4308D">
        <w:t>around the country</w:t>
      </w:r>
      <w:r>
        <w:t xml:space="preserve"> are facing economic difficulties and budget tightening.</w:t>
      </w:r>
      <w:r>
        <w:rPr>
          <w:rStyle w:val="FootnoteReference"/>
        </w:rPr>
        <w:footnoteReference w:id="160"/>
      </w:r>
      <w:r>
        <w:t xml:space="preserve">  At the same time, we seek comment</w:t>
      </w:r>
      <w:r w:rsidRPr="00E4308D">
        <w:t xml:space="preserve"> </w:t>
      </w:r>
      <w:r>
        <w:t xml:space="preserve">on the extent to which E-rate support for voice service serves to provide schools and libraries access to services they would not otherwise be able to afford, or simply subsidizes </w:t>
      </w:r>
      <w:r w:rsidRPr="00E4308D">
        <w:t xml:space="preserve">voice telephone service that schools and libraries </w:t>
      </w:r>
      <w:r>
        <w:t xml:space="preserve">would purchase anyway, including voice services schools </w:t>
      </w:r>
      <w:r w:rsidRPr="00E4308D">
        <w:t xml:space="preserve">across the country </w:t>
      </w:r>
      <w:r>
        <w:t>may have been</w:t>
      </w:r>
      <w:r w:rsidRPr="00E4308D">
        <w:t xml:space="preserve"> paying for in full before the inception of the E-rate program. </w:t>
      </w:r>
      <w:r w:rsidR="003C60F3" w:rsidRPr="00E4308D">
        <w:t xml:space="preserve"> </w:t>
      </w:r>
    </w:p>
    <w:p w14:paraId="5621FBD8" w14:textId="3A6CD06F" w:rsidR="008F51AF" w:rsidRDefault="003C60F3" w:rsidP="0048025B">
      <w:pPr>
        <w:pStyle w:val="ParaNum"/>
      </w:pPr>
      <w:bookmarkStart w:id="1163" w:name="_Ref360203809"/>
      <w:r w:rsidRPr="00E30CC9">
        <w:rPr>
          <w:color w:val="000000"/>
        </w:rPr>
        <w:t xml:space="preserve">Should the Commission consider </w:t>
      </w:r>
      <w:r>
        <w:rPr>
          <w:color w:val="000000"/>
        </w:rPr>
        <w:t xml:space="preserve">subsidizing </w:t>
      </w:r>
      <w:r w:rsidRPr="002B699B">
        <w:t>more cost-effective ways to make local and long-distance calls?</w:t>
      </w:r>
      <w:r>
        <w:t xml:space="preserve">  </w:t>
      </w:r>
      <w:r w:rsidRPr="002B699B">
        <w:t xml:space="preserve">Does Voice </w:t>
      </w:r>
      <w:r w:rsidR="00A87B7D">
        <w:t>o</w:t>
      </w:r>
      <w:r w:rsidRPr="002B699B">
        <w:t xml:space="preserve">ver Internet Protocol </w:t>
      </w:r>
      <w:r>
        <w:t xml:space="preserve">(VoIP) </w:t>
      </w:r>
      <w:r w:rsidRPr="002B699B">
        <w:t xml:space="preserve">service provide a viable alternative </w:t>
      </w:r>
      <w:r>
        <w:t xml:space="preserve">to </w:t>
      </w:r>
      <w:r w:rsidRPr="002B699B">
        <w:t xml:space="preserve">public-switch telephone service?  </w:t>
      </w:r>
      <w:r>
        <w:t xml:space="preserve">Has the advent of increased broadband speeds in schools and libraries made VoIP service a more cost-efficient and attractive way to receive voice services? </w:t>
      </w:r>
      <w:r w:rsidR="00A87B7D">
        <w:t xml:space="preserve"> How should our rules accommodate the needs of schools and libraries in areas without VoIP services, including some Tribal lands?  </w:t>
      </w:r>
      <w:r>
        <w:t>Or should the Commission also phase out funding for all voice services, including VoIP service?</w:t>
      </w:r>
      <w:r w:rsidR="00382A00" w:rsidRPr="00382A00">
        <w:t xml:space="preserve"> </w:t>
      </w:r>
      <w:r w:rsidR="00382A00">
        <w:t xml:space="preserve"> </w:t>
      </w:r>
      <w:bookmarkEnd w:id="1163"/>
    </w:p>
    <w:p w14:paraId="426531AF" w14:textId="3BD4260C" w:rsidR="00807DFE" w:rsidRDefault="00807DFE" w:rsidP="0048025B">
      <w:pPr>
        <w:pStyle w:val="ParaNum"/>
      </w:pPr>
      <w:bookmarkStart w:id="1164" w:name="_Ref362259962"/>
      <w:r>
        <w:t xml:space="preserve">We seek comment on whether there are any statutory limitations that must be considered in eliminating voice telephone service from the </w:t>
      </w:r>
      <w:r w:rsidR="00331878">
        <w:t>ESL</w:t>
      </w:r>
      <w:r>
        <w:t>.</w:t>
      </w:r>
      <w:r>
        <w:rPr>
          <w:rStyle w:val="FootnoteReference"/>
        </w:rPr>
        <w:footnoteReference w:id="161"/>
      </w:r>
      <w:r>
        <w:t xml:space="preserve">  To the extent there are legal concerns with removal of voice telephony service from the </w:t>
      </w:r>
      <w:r w:rsidR="00331878">
        <w:t>ESL</w:t>
      </w:r>
      <w:r>
        <w:t xml:space="preserve">, could we condition support for voice telephony service in a way </w:t>
      </w:r>
      <w:r>
        <w:lastRenderedPageBreak/>
        <w:t>that would eliminate stand-alone support for voice telephony service but allow it for bundles that include broadband service?  Could the Commission forbear from applying the obligation on telecommunications carriers to discount their voice telephony service, thus eliminating the need for such reimbursement?</w:t>
      </w:r>
      <w:r>
        <w:rPr>
          <w:rStyle w:val="FootnoteReference"/>
        </w:rPr>
        <w:footnoteReference w:id="162"/>
      </w:r>
      <w:bookmarkEnd w:id="1164"/>
    </w:p>
    <w:p w14:paraId="65828D30" w14:textId="77777777" w:rsidR="00CA0E05" w:rsidRPr="004D3055" w:rsidRDefault="00CA0E05" w:rsidP="00CA0E05">
      <w:pPr>
        <w:pStyle w:val="Heading4"/>
      </w:pPr>
      <w:bookmarkStart w:id="1165" w:name="_Toc360025435"/>
      <w:bookmarkStart w:id="1166" w:name="_Toc360107487"/>
      <w:bookmarkStart w:id="1167" w:name="_Toc360111611"/>
      <w:bookmarkStart w:id="1168" w:name="_Toc360172796"/>
      <w:bookmarkStart w:id="1169" w:name="_Toc360186130"/>
      <w:bookmarkStart w:id="1170" w:name="_Toc360186207"/>
      <w:bookmarkStart w:id="1171" w:name="_Toc360186411"/>
      <w:bookmarkStart w:id="1172" w:name="_Toc360187284"/>
      <w:bookmarkStart w:id="1173" w:name="_Toc360208898"/>
      <w:bookmarkStart w:id="1174" w:name="_Toc360212031"/>
      <w:bookmarkStart w:id="1175" w:name="_Toc361663101"/>
      <w:bookmarkStart w:id="1176" w:name="_Toc361857679"/>
      <w:bookmarkStart w:id="1177" w:name="_Toc361918771"/>
      <w:r>
        <w:t>General Issues Related to Phasing out Support</w:t>
      </w:r>
      <w:bookmarkEnd w:id="1165"/>
      <w:bookmarkEnd w:id="1166"/>
      <w:bookmarkEnd w:id="1167"/>
      <w:bookmarkEnd w:id="1168"/>
      <w:bookmarkEnd w:id="1169"/>
      <w:bookmarkEnd w:id="1170"/>
      <w:bookmarkEnd w:id="1171"/>
      <w:bookmarkEnd w:id="1172"/>
      <w:bookmarkEnd w:id="1173"/>
      <w:bookmarkEnd w:id="1174"/>
      <w:bookmarkEnd w:id="1175"/>
      <w:bookmarkEnd w:id="1176"/>
      <w:bookmarkEnd w:id="1177"/>
      <w:r>
        <w:t xml:space="preserve"> </w:t>
      </w:r>
    </w:p>
    <w:p w14:paraId="5C6F5343" w14:textId="51D2F6DC" w:rsidR="00CA0E05" w:rsidRDefault="00CA0E05" w:rsidP="00CA0E05">
      <w:pPr>
        <w:pStyle w:val="ParaNum"/>
      </w:pPr>
      <w:r w:rsidRPr="00A27954">
        <w:t xml:space="preserve">In the paragraphs above, we have proposed </w:t>
      </w:r>
      <w:r w:rsidR="00926BA4">
        <w:t xml:space="preserve">or sought comment on proposing phasing </w:t>
      </w:r>
      <w:r>
        <w:t>out</w:t>
      </w:r>
      <w:r w:rsidRPr="00A27954">
        <w:t xml:space="preserve"> funding for several types of services.  If we decide to</w:t>
      </w:r>
      <w:r>
        <w:t xml:space="preserve"> phase out support for these services</w:t>
      </w:r>
      <w:r w:rsidRPr="00A27954">
        <w:t xml:space="preserve">, should we </w:t>
      </w:r>
      <w:r>
        <w:t>begin</w:t>
      </w:r>
      <w:r w:rsidRPr="00A27954">
        <w:t xml:space="preserve"> immediately for funding year 201</w:t>
      </w:r>
      <w:r>
        <w:t>4</w:t>
      </w:r>
      <w:r w:rsidRPr="00A27954">
        <w:t>?  Or should we instead phase down such support over a longer period of time to provide more time for applicants?</w:t>
      </w:r>
      <w:r>
        <w:t xml:space="preserve">  If so, what period of time would be appropriate?</w:t>
      </w:r>
      <w:r w:rsidRPr="00A27954">
        <w:t xml:space="preserve">  </w:t>
      </w:r>
      <w:r>
        <w:t xml:space="preserve">Are there some services we should stop supporting immediately, and others we should phase out incrementally over time?  </w:t>
      </w:r>
    </w:p>
    <w:p w14:paraId="35DA0F9A" w14:textId="485A1E91" w:rsidR="00CA0E05" w:rsidRDefault="00CA0E05" w:rsidP="00CA0E05">
      <w:pPr>
        <w:pStyle w:val="ParaNum"/>
      </w:pPr>
      <w:r>
        <w:t>Alternatively,</w:t>
      </w:r>
      <w:r w:rsidRPr="00A27954">
        <w:t xml:space="preserve"> </w:t>
      </w:r>
      <w:r>
        <w:t>s</w:t>
      </w:r>
      <w:r w:rsidRPr="00A27954">
        <w:t xml:space="preserve">hould we consider </w:t>
      </w:r>
      <w:r>
        <w:t>maintaining support for some or all of these</w:t>
      </w:r>
      <w:r w:rsidRPr="00A27954">
        <w:t xml:space="preserve"> </w:t>
      </w:r>
      <w:r>
        <w:t xml:space="preserve">services, but at </w:t>
      </w:r>
      <w:r w:rsidRPr="00A27954">
        <w:t xml:space="preserve">a lower priority than the funding of </w:t>
      </w:r>
      <w:r w:rsidR="00AE5162">
        <w:t>high-capacity broadband</w:t>
      </w:r>
      <w:r w:rsidRPr="00A27954">
        <w:t xml:space="preserve"> services?</w:t>
      </w:r>
      <w:r>
        <w:t xml:space="preserve">  Or, as another alternative to phasing out funding for the services described above, should we consider reducing the percentage of support we provide for those services?  If so, what percentage of support would be appropriate?</w:t>
      </w:r>
    </w:p>
    <w:p w14:paraId="70FD8F36" w14:textId="30000EFA" w:rsidR="00B56C97" w:rsidRDefault="008805B7" w:rsidP="00AA375F">
      <w:pPr>
        <w:pStyle w:val="ParaNum"/>
      </w:pPr>
      <w:r>
        <w:t>Are there other services for which we should phase out support or reduce the percentage of support E-rate provides?  We ask commenters to identify any specific services that they think should be supported by the E-rate program, but at a lower discount rate, and what discount rate commenters think we should use.  Should the discount be flat for all services, regardless of the applicant or should we adjust all applicant discount rates for such services?  Finally, we invite commenters to help us refine USAC’s estimates of the amount of E-rate funding spent on each of the services at issue in this section and elsewhere in this NPRM.</w:t>
      </w:r>
      <w:r w:rsidR="009948D9" w:rsidRPr="009948D9">
        <w:t xml:space="preserve"> </w:t>
      </w:r>
      <w:r w:rsidR="009948D9">
        <w:t xml:space="preserve"> Should we consider other changes to the </w:t>
      </w:r>
      <w:r w:rsidR="00FF6F1F">
        <w:t>ESL</w:t>
      </w:r>
      <w:r w:rsidR="009948D9">
        <w:t>?</w:t>
      </w:r>
    </w:p>
    <w:p w14:paraId="43D4DE8A" w14:textId="3C788456" w:rsidR="00B56C97" w:rsidRDefault="00B56C97" w:rsidP="00B56C97">
      <w:pPr>
        <w:pStyle w:val="ParaNum"/>
      </w:pPr>
      <w:r>
        <w:t>We seek comment on any</w:t>
      </w:r>
      <w:r w:rsidR="008805B7">
        <w:t xml:space="preserve"> other approaches we should consider</w:t>
      </w:r>
      <w:r>
        <w:t>.</w:t>
      </w:r>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r>
        <w:t xml:space="preserve">  For example, because access to high-capacity broadband is far below the national average on Tribal lands, should we consider adopting an E-rate Tribal priority?  If so, how should such Tribal priority operate?  Should, for example, a Tribal priority be available to schools operated by the Bureau of Indian Education or by individual Tribal governments?  Commenter</w:t>
      </w:r>
      <w:r w:rsidR="00FF6F1F">
        <w:t>s</w:t>
      </w:r>
      <w:r>
        <w:t xml:space="preserve"> should be as specific as possible.</w:t>
      </w:r>
    </w:p>
    <w:p w14:paraId="51F38676" w14:textId="389765FB" w:rsidR="000627C7" w:rsidRPr="00A27954" w:rsidRDefault="000627C7" w:rsidP="00B9652C">
      <w:pPr>
        <w:pStyle w:val="Heading2"/>
      </w:pPr>
      <w:bookmarkStart w:id="1178" w:name="_Toc359940059"/>
      <w:bookmarkStart w:id="1179" w:name="_Toc351647146"/>
      <w:bookmarkStart w:id="1180" w:name="_Toc352064541"/>
      <w:bookmarkStart w:id="1181" w:name="_Toc352078323"/>
      <w:bookmarkStart w:id="1182" w:name="_Toc352078375"/>
      <w:bookmarkStart w:id="1183" w:name="_Toc352078437"/>
      <w:bookmarkStart w:id="1184" w:name="_Toc352079029"/>
      <w:bookmarkStart w:id="1185" w:name="_Toc352080390"/>
      <w:bookmarkStart w:id="1186" w:name="_Toc352139773"/>
      <w:bookmarkStart w:id="1187" w:name="_Toc354478076"/>
      <w:bookmarkStart w:id="1188" w:name="_Toc354478698"/>
      <w:bookmarkStart w:id="1189" w:name="_Toc354660714"/>
      <w:bookmarkStart w:id="1190" w:name="_Toc358208795"/>
      <w:bookmarkStart w:id="1191" w:name="_Toc358210293"/>
      <w:bookmarkStart w:id="1192" w:name="_Toc358210440"/>
      <w:bookmarkStart w:id="1193" w:name="_Toc358210618"/>
      <w:bookmarkStart w:id="1194" w:name="_Toc358210719"/>
      <w:bookmarkStart w:id="1195" w:name="_Toc358213653"/>
      <w:bookmarkStart w:id="1196" w:name="_Toc358213785"/>
      <w:bookmarkStart w:id="1197" w:name="_Toc358301280"/>
      <w:bookmarkStart w:id="1198" w:name="_Toc358720026"/>
      <w:bookmarkStart w:id="1199" w:name="_Toc358971252"/>
      <w:bookmarkStart w:id="1200" w:name="_Toc358974853"/>
      <w:bookmarkStart w:id="1201" w:name="_Toc358975751"/>
      <w:bookmarkStart w:id="1202" w:name="_Toc358975913"/>
      <w:bookmarkStart w:id="1203" w:name="_Toc358976154"/>
      <w:bookmarkStart w:id="1204" w:name="_Toc358981009"/>
      <w:bookmarkStart w:id="1205" w:name="_Toc358981125"/>
      <w:bookmarkStart w:id="1206" w:name="_Toc358982389"/>
      <w:bookmarkStart w:id="1207" w:name="_Toc358982479"/>
      <w:bookmarkStart w:id="1208" w:name="_Toc359239261"/>
      <w:bookmarkStart w:id="1209" w:name="_Toc359239318"/>
      <w:bookmarkStart w:id="1210" w:name="_Toc359252277"/>
      <w:bookmarkStart w:id="1211" w:name="_Toc359326026"/>
      <w:bookmarkStart w:id="1212" w:name="_Toc359333274"/>
      <w:bookmarkStart w:id="1213" w:name="_Toc359339928"/>
      <w:bookmarkStart w:id="1214" w:name="_Toc359343192"/>
      <w:bookmarkStart w:id="1215" w:name="_Toc359347001"/>
      <w:bookmarkStart w:id="1216" w:name="_Toc359598690"/>
      <w:bookmarkStart w:id="1217" w:name="_Toc359853156"/>
      <w:bookmarkStart w:id="1218" w:name="_Toc359853392"/>
      <w:bookmarkStart w:id="1219" w:name="_Toc359853655"/>
      <w:bookmarkStart w:id="1220" w:name="_Toc359858618"/>
      <w:bookmarkStart w:id="1221" w:name="_Toc359859598"/>
      <w:bookmarkStart w:id="1222" w:name="_Toc359940060"/>
      <w:bookmarkStart w:id="1223" w:name="_Toc360025437"/>
      <w:bookmarkStart w:id="1224" w:name="_Toc360107489"/>
      <w:bookmarkStart w:id="1225" w:name="_Toc360111613"/>
      <w:bookmarkStart w:id="1226" w:name="_Toc360172798"/>
      <w:bookmarkStart w:id="1227" w:name="_Toc360186131"/>
      <w:bookmarkStart w:id="1228" w:name="_Toc360186208"/>
      <w:bookmarkStart w:id="1229" w:name="_Toc360186412"/>
      <w:bookmarkStart w:id="1230" w:name="_Toc360186484"/>
      <w:bookmarkStart w:id="1231" w:name="_Toc360187285"/>
      <w:bookmarkStart w:id="1232" w:name="_Toc360187446"/>
      <w:bookmarkStart w:id="1233" w:name="_Toc360208899"/>
      <w:bookmarkStart w:id="1234" w:name="_Toc360212032"/>
      <w:bookmarkStart w:id="1235" w:name="_Toc361663102"/>
      <w:bookmarkStart w:id="1236" w:name="_Toc361857680"/>
      <w:bookmarkStart w:id="1237" w:name="_Toc361918772"/>
      <w:bookmarkStart w:id="1238" w:name="_Toc362272548"/>
      <w:bookmarkEnd w:id="1178"/>
      <w:r>
        <w:lastRenderedPageBreak/>
        <w:t>Ensur</w:t>
      </w:r>
      <w:r w:rsidR="00E4308D">
        <w:t>ing</w:t>
      </w:r>
      <w:r>
        <w:t xml:space="preserve"> Equitable Access to Limited E-rate Funds</w:t>
      </w:r>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p>
    <w:p w14:paraId="067A3DAE" w14:textId="31ECC82B" w:rsidR="000627C7" w:rsidRPr="00525302" w:rsidRDefault="000627C7" w:rsidP="00F47042">
      <w:pPr>
        <w:pStyle w:val="ParaNum"/>
      </w:pPr>
      <w:r>
        <w:t>T</w:t>
      </w:r>
      <w:r w:rsidRPr="00A27954">
        <w:t xml:space="preserve">o </w:t>
      </w:r>
      <w:r>
        <w:t xml:space="preserve">help </w:t>
      </w:r>
      <w:r w:rsidRPr="00A27954">
        <w:t xml:space="preserve">address high demand for </w:t>
      </w:r>
      <w:r>
        <w:t>E-rate</w:t>
      </w:r>
      <w:r w:rsidRPr="00A27954">
        <w:t xml:space="preserve"> funding</w:t>
      </w:r>
      <w:r w:rsidRPr="008707E2">
        <w:t xml:space="preserve"> </w:t>
      </w:r>
      <w:r>
        <w:t>and to ensure equitable access to limited E-rate funds, we seek comment on</w:t>
      </w:r>
      <w:r w:rsidRPr="00A27954">
        <w:t xml:space="preserve"> revis</w:t>
      </w:r>
      <w:r>
        <w:t>ions to</w:t>
      </w:r>
      <w:r w:rsidRPr="00A27954">
        <w:t xml:space="preserve"> the way</w:t>
      </w:r>
      <w:r>
        <w:t xml:space="preserve"> E-rate</w:t>
      </w:r>
      <w:r w:rsidRPr="00A27954">
        <w:t xml:space="preserve"> funding is currently distributed.  </w:t>
      </w:r>
      <w:r w:rsidRPr="00525302">
        <w:t xml:space="preserve">As explained in more detail above, </w:t>
      </w:r>
      <w:r w:rsidRPr="003B06B6">
        <w:t xml:space="preserve">under current program rules, eligible applicants must contribute </w:t>
      </w:r>
      <w:r w:rsidR="00F504A9">
        <w:t xml:space="preserve">between </w:t>
      </w:r>
      <w:r w:rsidRPr="003B06B6">
        <w:t>10</w:t>
      </w:r>
      <w:r>
        <w:t xml:space="preserve"> </w:t>
      </w:r>
      <w:r w:rsidR="00F504A9">
        <w:t xml:space="preserve">and </w:t>
      </w:r>
      <w:r w:rsidRPr="003B06B6">
        <w:t>80</w:t>
      </w:r>
      <w:r>
        <w:t xml:space="preserve"> percent</w:t>
      </w:r>
      <w:r w:rsidRPr="003B06B6">
        <w:t xml:space="preserve"> of the cost of the supported service.</w:t>
      </w:r>
      <w:r w:rsidRPr="00A27954">
        <w:rPr>
          <w:vertAlign w:val="superscript"/>
        </w:rPr>
        <w:footnoteReference w:id="163"/>
      </w:r>
      <w:r w:rsidRPr="00525302">
        <w:t xml:space="preserve">  T</w:t>
      </w:r>
      <w:r w:rsidRPr="003B06B6">
        <w:t>he discount available to a particular school is determined by the percentage of student enrollment that is eligible for a free or reduced price lunch under the NSLP or a federally-approved alternative mechanism, such as a survey.</w:t>
      </w:r>
      <w:r w:rsidRPr="00A27954">
        <w:rPr>
          <w:vertAlign w:val="superscript"/>
        </w:rPr>
        <w:footnoteReference w:id="164"/>
      </w:r>
      <w:r w:rsidRPr="00525302">
        <w:t xml:space="preserve">  A library’s discount percentage is based on the discount rate of the public school distric</w:t>
      </w:r>
      <w:r w:rsidRPr="003B06B6">
        <w:t>t in which the library is physically located.</w:t>
      </w:r>
      <w:r w:rsidRPr="00A27954">
        <w:rPr>
          <w:vertAlign w:val="superscript"/>
        </w:rPr>
        <w:footnoteReference w:id="165"/>
      </w:r>
      <w:r w:rsidRPr="00525302">
        <w:t xml:space="preserve">  Schools and libraries located in rural areas also may receive an additional 5 to 10 percent discount compared to urban areas.</w:t>
      </w:r>
      <w:r w:rsidRPr="00A27954">
        <w:rPr>
          <w:vertAlign w:val="superscript"/>
        </w:rPr>
        <w:footnoteReference w:id="166"/>
      </w:r>
      <w:r w:rsidRPr="00525302">
        <w:t xml:space="preserve">  The rules provide a matrix, produced above in Figure</w:t>
      </w:r>
      <w:r w:rsidR="00F504A9">
        <w:t xml:space="preserve"> 1, </w:t>
      </w:r>
      <w:r w:rsidRPr="00525302">
        <w:t>reflecting both a schoo</w:t>
      </w:r>
      <w:r w:rsidRPr="003B06B6">
        <w:t>l’s urban or rural status and the percentage of its students eligible for the school lunch program to establish a school’s discount rate, ranging from 20 percent to 90 percent, to be applied to eligible services.</w:t>
      </w:r>
      <w:r w:rsidRPr="00A27954">
        <w:rPr>
          <w:vertAlign w:val="superscript"/>
        </w:rPr>
        <w:footnoteReference w:id="167"/>
      </w:r>
      <w:r w:rsidRPr="00525302">
        <w:t xml:space="preserve">  </w:t>
      </w:r>
    </w:p>
    <w:p w14:paraId="1A9CE367" w14:textId="18C442AA" w:rsidR="000627C7" w:rsidRPr="00A27954" w:rsidRDefault="000627C7" w:rsidP="00F47042">
      <w:pPr>
        <w:pStyle w:val="ParaNum"/>
      </w:pPr>
      <w:r w:rsidRPr="00A27954">
        <w:t xml:space="preserve">Below we seek comment on </w:t>
      </w:r>
      <w:r w:rsidR="005E1D6C">
        <w:t xml:space="preserve">six </w:t>
      </w:r>
      <w:r w:rsidRPr="00A27954">
        <w:t xml:space="preserve">options for revising the structure for distributing funds under the </w:t>
      </w:r>
      <w:r>
        <w:t>E-rate</w:t>
      </w:r>
      <w:r w:rsidRPr="00A27954">
        <w:t xml:space="preserve"> program by: (1) revising the discount matrix to increase </w:t>
      </w:r>
      <w:r>
        <w:t xml:space="preserve">certain </w:t>
      </w:r>
      <w:r w:rsidRPr="00A27954">
        <w:t xml:space="preserve">applicants’ matching requirements; (2) </w:t>
      </w:r>
      <w:r w:rsidR="00E001F5">
        <w:t>providing support on a district-wide basis</w:t>
      </w:r>
      <w:r w:rsidR="00E001F5" w:rsidRPr="00A27954">
        <w:t xml:space="preserve">; </w:t>
      </w:r>
      <w:r w:rsidR="00E001F5">
        <w:t xml:space="preserve">(3) </w:t>
      </w:r>
      <w:r w:rsidR="00647347">
        <w:t>revising our approach to supporting rural schools and libraries</w:t>
      </w:r>
      <w:r w:rsidRPr="00A27954">
        <w:t>; (</w:t>
      </w:r>
      <w:r w:rsidR="00E001F5">
        <w:t>4</w:t>
      </w:r>
      <w:r w:rsidRPr="00A27954">
        <w:t>)</w:t>
      </w:r>
      <w:r w:rsidR="00E001F5" w:rsidRPr="00A27954">
        <w:t xml:space="preserve"> incorporating a per-student or per-building cap on funding into the discount matrix</w:t>
      </w:r>
      <w:r w:rsidR="00E001F5">
        <w:t>;</w:t>
      </w:r>
      <w:r w:rsidR="00E001F5" w:rsidRPr="00A27954">
        <w:t xml:space="preserve"> </w:t>
      </w:r>
      <w:r w:rsidRPr="00A27954">
        <w:t>(</w:t>
      </w:r>
      <w:r w:rsidR="00E001F5">
        <w:t>5) providing more equitable access to priority two funding</w:t>
      </w:r>
      <w:r w:rsidR="005E1D6C">
        <w:t>; and (6) allocating funds to all eligible schools and libraries up front</w:t>
      </w:r>
      <w:r w:rsidR="005E1D6C" w:rsidRPr="00A27954">
        <w:t>.</w:t>
      </w:r>
      <w:r w:rsidRPr="00A27954">
        <w:t xml:space="preserve">  These options are not </w:t>
      </w:r>
      <w:r w:rsidR="005E1D6C">
        <w:t xml:space="preserve">necessarily </w:t>
      </w:r>
      <w:r w:rsidRPr="00A27954">
        <w:t>exclusive of one another and we encourage interested parties to address comprehensively the various proposals, particularly if aspects of one are in tension with another.</w:t>
      </w:r>
      <w:r w:rsidR="00FC4E23">
        <w:t xml:space="preserve">  We also ask that parties consider the impact of changes to the discount matrix on libraries, and we seek comment on what particular challenges libraries will face if we change the discount matrix.</w:t>
      </w:r>
    </w:p>
    <w:p w14:paraId="0FCC99D2" w14:textId="5EF3FD2E" w:rsidR="000627C7" w:rsidRPr="00A27954" w:rsidRDefault="00AF373A" w:rsidP="008B687A">
      <w:pPr>
        <w:pStyle w:val="Heading3"/>
        <w:keepNext w:val="0"/>
      </w:pPr>
      <w:bookmarkStart w:id="1239" w:name="_Toc351647147"/>
      <w:bookmarkStart w:id="1240" w:name="_Toc352064542"/>
      <w:bookmarkStart w:id="1241" w:name="_Toc352078324"/>
      <w:bookmarkStart w:id="1242" w:name="_Toc352078376"/>
      <w:bookmarkStart w:id="1243" w:name="_Toc352078438"/>
      <w:bookmarkStart w:id="1244" w:name="_Toc352079030"/>
      <w:bookmarkStart w:id="1245" w:name="_Toc352080391"/>
      <w:bookmarkStart w:id="1246" w:name="_Toc352139774"/>
      <w:bookmarkStart w:id="1247" w:name="_Toc354478077"/>
      <w:bookmarkStart w:id="1248" w:name="_Toc354478699"/>
      <w:bookmarkStart w:id="1249" w:name="_Toc354660715"/>
      <w:bookmarkStart w:id="1250" w:name="_Toc358208796"/>
      <w:bookmarkStart w:id="1251" w:name="_Toc358210294"/>
      <w:bookmarkStart w:id="1252" w:name="_Toc358210441"/>
      <w:bookmarkStart w:id="1253" w:name="_Toc358210619"/>
      <w:bookmarkStart w:id="1254" w:name="_Toc358210720"/>
      <w:bookmarkStart w:id="1255" w:name="_Toc358213654"/>
      <w:bookmarkStart w:id="1256" w:name="_Toc358213786"/>
      <w:bookmarkStart w:id="1257" w:name="_Toc358301281"/>
      <w:bookmarkStart w:id="1258" w:name="_Toc358720027"/>
      <w:bookmarkStart w:id="1259" w:name="_Toc358971253"/>
      <w:bookmarkStart w:id="1260" w:name="_Toc358974854"/>
      <w:bookmarkStart w:id="1261" w:name="_Toc358975752"/>
      <w:bookmarkStart w:id="1262" w:name="_Toc358975914"/>
      <w:bookmarkStart w:id="1263" w:name="_Toc358976155"/>
      <w:bookmarkStart w:id="1264" w:name="_Toc358981010"/>
      <w:bookmarkStart w:id="1265" w:name="_Toc358981126"/>
      <w:bookmarkStart w:id="1266" w:name="_Toc358982390"/>
      <w:bookmarkStart w:id="1267" w:name="_Toc358982480"/>
      <w:bookmarkStart w:id="1268" w:name="_Toc359239262"/>
      <w:bookmarkStart w:id="1269" w:name="_Toc359239319"/>
      <w:bookmarkStart w:id="1270" w:name="_Toc359252278"/>
      <w:bookmarkStart w:id="1271" w:name="_Toc359326027"/>
      <w:bookmarkStart w:id="1272" w:name="_Toc359333275"/>
      <w:bookmarkStart w:id="1273" w:name="_Toc359339929"/>
      <w:bookmarkStart w:id="1274" w:name="_Toc359343193"/>
      <w:bookmarkStart w:id="1275" w:name="_Toc359347002"/>
      <w:bookmarkStart w:id="1276" w:name="_Toc359598691"/>
      <w:bookmarkStart w:id="1277" w:name="_Toc359853157"/>
      <w:bookmarkStart w:id="1278" w:name="_Toc359853393"/>
      <w:bookmarkStart w:id="1279" w:name="_Toc359853656"/>
      <w:bookmarkStart w:id="1280" w:name="_Toc359858619"/>
      <w:bookmarkStart w:id="1281" w:name="_Toc359859599"/>
      <w:bookmarkStart w:id="1282" w:name="_Toc359940061"/>
      <w:bookmarkStart w:id="1283" w:name="_Toc360025438"/>
      <w:bookmarkStart w:id="1284" w:name="_Toc360107490"/>
      <w:bookmarkStart w:id="1285" w:name="_Toc360111614"/>
      <w:bookmarkStart w:id="1286" w:name="_Toc360172799"/>
      <w:bookmarkStart w:id="1287" w:name="_Toc360186132"/>
      <w:bookmarkStart w:id="1288" w:name="_Toc360186209"/>
      <w:bookmarkStart w:id="1289" w:name="_Toc360186413"/>
      <w:bookmarkStart w:id="1290" w:name="_Toc360186485"/>
      <w:bookmarkStart w:id="1291" w:name="_Toc360187286"/>
      <w:bookmarkStart w:id="1292" w:name="_Toc360187447"/>
      <w:bookmarkStart w:id="1293" w:name="_Toc360208900"/>
      <w:bookmarkStart w:id="1294" w:name="_Toc360212033"/>
      <w:bookmarkStart w:id="1295" w:name="_Toc361663103"/>
      <w:bookmarkStart w:id="1296" w:name="_Toc361857681"/>
      <w:bookmarkStart w:id="1297" w:name="_Toc361918773"/>
      <w:bookmarkStart w:id="1298" w:name="_Toc362272549"/>
      <w:r>
        <w:t>Modifying the Discount Matrix</w:t>
      </w:r>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p>
    <w:p w14:paraId="3735D7FE" w14:textId="07767F4D" w:rsidR="000627C7" w:rsidRPr="00A27954" w:rsidRDefault="000627C7" w:rsidP="00F47042">
      <w:pPr>
        <w:pStyle w:val="ParaNum"/>
      </w:pPr>
      <w:bookmarkStart w:id="1299" w:name="_Ref360204823"/>
      <w:r>
        <w:t>T</w:t>
      </w:r>
      <w:r w:rsidRPr="00A27954">
        <w:t xml:space="preserve">o have sufficient funds to meet applicants’ needs for </w:t>
      </w:r>
      <w:r w:rsidR="00AE5162">
        <w:t>high-capacity broadband</w:t>
      </w:r>
      <w:r w:rsidRPr="00A27954">
        <w:t xml:space="preserve"> and </w:t>
      </w:r>
      <w:r>
        <w:t>equitably</w:t>
      </w:r>
      <w:r w:rsidRPr="00A27954">
        <w:t xml:space="preserve"> distribute funding across </w:t>
      </w:r>
      <w:r w:rsidRPr="00A27954">
        <w:lastRenderedPageBreak/>
        <w:t xml:space="preserve">schools and libraries, we </w:t>
      </w:r>
      <w:r>
        <w:t xml:space="preserve">seek comment on whether we should gradually </w:t>
      </w:r>
      <w:r w:rsidRPr="00A27954">
        <w:t xml:space="preserve">increase, over time, the minimum percentage of matching funds that </w:t>
      </w:r>
      <w:r>
        <w:t>E-rate</w:t>
      </w:r>
      <w:r w:rsidRPr="00A27954">
        <w:t xml:space="preserve"> applicants must provide when seeking support from the </w:t>
      </w:r>
      <w:r>
        <w:t>E-rate</w:t>
      </w:r>
      <w:r w:rsidRPr="00A27954">
        <w:t xml:space="preserve"> program.  </w:t>
      </w:r>
      <w:r>
        <w:t>We seek comment on whether this would better serve – on a cost benefit basis – our statutory mandate to “ensure affordable access to and use of” E-rate services.</w:t>
      </w:r>
      <w:r>
        <w:rPr>
          <w:rStyle w:val="FootnoteReference"/>
        </w:rPr>
        <w:footnoteReference w:id="168"/>
      </w:r>
      <w:r>
        <w:t xml:space="preserve">  </w:t>
      </w:r>
      <w:r w:rsidR="00E001F5">
        <w:t>We also seek comment on other possible changes to the discount matrix.</w:t>
      </w:r>
      <w:bookmarkEnd w:id="1299"/>
      <w:r w:rsidRPr="00A27954">
        <w:t xml:space="preserve"> </w:t>
      </w:r>
    </w:p>
    <w:p w14:paraId="27AC08C9" w14:textId="3C3E2FDA" w:rsidR="000627C7" w:rsidRDefault="00AF373A" w:rsidP="00F47042">
      <w:pPr>
        <w:pStyle w:val="ParaNum"/>
      </w:pPr>
      <w:r>
        <w:rPr>
          <w:i/>
        </w:rPr>
        <w:t xml:space="preserve">Increasing applicants’ matching requirement.  </w:t>
      </w:r>
      <w:r w:rsidR="000627C7">
        <w:t>G</w:t>
      </w:r>
      <w:r w:rsidR="000627C7" w:rsidRPr="00A27954">
        <w:t>radually increas</w:t>
      </w:r>
      <w:r w:rsidR="000627C7">
        <w:t>ing</w:t>
      </w:r>
      <w:r w:rsidR="000627C7" w:rsidRPr="00A27954">
        <w:t xml:space="preserve"> the </w:t>
      </w:r>
      <w:r w:rsidR="000627C7">
        <w:t xml:space="preserve">minimum </w:t>
      </w:r>
      <w:r w:rsidR="000627C7" w:rsidRPr="00A27954">
        <w:t>matching funds provided by applicants would broaden</w:t>
      </w:r>
      <w:r w:rsidR="000627C7">
        <w:t xml:space="preserve"> the availability of E-rate support.</w:t>
      </w:r>
      <w:r w:rsidR="000627C7" w:rsidRPr="00A27954">
        <w:t xml:space="preserve">  </w:t>
      </w:r>
      <w:r w:rsidR="000627C7" w:rsidRPr="00402F75">
        <w:t xml:space="preserve">In funding year 2011, for example, USAC committed </w:t>
      </w:r>
      <w:r w:rsidR="008D1238">
        <w:t xml:space="preserve">approximately </w:t>
      </w:r>
      <w:r w:rsidR="000627C7" w:rsidRPr="00402F75">
        <w:t>$</w:t>
      </w:r>
      <w:r w:rsidR="008D1238">
        <w:t>818</w:t>
      </w:r>
      <w:r w:rsidR="000627C7" w:rsidRPr="00402F75">
        <w:t xml:space="preserve"> million in support for applicants at the 90</w:t>
      </w:r>
      <w:r w:rsidR="000627C7">
        <w:t xml:space="preserve"> percent</w:t>
      </w:r>
      <w:r w:rsidR="000627C7" w:rsidRPr="00402F75">
        <w:t xml:space="preserve"> discount level, </w:t>
      </w:r>
      <w:r w:rsidR="000627C7">
        <w:t xml:space="preserve">and </w:t>
      </w:r>
      <w:r w:rsidR="000627C7" w:rsidRPr="00402F75">
        <w:t>$7</w:t>
      </w:r>
      <w:r w:rsidR="008D1238">
        <w:t>90</w:t>
      </w:r>
      <w:r w:rsidR="000627C7" w:rsidRPr="00402F75">
        <w:t xml:space="preserve"> million in support for applicants at 80-89</w:t>
      </w:r>
      <w:r w:rsidR="000627C7">
        <w:t xml:space="preserve"> percent</w:t>
      </w:r>
      <w:r w:rsidR="000627C7" w:rsidRPr="00402F75">
        <w:t xml:space="preserve"> discount levels.</w:t>
      </w:r>
      <w:r w:rsidR="000627C7" w:rsidRPr="00402F75">
        <w:rPr>
          <w:vertAlign w:val="superscript"/>
        </w:rPr>
        <w:footnoteReference w:id="169"/>
      </w:r>
      <w:r w:rsidR="000627C7" w:rsidRPr="00402F75">
        <w:t xml:space="preserve">  </w:t>
      </w:r>
      <w:r w:rsidR="000627C7">
        <w:t>Thus, nearly two thirds of all funding went to applicants at these funding levels.  Some previous commenters have suggested r</w:t>
      </w:r>
      <w:r w:rsidR="000627C7" w:rsidRPr="00402F75">
        <w:t>educing the maximum discount rate to</w:t>
      </w:r>
      <w:r w:rsidR="000627C7">
        <w:t xml:space="preserve"> 80 or even 70 percent.</w:t>
      </w:r>
      <w:r w:rsidR="000627C7">
        <w:rPr>
          <w:rStyle w:val="FootnoteReference"/>
        </w:rPr>
        <w:footnoteReference w:id="170"/>
      </w:r>
      <w:r w:rsidR="000627C7" w:rsidRPr="008707E2">
        <w:t xml:space="preserve"> </w:t>
      </w:r>
      <w:r w:rsidR="000627C7">
        <w:t xml:space="preserve"> If the maximum discount rate had been 80 percent in funding year 2011, there would have been approximately $150</w:t>
      </w:r>
      <w:r w:rsidR="000627C7" w:rsidRPr="008707E2">
        <w:t xml:space="preserve"> million</w:t>
      </w:r>
      <w:r w:rsidR="000627C7" w:rsidRPr="00402F75">
        <w:t xml:space="preserve"> </w:t>
      </w:r>
      <w:r w:rsidR="000627C7">
        <w:t xml:space="preserve">in funding </w:t>
      </w:r>
      <w:r w:rsidR="000627C7" w:rsidRPr="00402F75">
        <w:t xml:space="preserve">to spread more widely to applicants who </w:t>
      </w:r>
      <w:r w:rsidR="000627C7">
        <w:t xml:space="preserve">did not </w:t>
      </w:r>
      <w:r w:rsidR="000627C7" w:rsidRPr="00402F75">
        <w:t>receiv</w:t>
      </w:r>
      <w:r w:rsidR="000627C7">
        <w:t>e</w:t>
      </w:r>
      <w:r w:rsidR="000627C7" w:rsidRPr="00402F75">
        <w:t xml:space="preserve"> support for priority </w:t>
      </w:r>
      <w:r w:rsidR="000627C7">
        <w:t>two</w:t>
      </w:r>
      <w:r w:rsidR="000627C7" w:rsidRPr="00402F75">
        <w:t xml:space="preserve"> services</w:t>
      </w:r>
      <w:r w:rsidR="000627C7">
        <w:t>.</w:t>
      </w:r>
      <w:r w:rsidR="000627C7" w:rsidRPr="008707E2">
        <w:t xml:space="preserve"> </w:t>
      </w:r>
    </w:p>
    <w:p w14:paraId="42730B1B" w14:textId="77777777" w:rsidR="004502A9" w:rsidRDefault="006153B9" w:rsidP="00F47042">
      <w:pPr>
        <w:pStyle w:val="ParaNum"/>
      </w:pPr>
      <w:bookmarkStart w:id="1300" w:name="_Ref360205965"/>
      <w:r>
        <w:t xml:space="preserve">Increasing the matching requirement could also encourage applicants to make more efficient and smarter decisions.  </w:t>
      </w:r>
      <w:r w:rsidR="000627C7" w:rsidRPr="00A27954">
        <w:t xml:space="preserve">In 2003, a USAC task force on the prevention of waste, fraud and abuse found that increasing the percentage of costs that schools and libraries pay for </w:t>
      </w:r>
      <w:r w:rsidR="000627C7">
        <w:t>E-rate</w:t>
      </w:r>
      <w:r w:rsidR="000627C7" w:rsidRPr="00A27954">
        <w:t xml:space="preserve"> supported services would encourage more careful and cost-efficient purchasing of </w:t>
      </w:r>
      <w:r w:rsidR="000627C7">
        <w:t>E-rate</w:t>
      </w:r>
      <w:r w:rsidR="000627C7" w:rsidRPr="00A27954">
        <w:t xml:space="preserve"> supported services and would thereby reduce the risk of waste, fraud and abuse of </w:t>
      </w:r>
      <w:r w:rsidR="000627C7">
        <w:t>E-rate</w:t>
      </w:r>
      <w:r w:rsidR="000627C7" w:rsidRPr="00A27954">
        <w:t xml:space="preserve"> funds.</w:t>
      </w:r>
      <w:r w:rsidR="000627C7" w:rsidRPr="00A27954">
        <w:rPr>
          <w:vertAlign w:val="superscript"/>
        </w:rPr>
        <w:footnoteReference w:id="171"/>
      </w:r>
      <w:r w:rsidR="000627C7" w:rsidRPr="008707E2">
        <w:t xml:space="preserve">  </w:t>
      </w:r>
      <w:r w:rsidR="000627C7">
        <w:t xml:space="preserve">Therefore, it recommended requiring applicants to pay at least </w:t>
      </w:r>
      <w:r w:rsidR="000627C7">
        <w:lastRenderedPageBreak/>
        <w:t>20 percent of the price of priority two E-rate services.</w:t>
      </w:r>
      <w:bookmarkStart w:id="1301" w:name="_Ref358985908"/>
      <w:r w:rsidR="000627C7">
        <w:rPr>
          <w:rStyle w:val="FootnoteReference"/>
        </w:rPr>
        <w:footnoteReference w:id="172"/>
      </w:r>
      <w:bookmarkEnd w:id="1301"/>
      <w:r w:rsidR="000627C7" w:rsidRPr="00A27954">
        <w:t xml:space="preserve">  We seek comment on that analysis.</w:t>
      </w:r>
      <w:bookmarkEnd w:id="1300"/>
      <w:r w:rsidR="000627C7" w:rsidRPr="00A27954">
        <w:t xml:space="preserve"> </w:t>
      </w:r>
      <w:r w:rsidR="000627C7">
        <w:t xml:space="preserve"> </w:t>
      </w:r>
    </w:p>
    <w:p w14:paraId="1F3F1864" w14:textId="14D954E9" w:rsidR="004502A9" w:rsidRPr="00414DF2" w:rsidRDefault="000627C7" w:rsidP="00D65933">
      <w:pPr>
        <w:pStyle w:val="ParaNum"/>
        <w:rPr>
          <w:szCs w:val="22"/>
        </w:rPr>
      </w:pPr>
      <w:r w:rsidRPr="00414DF2">
        <w:rPr>
          <w:szCs w:val="22"/>
        </w:rPr>
        <w:t xml:space="preserve">More recently, Funds for Learning, an E-rate consultant, issued </w:t>
      </w:r>
      <w:r w:rsidR="006153B9" w:rsidRPr="00414DF2">
        <w:rPr>
          <w:szCs w:val="22"/>
        </w:rPr>
        <w:t xml:space="preserve">a </w:t>
      </w:r>
      <w:r w:rsidRPr="00414DF2">
        <w:rPr>
          <w:szCs w:val="22"/>
        </w:rPr>
        <w:t xml:space="preserve">report demonstrating </w:t>
      </w:r>
      <w:r w:rsidR="006153B9" w:rsidRPr="00414DF2">
        <w:rPr>
          <w:szCs w:val="22"/>
        </w:rPr>
        <w:t xml:space="preserve">that </w:t>
      </w:r>
      <w:r w:rsidRPr="00414DF2">
        <w:rPr>
          <w:szCs w:val="22"/>
        </w:rPr>
        <w:t xml:space="preserve">school districts </w:t>
      </w:r>
      <w:r w:rsidR="006153B9" w:rsidRPr="00414DF2">
        <w:rPr>
          <w:szCs w:val="22"/>
        </w:rPr>
        <w:t xml:space="preserve">with </w:t>
      </w:r>
      <w:r w:rsidRPr="00414DF2">
        <w:rPr>
          <w:szCs w:val="22"/>
        </w:rPr>
        <w:t>high discount rates spend, on average, far more on E-rate supported services than schools that have to pay a higher percentage of the costs of the supported services they purchase.</w:t>
      </w:r>
      <w:r w:rsidRPr="00414DF2">
        <w:rPr>
          <w:szCs w:val="22"/>
          <w:vertAlign w:val="superscript"/>
        </w:rPr>
        <w:footnoteReference w:id="173"/>
      </w:r>
      <w:r w:rsidRPr="00414DF2">
        <w:rPr>
          <w:szCs w:val="22"/>
        </w:rPr>
        <w:t xml:space="preserve">  We seek comment on that analysis and whether it supports a decision to reduce the maximum discount level.</w:t>
      </w:r>
      <w:r w:rsidR="00D65933" w:rsidRPr="00414DF2">
        <w:rPr>
          <w:szCs w:val="22"/>
        </w:rPr>
        <w:t xml:space="preserve">  Funds for Learning also notes, however, that the majority of high-discount schools are not, in its words, “big spenders.”</w:t>
      </w:r>
      <w:r w:rsidR="00D65933" w:rsidRPr="00414DF2">
        <w:rPr>
          <w:rStyle w:val="FootnoteReference"/>
          <w:szCs w:val="22"/>
        </w:rPr>
        <w:footnoteReference w:id="174"/>
      </w:r>
      <w:r w:rsidR="00D65933" w:rsidRPr="00414DF2">
        <w:rPr>
          <w:szCs w:val="22"/>
        </w:rPr>
        <w:t xml:space="preserve"> </w:t>
      </w:r>
      <w:r w:rsidRPr="00414DF2">
        <w:rPr>
          <w:szCs w:val="22"/>
        </w:rPr>
        <w:t xml:space="preserve"> </w:t>
      </w:r>
      <w:r w:rsidR="009A7E16" w:rsidRPr="00414DF2">
        <w:rPr>
          <w:szCs w:val="22"/>
        </w:rPr>
        <w:t xml:space="preserve"> </w:t>
      </w:r>
    </w:p>
    <w:p w14:paraId="0DD9D4E0" w14:textId="00FE386A" w:rsidR="000627C7" w:rsidRDefault="001C5207" w:rsidP="00F47042">
      <w:pPr>
        <w:pStyle w:val="ParaNum"/>
      </w:pPr>
      <w:r>
        <w:t xml:space="preserve">Recent changes to the Rural Health Care program provide an example of the potential benefits of reducing the maximum discount level.  </w:t>
      </w:r>
      <w:r w:rsidR="00A67D0F">
        <w:t>I</w:t>
      </w:r>
      <w:r w:rsidR="009A7E16">
        <w:t xml:space="preserve">n adopting the </w:t>
      </w:r>
      <w:r w:rsidR="009A7E16" w:rsidRPr="004F322C">
        <w:rPr>
          <w:i/>
        </w:rPr>
        <w:t>Health</w:t>
      </w:r>
      <w:r w:rsidR="00B55C05" w:rsidRPr="004F322C">
        <w:rPr>
          <w:i/>
        </w:rPr>
        <w:t>c</w:t>
      </w:r>
      <w:r w:rsidR="009A7E16" w:rsidRPr="004F322C">
        <w:rPr>
          <w:i/>
        </w:rPr>
        <w:t xml:space="preserve">are Connect </w:t>
      </w:r>
      <w:r w:rsidR="002C5337">
        <w:rPr>
          <w:i/>
        </w:rPr>
        <w:t>Fund O</w:t>
      </w:r>
      <w:r w:rsidR="009A7E16" w:rsidRPr="008A6123">
        <w:rPr>
          <w:i/>
        </w:rPr>
        <w:t>rder</w:t>
      </w:r>
      <w:r w:rsidR="009A7E16">
        <w:t xml:space="preserve"> last year, the Commission </w:t>
      </w:r>
      <w:r w:rsidR="00F9796E">
        <w:t>required fund recipients to contribute 35 percent of the costs of t</w:t>
      </w:r>
      <w:r w:rsidR="0020067D">
        <w:t>he supported services.</w:t>
      </w:r>
      <w:r w:rsidR="00666FA5">
        <w:rPr>
          <w:rStyle w:val="FootnoteReference"/>
        </w:rPr>
        <w:footnoteReference w:id="175"/>
      </w:r>
      <w:r w:rsidR="0020067D">
        <w:t xml:space="preserve">  The Commission </w:t>
      </w:r>
      <w:r w:rsidR="00F9796E">
        <w:t xml:space="preserve">found that </w:t>
      </w:r>
      <w:r w:rsidR="0020067D">
        <w:t>requiring recipients of Health</w:t>
      </w:r>
      <w:r w:rsidR="007E49DD">
        <w:t>c</w:t>
      </w:r>
      <w:r w:rsidR="0020067D">
        <w:t>are Connect</w:t>
      </w:r>
      <w:r w:rsidR="00F9796E">
        <w:t xml:space="preserve"> funds to contribute 35 </w:t>
      </w:r>
      <w:r w:rsidR="0020067D">
        <w:t>percent of the costs of services gave health care providers a strong incentive to control the total costs of the supported services and “appropriately balances the objecti</w:t>
      </w:r>
      <w:r w:rsidR="0059709D">
        <w:t>ve</w:t>
      </w:r>
      <w:r w:rsidR="0020067D">
        <w:t>s of enhancing access to advanced telecommunications and information services with ensuring fiscal responsibility and maximizing the efficiency of the program.”</w:t>
      </w:r>
      <w:r w:rsidR="0020067D">
        <w:rPr>
          <w:rStyle w:val="FootnoteReference"/>
        </w:rPr>
        <w:footnoteReference w:id="176"/>
      </w:r>
      <w:r w:rsidR="009A7E16">
        <w:t xml:space="preserve"> </w:t>
      </w:r>
    </w:p>
    <w:p w14:paraId="7A3027A7" w14:textId="4BDEF2AF" w:rsidR="006C43C4" w:rsidRPr="00E663BC" w:rsidRDefault="00B72D2A" w:rsidP="006C43C4">
      <w:pPr>
        <w:pStyle w:val="ParaNum"/>
        <w:rPr>
          <w:szCs w:val="22"/>
        </w:rPr>
      </w:pPr>
      <w:r>
        <w:rPr>
          <w:szCs w:val="22"/>
        </w:rPr>
        <w:t xml:space="preserve">We </w:t>
      </w:r>
      <w:r w:rsidR="006C43C4" w:rsidRPr="009302C5">
        <w:rPr>
          <w:szCs w:val="22"/>
        </w:rPr>
        <w:t>anticipate several advantages to increasing the matching requirement</w:t>
      </w:r>
      <w:r w:rsidR="009450CE">
        <w:rPr>
          <w:szCs w:val="22"/>
        </w:rPr>
        <w:t xml:space="preserve"> even if we do so over time</w:t>
      </w:r>
      <w:r w:rsidR="006C43C4" w:rsidRPr="009302C5">
        <w:rPr>
          <w:szCs w:val="22"/>
        </w:rPr>
        <w:t xml:space="preserve">.  For example, requiring the schools and libraries with the highest discount rate to pay for a greater share of their purchases could </w:t>
      </w:r>
      <w:r w:rsidR="004502A9">
        <w:rPr>
          <w:szCs w:val="22"/>
        </w:rPr>
        <w:t>help</w:t>
      </w:r>
      <w:r w:rsidR="004502A9" w:rsidRPr="009302C5">
        <w:rPr>
          <w:szCs w:val="22"/>
        </w:rPr>
        <w:t xml:space="preserve"> </w:t>
      </w:r>
      <w:r w:rsidR="006C43C4" w:rsidRPr="009302C5">
        <w:rPr>
          <w:szCs w:val="22"/>
        </w:rPr>
        <w:t xml:space="preserve">drive down the purchase price for E-rate supported services.  </w:t>
      </w:r>
      <w:r w:rsidR="00CE7736">
        <w:rPr>
          <w:szCs w:val="22"/>
        </w:rPr>
        <w:t>A</w:t>
      </w:r>
      <w:r w:rsidR="006C43C4" w:rsidRPr="009302C5">
        <w:rPr>
          <w:szCs w:val="22"/>
        </w:rPr>
        <w:t xml:space="preserve">pplicants receiving </w:t>
      </w:r>
      <w:r w:rsidR="00E279C0">
        <w:rPr>
          <w:szCs w:val="22"/>
        </w:rPr>
        <w:t xml:space="preserve">substantial (80-90 percent) </w:t>
      </w:r>
      <w:r w:rsidR="006C43C4" w:rsidRPr="009302C5">
        <w:rPr>
          <w:szCs w:val="22"/>
        </w:rPr>
        <w:t xml:space="preserve">discounts have </w:t>
      </w:r>
      <w:r w:rsidR="004502A9">
        <w:rPr>
          <w:szCs w:val="22"/>
        </w:rPr>
        <w:t>greatly reduced</w:t>
      </w:r>
      <w:r w:rsidR="004502A9" w:rsidRPr="009302C5">
        <w:rPr>
          <w:szCs w:val="22"/>
        </w:rPr>
        <w:t xml:space="preserve"> </w:t>
      </w:r>
      <w:r w:rsidR="006C43C4" w:rsidRPr="009302C5">
        <w:rPr>
          <w:szCs w:val="22"/>
        </w:rPr>
        <w:t>incentive</w:t>
      </w:r>
      <w:r w:rsidR="004502A9">
        <w:rPr>
          <w:szCs w:val="22"/>
        </w:rPr>
        <w:t>s</w:t>
      </w:r>
      <w:r w:rsidR="006C43C4" w:rsidRPr="009302C5">
        <w:rPr>
          <w:szCs w:val="22"/>
        </w:rPr>
        <w:t xml:space="preserve"> to ensure they are receiving </w:t>
      </w:r>
      <w:r w:rsidR="006C43C4" w:rsidRPr="00353907">
        <w:rPr>
          <w:szCs w:val="22"/>
        </w:rPr>
        <w:t xml:space="preserve">the lowest priced services or that </w:t>
      </w:r>
      <w:r w:rsidR="006C43C4" w:rsidRPr="00F95C32">
        <w:rPr>
          <w:szCs w:val="22"/>
        </w:rPr>
        <w:t>they are</w:t>
      </w:r>
      <w:r w:rsidR="006C43C4" w:rsidRPr="00E663BC">
        <w:rPr>
          <w:szCs w:val="22"/>
        </w:rPr>
        <w:t xml:space="preserve"> getting only services they need.  We </w:t>
      </w:r>
      <w:r w:rsidR="00CE7736">
        <w:rPr>
          <w:szCs w:val="22"/>
        </w:rPr>
        <w:t xml:space="preserve">also </w:t>
      </w:r>
      <w:r w:rsidR="006C43C4" w:rsidRPr="00E663BC">
        <w:rPr>
          <w:szCs w:val="22"/>
        </w:rPr>
        <w:t xml:space="preserve">seek comment on the other benefits, as well </w:t>
      </w:r>
      <w:r w:rsidR="006C43C4" w:rsidRPr="00E663BC">
        <w:rPr>
          <w:szCs w:val="22"/>
        </w:rPr>
        <w:lastRenderedPageBreak/>
        <w:t>as the drawbacks, to increasing schools’ and libraries’ minimum matching requirement for E-rate supported services.</w:t>
      </w:r>
    </w:p>
    <w:p w14:paraId="68BC5F87" w14:textId="5C1AE2E0" w:rsidR="000627C7" w:rsidRPr="00A27954" w:rsidRDefault="006C43C4" w:rsidP="00D439E0">
      <w:pPr>
        <w:pStyle w:val="ParaNum"/>
      </w:pPr>
      <w:r>
        <w:t>For any revisions we may ultimately make to the discount an applicant can receive for E-rate supported services, we propose to phase in such changes over some period of time, such as three years.</w:t>
      </w:r>
      <w:r w:rsidRPr="00A27954">
        <w:t xml:space="preserve">  </w:t>
      </w:r>
      <w:r>
        <w:t xml:space="preserve">Is this enough of a phase-in to allow applicants to adjust their requests?  </w:t>
      </w:r>
      <w:r w:rsidR="00CE7736">
        <w:t xml:space="preserve">Does the length of the necessary phase-in depend on the extent of reduction in the maximum discount level?  </w:t>
      </w:r>
      <w:r w:rsidRPr="00A27954">
        <w:t xml:space="preserve">We seek comment on </w:t>
      </w:r>
      <w:r>
        <w:t>such a phase-in for each of the different suggested revisions noted above.</w:t>
      </w:r>
    </w:p>
    <w:p w14:paraId="03BC3D9A" w14:textId="05CAA3AF" w:rsidR="00652311" w:rsidRPr="009302C5" w:rsidRDefault="0096525D" w:rsidP="005B1353">
      <w:pPr>
        <w:pStyle w:val="ParaNum"/>
      </w:pPr>
      <w:r>
        <w:rPr>
          <w:i/>
        </w:rPr>
        <w:t>Other modifications to the discount matrix.</w:t>
      </w:r>
      <w:r>
        <w:t xml:space="preserve">  </w:t>
      </w:r>
      <w:r w:rsidRPr="009302C5">
        <w:rPr>
          <w:szCs w:val="22"/>
        </w:rPr>
        <w:t xml:space="preserve">We also seek comment on </w:t>
      </w:r>
      <w:r>
        <w:rPr>
          <w:szCs w:val="22"/>
        </w:rPr>
        <w:t>other potential</w:t>
      </w:r>
      <w:r w:rsidRPr="009302C5">
        <w:rPr>
          <w:szCs w:val="22"/>
        </w:rPr>
        <w:t xml:space="preserve"> adjustments to the </w:t>
      </w:r>
      <w:r>
        <w:rPr>
          <w:szCs w:val="22"/>
        </w:rPr>
        <w:t xml:space="preserve">discount </w:t>
      </w:r>
      <w:r w:rsidRPr="009302C5">
        <w:rPr>
          <w:szCs w:val="22"/>
        </w:rPr>
        <w:t>matrix</w:t>
      </w:r>
      <w:r>
        <w:rPr>
          <w:szCs w:val="22"/>
        </w:rPr>
        <w:t xml:space="preserve"> </w:t>
      </w:r>
      <w:r w:rsidRPr="009302C5">
        <w:rPr>
          <w:szCs w:val="22"/>
        </w:rPr>
        <w:t xml:space="preserve">to ensure that we can provide some funding to all eligible schools and libraries for all supported services. </w:t>
      </w:r>
      <w:r>
        <w:rPr>
          <w:szCs w:val="22"/>
        </w:rPr>
        <w:t xml:space="preserve"> </w:t>
      </w:r>
      <w:r w:rsidRPr="009302C5">
        <w:rPr>
          <w:szCs w:val="22"/>
        </w:rPr>
        <w:t xml:space="preserve">Should we, for example, reduce the lowest discount rate from 20 percent to 10 percent?  </w:t>
      </w:r>
      <w:r>
        <w:rPr>
          <w:szCs w:val="22"/>
        </w:rPr>
        <w:t>How w</w:t>
      </w:r>
      <w:r w:rsidRPr="009302C5">
        <w:rPr>
          <w:szCs w:val="22"/>
        </w:rPr>
        <w:t xml:space="preserve">ould that </w:t>
      </w:r>
      <w:r>
        <w:rPr>
          <w:szCs w:val="22"/>
        </w:rPr>
        <w:t xml:space="preserve">change </w:t>
      </w:r>
      <w:r w:rsidRPr="009302C5">
        <w:rPr>
          <w:szCs w:val="22"/>
        </w:rPr>
        <w:t xml:space="preserve">affect the ability of schools and libraries with the lowest number of students qualifying for free and reduced lunch to receive affordable </w:t>
      </w:r>
      <w:r>
        <w:rPr>
          <w:szCs w:val="22"/>
        </w:rPr>
        <w:t>high-capacity broadband</w:t>
      </w:r>
      <w:r w:rsidRPr="009302C5">
        <w:rPr>
          <w:szCs w:val="22"/>
        </w:rPr>
        <w:t xml:space="preserve">?  </w:t>
      </w:r>
      <w:r w:rsidR="00ED0CE4">
        <w:rPr>
          <w:szCs w:val="22"/>
        </w:rPr>
        <w:t>Should we reduce the top discount to 85 percent, 75 percent, or 65 percent?</w:t>
      </w:r>
      <w:r w:rsidR="00ED0CE4">
        <w:rPr>
          <w:rStyle w:val="FootnoteReference"/>
          <w:szCs w:val="22"/>
        </w:rPr>
        <w:footnoteReference w:id="177"/>
      </w:r>
      <w:r w:rsidR="00ED0CE4">
        <w:rPr>
          <w:szCs w:val="22"/>
        </w:rPr>
        <w:t xml:space="preserve">  If so, should there be a reasonable transition period?  </w:t>
      </w:r>
      <w:r>
        <w:rPr>
          <w:szCs w:val="22"/>
        </w:rPr>
        <w:t xml:space="preserve">Should we consider reducing each discount level by a set percentage, such as five percent or ten percent?  We estimate that if all the discount rates were five percent lower in 2011, USAC would have been able to distribute an additional $169 million in </w:t>
      </w:r>
      <w:r w:rsidR="00090FCB">
        <w:rPr>
          <w:szCs w:val="22"/>
        </w:rPr>
        <w:t>priority two</w:t>
      </w:r>
      <w:r>
        <w:rPr>
          <w:szCs w:val="22"/>
        </w:rPr>
        <w:t xml:space="preserve"> funding.  We estimate that if all discount rates were ten percent lower, in 2011 USAC would have been able to distribute an additional $338.5 million in priority </w:t>
      </w:r>
      <w:r w:rsidR="00090FCB">
        <w:rPr>
          <w:szCs w:val="22"/>
        </w:rPr>
        <w:t xml:space="preserve">two </w:t>
      </w:r>
      <w:r>
        <w:rPr>
          <w:szCs w:val="22"/>
        </w:rPr>
        <w:t>funding.  Would reducing the discount rate across the board result in a disparate impact on applicants depending on the discount level?  What would the impact be if we reduced the number of discount levels?  Would such a decision simplify the discount calcul</w:t>
      </w:r>
      <w:r w:rsidR="00AB45B1">
        <w:rPr>
          <w:szCs w:val="22"/>
        </w:rPr>
        <w:t xml:space="preserve">ation process for applicants?  </w:t>
      </w:r>
      <w:r>
        <w:rPr>
          <w:szCs w:val="22"/>
        </w:rPr>
        <w:t xml:space="preserve">Should we consider combining applicants at similar discount levels into a single discount level?  Should we require all applicants eligible for a discount between 75 percent and 85 percent, for example, to apply using only an 80 percent discount?  </w:t>
      </w:r>
      <w:r>
        <w:t xml:space="preserve">Should we have a flat rate discount, or one flat rate discount for rural schools and libraries and one for all other schools and libraries?  </w:t>
      </w:r>
      <w:r>
        <w:rPr>
          <w:szCs w:val="22"/>
        </w:rPr>
        <w:t xml:space="preserve">Are there other ways to adjust the discounts applicants are eligible for?  </w:t>
      </w:r>
      <w:r w:rsidRPr="009302C5">
        <w:rPr>
          <w:szCs w:val="22"/>
        </w:rPr>
        <w:t>In order to encourage consortium purchasing, should we have a higher minimum discount rate for consortia applications than for individual school and school district applications?</w:t>
      </w:r>
      <w:r w:rsidRPr="009302C5">
        <w:rPr>
          <w:rStyle w:val="FootnoteReference"/>
          <w:szCs w:val="22"/>
        </w:rPr>
        <w:footnoteReference w:id="178"/>
      </w:r>
    </w:p>
    <w:p w14:paraId="40D69D05" w14:textId="0436485D" w:rsidR="00D42D06" w:rsidRDefault="000627C7" w:rsidP="0048025B">
      <w:pPr>
        <w:pStyle w:val="ParaNum"/>
      </w:pPr>
      <w:bookmarkStart w:id="1302" w:name="_Ref360204837"/>
      <w:r w:rsidRPr="00543A8C">
        <w:lastRenderedPageBreak/>
        <w:t>There</w:t>
      </w:r>
      <w:r w:rsidRPr="008A387A">
        <w:t xml:space="preserve"> are other possible ways to </w:t>
      </w:r>
      <w:r>
        <w:t>modify the matching funds requirement</w:t>
      </w:r>
      <w:r w:rsidRPr="008A387A">
        <w:t xml:space="preserve">, and we invite commenters to offer other proposals.  We also invite commenters to refresh the record on previous proposals.  For example, in response to the </w:t>
      </w:r>
      <w:r>
        <w:rPr>
          <w:i/>
        </w:rPr>
        <w:t>E-rate</w:t>
      </w:r>
      <w:r w:rsidRPr="008A387A">
        <w:rPr>
          <w:i/>
        </w:rPr>
        <w:t xml:space="preserve"> Broadband NPRM</w:t>
      </w:r>
      <w:r w:rsidRPr="008A387A">
        <w:t xml:space="preserve">, SECA proposed simplifying the discount matrix by </w:t>
      </w:r>
      <w:r>
        <w:t>setting</w:t>
      </w:r>
      <w:r w:rsidRPr="008A387A">
        <w:t xml:space="preserve"> applicants</w:t>
      </w:r>
      <w:r>
        <w:t>’</w:t>
      </w:r>
      <w:r w:rsidRPr="008A387A">
        <w:t xml:space="preserve"> discount rate a</w:t>
      </w:r>
      <w:r>
        <w:t>t</w:t>
      </w:r>
      <w:r w:rsidRPr="008A387A">
        <w:t xml:space="preserve"> the sum of the applicant’s NSLP discount percentage plus 20</w:t>
      </w:r>
      <w:r>
        <w:t xml:space="preserve"> percent</w:t>
      </w:r>
      <w:r w:rsidRPr="008A387A">
        <w:t xml:space="preserve"> for non-urban areas, and 25</w:t>
      </w:r>
      <w:r>
        <w:t xml:space="preserve"> percent</w:t>
      </w:r>
      <w:r w:rsidRPr="008A387A">
        <w:t xml:space="preserve"> for rural areas, up to a maximum discount rate.</w:t>
      </w:r>
      <w:r w:rsidRPr="008A387A">
        <w:rPr>
          <w:vertAlign w:val="superscript"/>
        </w:rPr>
        <w:footnoteReference w:id="179"/>
      </w:r>
      <w:r w:rsidR="00AB45B1">
        <w:t xml:space="preserve">  </w:t>
      </w:r>
      <w:r w:rsidRPr="008A387A">
        <w:t>We invite comments on that proposal, and specifically seek comment on how such a change would affect applicants and the fund</w:t>
      </w:r>
      <w:r>
        <w:t>.</w:t>
      </w:r>
      <w:r w:rsidRPr="008A387A">
        <w:t xml:space="preserve">  What should the maximum discount rate be? </w:t>
      </w:r>
      <w:r w:rsidRPr="008A387A">
        <w:rPr>
          <w:i/>
        </w:rPr>
        <w:t xml:space="preserve"> </w:t>
      </w:r>
      <w:r w:rsidRPr="008A387A">
        <w:t>Are there other ways that SECA’s proposal should be adjusted?</w:t>
      </w:r>
      <w:bookmarkEnd w:id="1302"/>
      <w:r w:rsidRPr="008A387A">
        <w:t xml:space="preserve">   </w:t>
      </w:r>
    </w:p>
    <w:p w14:paraId="16B27150" w14:textId="3B69DBBC" w:rsidR="00D42D06" w:rsidRPr="00CD7DD8" w:rsidRDefault="00D42D06" w:rsidP="0048025B">
      <w:pPr>
        <w:pStyle w:val="Heading3"/>
      </w:pPr>
      <w:bookmarkStart w:id="1303" w:name="_Toc359853158"/>
      <w:bookmarkStart w:id="1304" w:name="_Toc359853394"/>
      <w:bookmarkStart w:id="1305" w:name="_Toc359853657"/>
      <w:bookmarkStart w:id="1306" w:name="_Toc359858620"/>
      <w:bookmarkStart w:id="1307" w:name="_Toc359859600"/>
      <w:bookmarkStart w:id="1308" w:name="_Toc359940062"/>
      <w:bookmarkStart w:id="1309" w:name="_Toc360025439"/>
      <w:bookmarkStart w:id="1310" w:name="_Toc360107491"/>
      <w:bookmarkStart w:id="1311" w:name="_Toc360111615"/>
      <w:bookmarkStart w:id="1312" w:name="_Toc360172800"/>
      <w:bookmarkStart w:id="1313" w:name="_Toc360186133"/>
      <w:bookmarkStart w:id="1314" w:name="_Toc360186210"/>
      <w:bookmarkStart w:id="1315" w:name="_Toc360186414"/>
      <w:bookmarkStart w:id="1316" w:name="_Toc360186486"/>
      <w:bookmarkStart w:id="1317" w:name="_Toc360187287"/>
      <w:bookmarkStart w:id="1318" w:name="_Toc360187448"/>
      <w:bookmarkStart w:id="1319" w:name="_Toc360208901"/>
      <w:bookmarkStart w:id="1320" w:name="_Toc360212034"/>
      <w:bookmarkStart w:id="1321" w:name="_Toc361663104"/>
      <w:bookmarkStart w:id="1322" w:name="_Toc361857682"/>
      <w:bookmarkStart w:id="1323" w:name="_Toc361918774"/>
      <w:bookmarkStart w:id="1324" w:name="_Toc362272550"/>
      <w:r w:rsidRPr="00D42D06">
        <w:t>Support Based on District-Wide Eligibility and Application by School District</w:t>
      </w:r>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p>
    <w:p w14:paraId="56B1B7C5" w14:textId="4CA20396" w:rsidR="00D42D06" w:rsidRPr="00CD7DD8" w:rsidRDefault="00A1306E" w:rsidP="00D42D06">
      <w:pPr>
        <w:pStyle w:val="ParaNum"/>
        <w:rPr>
          <w:szCs w:val="22"/>
        </w:rPr>
      </w:pPr>
      <w:r>
        <w:rPr>
          <w:szCs w:val="22"/>
        </w:rPr>
        <w:t xml:space="preserve">We </w:t>
      </w:r>
      <w:r w:rsidR="00ED0CE4">
        <w:rPr>
          <w:szCs w:val="22"/>
        </w:rPr>
        <w:t>seek comment on requiring</w:t>
      </w:r>
      <w:r>
        <w:rPr>
          <w:szCs w:val="22"/>
        </w:rPr>
        <w:t xml:space="preserve"> all schools within a school district to submit applications by school district, rather than by individual school or groups of schools within the same discount, and to use the average discount rate for the entire school district rather than the weighted average for each school building.</w:t>
      </w:r>
      <w:r>
        <w:rPr>
          <w:bCs/>
          <w:szCs w:val="22"/>
        </w:rPr>
        <w:t xml:space="preserve">  </w:t>
      </w:r>
      <w:r w:rsidR="00D42D06">
        <w:rPr>
          <w:bCs/>
          <w:szCs w:val="22"/>
        </w:rPr>
        <w:t>We also seek comment on whether all libraries located within a school district should use the school district’s discount rate when calculating their discount rate.</w:t>
      </w:r>
    </w:p>
    <w:p w14:paraId="7AE3D2C2" w14:textId="77777777" w:rsidR="00D42D06" w:rsidRPr="00CD7DD8" w:rsidRDefault="00D42D06" w:rsidP="00D42D06">
      <w:pPr>
        <w:pStyle w:val="ParaNum"/>
        <w:rPr>
          <w:szCs w:val="22"/>
        </w:rPr>
      </w:pPr>
      <w:r>
        <w:rPr>
          <w:szCs w:val="22"/>
        </w:rPr>
        <w:t>Currently, school districts, library systems, or other billed entities are required to calculate discounts for services that are shared by two or more of their schools, libraries, or consortia members by calculating an average discount based on the discounts of all member schools and libraries.</w:t>
      </w:r>
      <w:r>
        <w:rPr>
          <w:szCs w:val="22"/>
          <w:vertAlign w:val="superscript"/>
        </w:rPr>
        <w:footnoteReference w:id="180"/>
      </w:r>
      <w:r>
        <w:rPr>
          <w:szCs w:val="22"/>
        </w:rPr>
        <w:t xml:space="preserve">  School districts, library systems, or other billed entities are required to ensure that, for each year in which an eligible school or library is included in an application for purposes of calculating the aggregate discount rate, that eligible school or library receives a proportionate share of the shared services for which support is sought.</w:t>
      </w:r>
      <w:r>
        <w:rPr>
          <w:szCs w:val="22"/>
          <w:vertAlign w:val="superscript"/>
        </w:rPr>
        <w:footnoteReference w:id="181"/>
      </w:r>
      <w:r>
        <w:rPr>
          <w:szCs w:val="22"/>
        </w:rPr>
        <w:t xml:space="preserve">  For schools, the average discount is the weighted average of the applicable discount of all schools sharing a portion of the shared services, with the weighting based on the number of students in each school.</w:t>
      </w:r>
      <w:r>
        <w:rPr>
          <w:szCs w:val="22"/>
          <w:vertAlign w:val="superscript"/>
        </w:rPr>
        <w:footnoteReference w:id="182"/>
      </w:r>
      <w:r>
        <w:rPr>
          <w:szCs w:val="22"/>
        </w:rPr>
        <w:t xml:space="preserve">  For libraries, the average discount is a simple average of the applicable discounts to which the libraries sharing a portion of the shared services are entitled.</w:t>
      </w:r>
      <w:r>
        <w:rPr>
          <w:szCs w:val="22"/>
          <w:vertAlign w:val="superscript"/>
        </w:rPr>
        <w:footnoteReference w:id="183"/>
      </w:r>
      <w:r>
        <w:rPr>
          <w:szCs w:val="22"/>
        </w:rPr>
        <w:t xml:space="preserve">  Each billed entity–the </w:t>
      </w:r>
      <w:r>
        <w:rPr>
          <w:szCs w:val="22"/>
        </w:rPr>
        <w:lastRenderedPageBreak/>
        <w:t>entity responsible for making payments directly to a service provider–must file a separate FCC Form 471 application to certify their eligibility to receive discounts on eligible services for eligible schools, libraries, and consortia of those entities.</w:t>
      </w:r>
      <w:r>
        <w:rPr>
          <w:szCs w:val="22"/>
          <w:vertAlign w:val="superscript"/>
        </w:rPr>
        <w:footnoteReference w:id="184"/>
      </w:r>
      <w:r>
        <w:rPr>
          <w:szCs w:val="22"/>
        </w:rPr>
        <w:t xml:space="preserve">  </w:t>
      </w:r>
    </w:p>
    <w:p w14:paraId="215AE1BF" w14:textId="7E706F39" w:rsidR="004502A9" w:rsidRDefault="00D42D06" w:rsidP="00D42D06">
      <w:pPr>
        <w:pStyle w:val="ParaNum"/>
      </w:pPr>
      <w:r>
        <w:t xml:space="preserve">In the </w:t>
      </w:r>
      <w:r>
        <w:rPr>
          <w:i/>
        </w:rPr>
        <w:t>E-rate Broadband NPRM</w:t>
      </w:r>
      <w:r>
        <w:t>, the Commission sought comment on a proposal to revise the discount rules so that schools would calculate discounts on supported services by using the average discount rate for the entire school district rather than the weighted average for each school building.</w:t>
      </w:r>
      <w:r>
        <w:rPr>
          <w:vertAlign w:val="superscript"/>
        </w:rPr>
        <w:footnoteReference w:id="185"/>
      </w:r>
      <w:r>
        <w:t xml:space="preserve">  </w:t>
      </w:r>
      <w:r w:rsidR="00800293">
        <w:t xml:space="preserve">As the Commission observed in the </w:t>
      </w:r>
      <w:r w:rsidR="00800293">
        <w:rPr>
          <w:i/>
        </w:rPr>
        <w:t>E-rate Broadband NPRM</w:t>
      </w:r>
      <w:r w:rsidR="00800293">
        <w:t>, calculating discounts by individual school adds a significant level of complexity to the application process, because the discounts must be calculated separately by school and checked individually by USAC.</w:t>
      </w:r>
      <w:r w:rsidR="00800293">
        <w:rPr>
          <w:vertAlign w:val="superscript"/>
        </w:rPr>
        <w:footnoteReference w:id="186"/>
      </w:r>
      <w:r w:rsidR="00800293">
        <w:t xml:space="preserve">  </w:t>
      </w:r>
      <w:r>
        <w:t>Simplifying the discount percentage rate calculation across a school district could streamline the application process for school districts and reduce the administrative burden on USAC by no longer requiring USAC to verify each individual school’s discount percentage rate.</w:t>
      </w:r>
      <w:r>
        <w:rPr>
          <w:vertAlign w:val="superscript"/>
        </w:rPr>
        <w:footnoteReference w:id="187"/>
      </w:r>
      <w:r>
        <w:t xml:space="preserve">  We also anticipate that applying one discount rate to all eligible schools in a school district could lead to more timely funding commitments from USAC.  Additionally, the Commission stated that it could significantly reduce the amount of information necessary for Block 4 of the FCC Form 471 application and eliminate a billed entity’s submission of multiple FCC Form 471 applications at different discount levels.</w:t>
      </w:r>
      <w:r>
        <w:rPr>
          <w:vertAlign w:val="superscript"/>
        </w:rPr>
        <w:footnoteReference w:id="188"/>
      </w:r>
      <w:r>
        <w:t xml:space="preserve">  </w:t>
      </w:r>
      <w:r w:rsidR="00C00105">
        <w:t>Moreover, SECA argues that calculating discounts on a district-wide basis better reflects schools’ financial realities: tax bases are calculated on an entire district population, not just those of a subset of schools, and budgets are set district-wide.</w:t>
      </w:r>
      <w:r w:rsidR="00C00105">
        <w:rPr>
          <w:rStyle w:val="FootnoteReference"/>
        </w:rPr>
        <w:footnoteReference w:id="189"/>
      </w:r>
      <w:r w:rsidR="00C00105">
        <w:t xml:space="preserve">  </w:t>
      </w:r>
      <w:r>
        <w:t xml:space="preserve">Allowing libraries located within a school district to use the school district’s discount rate would also ease the administrative burden of such libraries. </w:t>
      </w:r>
    </w:p>
    <w:p w14:paraId="111966A6" w14:textId="36931196" w:rsidR="00D42D06" w:rsidRDefault="00D42D06" w:rsidP="00D42D06">
      <w:pPr>
        <w:pStyle w:val="ParaNum"/>
      </w:pPr>
      <w:r>
        <w:t xml:space="preserve"> Accordingly, we propose to revise section 54.505(b) of the E-rate rules to read</w:t>
      </w:r>
      <w:r w:rsidRPr="00CD7DD8">
        <w:rPr>
          <w:color w:val="000000"/>
        </w:rPr>
        <w:t>:</w:t>
      </w:r>
    </w:p>
    <w:p w14:paraId="16839FAF" w14:textId="0ECB3048" w:rsidR="00D42D06" w:rsidRPr="00CD7DD8" w:rsidRDefault="00D42D06" w:rsidP="00490FCE">
      <w:pPr>
        <w:spacing w:after="120"/>
        <w:ind w:left="720"/>
        <w:rPr>
          <w:i/>
          <w:szCs w:val="22"/>
        </w:rPr>
      </w:pPr>
      <w:r w:rsidRPr="00CD7DD8">
        <w:rPr>
          <w:i/>
          <w:szCs w:val="22"/>
        </w:rPr>
        <w:lastRenderedPageBreak/>
        <w:t xml:space="preserve">School districts shall calculate discounts on supported services described in § 54.502(b) by calculating a single discount percentage rate for the entire school district by dividing the total number of students eligible for the National School Lunch Program within the school district by the total number of students within the school district. </w:t>
      </w:r>
      <w:r w:rsidR="00104952">
        <w:rPr>
          <w:i/>
          <w:szCs w:val="22"/>
        </w:rPr>
        <w:t xml:space="preserve"> </w:t>
      </w:r>
      <w:r w:rsidRPr="00CD7DD8">
        <w:rPr>
          <w:i/>
          <w:szCs w:val="22"/>
        </w:rPr>
        <w:t xml:space="preserve">This single discount percentage rate shall then be applied to the discount matrix to set a discount rate for the supported services purchased by </w:t>
      </w:r>
      <w:r>
        <w:rPr>
          <w:i/>
          <w:szCs w:val="22"/>
        </w:rPr>
        <w:t xml:space="preserve">all schools within </w:t>
      </w:r>
      <w:r w:rsidRPr="00CD7DD8">
        <w:rPr>
          <w:i/>
          <w:szCs w:val="22"/>
        </w:rPr>
        <w:t>the school district.</w:t>
      </w:r>
      <w:r>
        <w:rPr>
          <w:rStyle w:val="FootnoteReference"/>
          <w:i/>
          <w:szCs w:val="22"/>
        </w:rPr>
        <w:footnoteReference w:id="190"/>
      </w:r>
      <w:r w:rsidRPr="00CD7DD8">
        <w:rPr>
          <w:i/>
          <w:szCs w:val="22"/>
        </w:rPr>
        <w:t xml:space="preserve"> </w:t>
      </w:r>
    </w:p>
    <w:p w14:paraId="5291CAF3" w14:textId="16E1DB12" w:rsidR="00D42D06" w:rsidRPr="00B03906" w:rsidRDefault="00D42D06" w:rsidP="00D42D06">
      <w:pPr>
        <w:pStyle w:val="ParaNum"/>
        <w:numPr>
          <w:ilvl w:val="0"/>
          <w:numId w:val="0"/>
        </w:numPr>
        <w:rPr>
          <w:szCs w:val="22"/>
        </w:rPr>
      </w:pPr>
      <w:r w:rsidRPr="00B03906">
        <w:rPr>
          <w:szCs w:val="22"/>
        </w:rPr>
        <w:t>We seek comment on this proposed rule.</w:t>
      </w:r>
      <w:r w:rsidR="00652311">
        <w:rPr>
          <w:szCs w:val="22"/>
        </w:rPr>
        <w:t xml:space="preserve"> </w:t>
      </w:r>
      <w:r w:rsidR="00104952">
        <w:rPr>
          <w:szCs w:val="22"/>
        </w:rPr>
        <w:t xml:space="preserve"> </w:t>
      </w:r>
      <w:r w:rsidR="00652311" w:rsidRPr="00413063">
        <w:t>We also seek comment on whether we should define “school district” for purposes of this proposal.</w:t>
      </w:r>
    </w:p>
    <w:p w14:paraId="3E23A5F8" w14:textId="3A67E6D4" w:rsidR="00D42D06" w:rsidRPr="00B03906" w:rsidRDefault="00D42D06" w:rsidP="00D42D06">
      <w:pPr>
        <w:pStyle w:val="ParaNum"/>
      </w:pPr>
      <w:r w:rsidRPr="00413063">
        <w:t xml:space="preserve">  </w:t>
      </w:r>
      <w:r w:rsidRPr="00B03906">
        <w:t xml:space="preserve">We also </w:t>
      </w:r>
      <w:r w:rsidR="00EE4B0D">
        <w:t>propose below</w:t>
      </w:r>
      <w:r w:rsidR="00EE4B0D" w:rsidRPr="00B03906">
        <w:t xml:space="preserve"> </w:t>
      </w:r>
      <w:r w:rsidRPr="00B03906">
        <w:t xml:space="preserve">to change our definition of “rural” for purposes of the </w:t>
      </w:r>
      <w:r>
        <w:t>E-rate</w:t>
      </w:r>
      <w:r w:rsidRPr="00B03906">
        <w:t xml:space="preserve"> program</w:t>
      </w:r>
      <w:r w:rsidR="00E279C0">
        <w:t xml:space="preserve"> to ensure greater funding </w:t>
      </w:r>
      <w:r w:rsidR="0027510E">
        <w:t>to truly rural areas</w:t>
      </w:r>
      <w:r w:rsidR="009B6159">
        <w:t xml:space="preserve"> by using </w:t>
      </w:r>
      <w:r w:rsidR="009B6159" w:rsidRPr="00A27954">
        <w:t>the U.S. Department of Education’s NCES</w:t>
      </w:r>
      <w:r w:rsidR="009B6159">
        <w:t xml:space="preserve"> definitions</w:t>
      </w:r>
      <w:r w:rsidRPr="00B03906">
        <w:t>.</w:t>
      </w:r>
      <w:r w:rsidR="00F47305">
        <w:rPr>
          <w:rStyle w:val="FootnoteReference"/>
        </w:rPr>
        <w:footnoteReference w:id="191"/>
      </w:r>
      <w:r w:rsidRPr="00B03906">
        <w:t xml:space="preserve">  </w:t>
      </w:r>
      <w:r w:rsidR="009B6159">
        <w:t xml:space="preserve">Currently, the </w:t>
      </w:r>
      <w:r w:rsidR="009B6159" w:rsidRPr="00A27954">
        <w:t xml:space="preserve">definition of “rural area” </w:t>
      </w:r>
      <w:r w:rsidR="009B6159">
        <w:t xml:space="preserve">is the same </w:t>
      </w:r>
      <w:r w:rsidR="009B6159" w:rsidRPr="00A27954">
        <w:t>used by the U.S. Department of Health and Human Service’s Office of Rural Health Care Policy (ORHP).</w:t>
      </w:r>
      <w:r w:rsidR="009B6159">
        <w:rPr>
          <w:rStyle w:val="FootnoteReference"/>
        </w:rPr>
        <w:footnoteReference w:id="192"/>
      </w:r>
      <w:r w:rsidR="009B6159">
        <w:t xml:space="preserve">  </w:t>
      </w:r>
      <w:r w:rsidRPr="00B03906">
        <w:t>Are there any school districts for which some schools would be differently classified as “rural” or not under our current or proposed definition?  If so, we seek comment on whether to apply the rural discount if any schools in a district are considered to be located in a “rural” area or if a majority of the schools in a district are considered rural.</w:t>
      </w:r>
      <w:r w:rsidR="00652311">
        <w:t xml:space="preserve">  </w:t>
      </w:r>
      <w:r w:rsidR="00C3616D">
        <w:t>Alternatively, should we consider partial rural discounts depending on the proportion of schools that are rural, or other approaches?</w:t>
      </w:r>
      <w:r w:rsidRPr="00B03906">
        <w:t xml:space="preserve"> </w:t>
      </w:r>
      <w:r>
        <w:t xml:space="preserve"> </w:t>
      </w:r>
      <w:r w:rsidRPr="00B03906">
        <w:t xml:space="preserve">We recognize that there may be specific instances where adopting a district-wide discount rate may result in a lower discount for certain entities.  We therefore seek comment on the impact of this proposal on schools and libraries.  </w:t>
      </w:r>
    </w:p>
    <w:p w14:paraId="78A2DED3" w14:textId="3F0F15ED" w:rsidR="00D42D06" w:rsidRPr="00B03906" w:rsidRDefault="00D42D06" w:rsidP="00D42D06">
      <w:pPr>
        <w:pStyle w:val="ParaNum"/>
      </w:pPr>
      <w:r w:rsidRPr="00B03906">
        <w:t xml:space="preserve">Additionally, in the </w:t>
      </w:r>
      <w:r>
        <w:rPr>
          <w:i/>
        </w:rPr>
        <w:t>E-rate</w:t>
      </w:r>
      <w:r w:rsidRPr="0062477E">
        <w:rPr>
          <w:i/>
        </w:rPr>
        <w:t xml:space="preserve"> Broadband NPRM</w:t>
      </w:r>
      <w:r w:rsidRPr="00413063">
        <w:t>, as part of its efforts to streamline the application process, the Commission sought comment on a proposal to require all schools and librari</w:t>
      </w:r>
      <w:r w:rsidRPr="00B03906">
        <w:t>es that are part of the same school district to submit applications for priority two internal connections by school district, rather than by individual school.</w:t>
      </w:r>
      <w:r>
        <w:rPr>
          <w:rStyle w:val="FootnoteReference"/>
          <w:szCs w:val="22"/>
        </w:rPr>
        <w:footnoteReference w:id="193"/>
      </w:r>
      <w:r w:rsidRPr="00413063">
        <w:t xml:space="preserve">  </w:t>
      </w:r>
      <w:r w:rsidRPr="00C80833">
        <w:t xml:space="preserve">As the Commission stated in the </w:t>
      </w:r>
      <w:r>
        <w:rPr>
          <w:i/>
        </w:rPr>
        <w:t>E-rate</w:t>
      </w:r>
      <w:r w:rsidRPr="0062477E">
        <w:rPr>
          <w:i/>
        </w:rPr>
        <w:t xml:space="preserve"> Broadband NPRM</w:t>
      </w:r>
      <w:r w:rsidRPr="00413063">
        <w:t xml:space="preserve">, requiring schools to apply by school district would help streamline the </w:t>
      </w:r>
      <w:r w:rsidRPr="00413063">
        <w:lastRenderedPageBreak/>
        <w:t>process and simplify the discount c</w:t>
      </w:r>
      <w:r w:rsidRPr="00B03906">
        <w:t>alculation for schools as well as the review process for both applicants and USAC.</w:t>
      </w:r>
      <w:r>
        <w:rPr>
          <w:rStyle w:val="FootnoteReference"/>
          <w:szCs w:val="22"/>
        </w:rPr>
        <w:footnoteReference w:id="194"/>
      </w:r>
      <w:r w:rsidRPr="00413063">
        <w:t xml:space="preserve">  Additionally, it would ensure that libraries receive funding for internal connections and at the same discount level as schools located within their school district.</w:t>
      </w:r>
      <w:r>
        <w:rPr>
          <w:rStyle w:val="FootnoteReference"/>
          <w:szCs w:val="22"/>
        </w:rPr>
        <w:footnoteReference w:id="195"/>
      </w:r>
      <w:r w:rsidRPr="00413063">
        <w:t xml:space="preserve"> </w:t>
      </w:r>
      <w:r>
        <w:t xml:space="preserve"> </w:t>
      </w:r>
      <w:r w:rsidRPr="00C80833">
        <w:t xml:space="preserve">We </w:t>
      </w:r>
      <w:r w:rsidRPr="00B03906">
        <w:t xml:space="preserve">thus </w:t>
      </w:r>
      <w:r w:rsidR="008C588D">
        <w:t xml:space="preserve">seek comment on amending </w:t>
      </w:r>
      <w:r w:rsidRPr="00B03906">
        <w:t xml:space="preserve">section 54.504(a) of the </w:t>
      </w:r>
      <w:r>
        <w:t>E-rate</w:t>
      </w:r>
      <w:r w:rsidRPr="00B03906">
        <w:t xml:space="preserve"> rules to read:</w:t>
      </w:r>
    </w:p>
    <w:p w14:paraId="1B4B4CA6" w14:textId="77777777" w:rsidR="00D42D06" w:rsidRDefault="00D42D06" w:rsidP="00D42D06">
      <w:pPr>
        <w:pStyle w:val="ParaNum"/>
        <w:numPr>
          <w:ilvl w:val="0"/>
          <w:numId w:val="0"/>
        </w:numPr>
        <w:ind w:left="720" w:firstLine="60"/>
        <w:rPr>
          <w:i/>
          <w:szCs w:val="22"/>
        </w:rPr>
      </w:pPr>
      <w:r w:rsidRPr="00CD7DD8">
        <w:rPr>
          <w:i/>
          <w:szCs w:val="22"/>
        </w:rPr>
        <w:t>An eligible school, library, or consortium that includes an eligible school or library seeking to receive discounts for eligible services under this subpart, shall, upon signing a contract for eligible services, submit a completed FCC Form 471 to the Administrator.  All schools and libraries that are part of the same school district and seek priority two internal connections shall submit a completed FCC Form 471 to the Administrator as part of the school district in which they are located.  A commitment of support is contingent upon the filing of an FCC Form 471.</w:t>
      </w:r>
    </w:p>
    <w:p w14:paraId="32C849DB" w14:textId="77777777" w:rsidR="00D42D06" w:rsidRDefault="00D42D06" w:rsidP="00D42D06">
      <w:pPr>
        <w:pStyle w:val="ParaNum"/>
        <w:numPr>
          <w:ilvl w:val="0"/>
          <w:numId w:val="0"/>
        </w:numPr>
        <w:rPr>
          <w:szCs w:val="22"/>
        </w:rPr>
      </w:pPr>
      <w:r w:rsidRPr="00CD7DD8">
        <w:rPr>
          <w:szCs w:val="22"/>
        </w:rPr>
        <w:t>We seek comment on this proposed rule.</w:t>
      </w:r>
    </w:p>
    <w:p w14:paraId="48C63053" w14:textId="015D1C29" w:rsidR="00D42D06" w:rsidRDefault="00D42D06" w:rsidP="00D42D06">
      <w:pPr>
        <w:pStyle w:val="ParaNum"/>
      </w:pPr>
      <w:r w:rsidRPr="00CD7DD8">
        <w:t>We also seek comment on whether we should require schools and libraries to submit applications for priority one services by school district</w:t>
      </w:r>
      <w:r>
        <w:t>.</w:t>
      </w:r>
      <w:r w:rsidRPr="00CD7DD8">
        <w:t xml:space="preserve">  Commenters should address what, if any, additional burden such proposal may place on applicants.</w:t>
      </w:r>
      <w:r>
        <w:t xml:space="preserve">  </w:t>
      </w:r>
      <w:r>
        <w:rPr>
          <w:bCs/>
          <w:szCs w:val="22"/>
        </w:rPr>
        <w:t xml:space="preserve">In addition, we seek comment on whether to limit applications for a school district to one for each category of service requested.  For example, if the Commission retains the current priority one and priority two distinctions, an applicant could only submit two applications – one for each category.  </w:t>
      </w:r>
      <w:r w:rsidR="000D3059">
        <w:rPr>
          <w:bCs/>
          <w:szCs w:val="22"/>
        </w:rPr>
        <w:t>What are</w:t>
      </w:r>
      <w:r>
        <w:rPr>
          <w:bCs/>
          <w:szCs w:val="22"/>
        </w:rPr>
        <w:t xml:space="preserve"> the advantages and disadvantages of such a requirement</w:t>
      </w:r>
      <w:r w:rsidR="000D3059">
        <w:rPr>
          <w:bCs/>
          <w:szCs w:val="22"/>
        </w:rPr>
        <w:t>?</w:t>
      </w:r>
    </w:p>
    <w:p w14:paraId="60212D1B" w14:textId="0637979C" w:rsidR="00D42D06" w:rsidRPr="00E4308D" w:rsidRDefault="00E4308D" w:rsidP="0048025B">
      <w:pPr>
        <w:pStyle w:val="Heading3"/>
      </w:pPr>
      <w:bookmarkStart w:id="1325" w:name="_Toc359853159"/>
      <w:bookmarkStart w:id="1326" w:name="_Toc359853395"/>
      <w:bookmarkStart w:id="1327" w:name="_Toc359853658"/>
      <w:bookmarkStart w:id="1328" w:name="_Toc359858621"/>
      <w:bookmarkStart w:id="1329" w:name="_Toc359859601"/>
      <w:bookmarkStart w:id="1330" w:name="_Toc359940063"/>
      <w:bookmarkStart w:id="1331" w:name="_Toc360025440"/>
      <w:bookmarkStart w:id="1332" w:name="_Toc360107492"/>
      <w:bookmarkStart w:id="1333" w:name="_Toc360111616"/>
      <w:bookmarkStart w:id="1334" w:name="_Toc360172801"/>
      <w:bookmarkStart w:id="1335" w:name="_Toc360186134"/>
      <w:bookmarkStart w:id="1336" w:name="_Toc360186211"/>
      <w:bookmarkStart w:id="1337" w:name="_Toc360186415"/>
      <w:bookmarkStart w:id="1338" w:name="_Toc360186487"/>
      <w:bookmarkStart w:id="1339" w:name="_Toc360187288"/>
      <w:bookmarkStart w:id="1340" w:name="_Toc360187449"/>
      <w:bookmarkStart w:id="1341" w:name="_Toc360208902"/>
      <w:bookmarkStart w:id="1342" w:name="_Toc360212035"/>
      <w:bookmarkStart w:id="1343" w:name="_Toc361663105"/>
      <w:bookmarkStart w:id="1344" w:name="_Toc361857683"/>
      <w:bookmarkStart w:id="1345" w:name="_Toc361918775"/>
      <w:bookmarkStart w:id="1346" w:name="_Toc362272551"/>
      <w:r>
        <w:t>More Equitable Funding for</w:t>
      </w:r>
      <w:r w:rsidR="00D42D06" w:rsidRPr="00E4308D">
        <w:t xml:space="preserve"> </w:t>
      </w:r>
      <w:r>
        <w:t>R</w:t>
      </w:r>
      <w:r w:rsidR="00D42D06" w:rsidRPr="00E4308D">
        <w:t xml:space="preserve">ural </w:t>
      </w:r>
      <w:r>
        <w:t>S</w:t>
      </w:r>
      <w:r w:rsidRPr="00E4308D">
        <w:t xml:space="preserve">chools </w:t>
      </w:r>
      <w:r w:rsidR="00D42D06" w:rsidRPr="00E4308D">
        <w:t xml:space="preserve">and </w:t>
      </w:r>
      <w:bookmarkEnd w:id="1325"/>
      <w:bookmarkEnd w:id="1326"/>
      <w:bookmarkEnd w:id="1327"/>
      <w:bookmarkEnd w:id="1328"/>
      <w:bookmarkEnd w:id="1329"/>
      <w:r>
        <w:t>L</w:t>
      </w:r>
      <w:r w:rsidRPr="00E4308D">
        <w:t>ibraries</w:t>
      </w:r>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p>
    <w:p w14:paraId="66A26945" w14:textId="78647DFB" w:rsidR="000D3059" w:rsidRDefault="00D63452" w:rsidP="008C588D">
      <w:pPr>
        <w:pStyle w:val="ParaNum"/>
      </w:pPr>
      <w:r>
        <w:rPr>
          <w:szCs w:val="22"/>
        </w:rPr>
        <w:t xml:space="preserve">In order to </w:t>
      </w:r>
      <w:r w:rsidR="000D3059">
        <w:rPr>
          <w:szCs w:val="22"/>
        </w:rPr>
        <w:t xml:space="preserve">ensure </w:t>
      </w:r>
      <w:r>
        <w:rPr>
          <w:szCs w:val="22"/>
        </w:rPr>
        <w:t xml:space="preserve">more equitable access to E-rate funding, we </w:t>
      </w:r>
      <w:r w:rsidR="0090224A">
        <w:rPr>
          <w:szCs w:val="22"/>
        </w:rPr>
        <w:t xml:space="preserve">seek comment on whether we should further increase the discount rate or the amount of E-rate funds available for schools and libraries in rural areas or in remote rural areas.  </w:t>
      </w:r>
      <w:r>
        <w:rPr>
          <w:szCs w:val="22"/>
        </w:rPr>
        <w:t>When the Commission created the E-rate program, it recognized that schools and libraries in rural areas would likely face higher costs for E-rate supported services, and therefore provided an additional 5-10</w:t>
      </w:r>
      <w:r w:rsidR="00620A8E">
        <w:rPr>
          <w:szCs w:val="22"/>
        </w:rPr>
        <w:t xml:space="preserve"> percent </w:t>
      </w:r>
      <w:r>
        <w:rPr>
          <w:szCs w:val="22"/>
        </w:rPr>
        <w:t>discount rate for rural schools and libraries that would otherwise receive a discount rate of 60</w:t>
      </w:r>
      <w:r w:rsidR="00620A8E">
        <w:rPr>
          <w:szCs w:val="22"/>
        </w:rPr>
        <w:t xml:space="preserve"> percent </w:t>
      </w:r>
      <w:r>
        <w:rPr>
          <w:szCs w:val="22"/>
        </w:rPr>
        <w:t>or less.</w:t>
      </w:r>
      <w:r>
        <w:rPr>
          <w:rStyle w:val="FootnoteReference"/>
          <w:szCs w:val="22"/>
        </w:rPr>
        <w:footnoteReference w:id="196"/>
      </w:r>
      <w:r>
        <w:rPr>
          <w:szCs w:val="22"/>
        </w:rPr>
        <w:t xml:space="preserve">  E-rate has been crucial in supporting connectivity to rural schools and libraries.</w:t>
      </w:r>
      <w:r>
        <w:rPr>
          <w:rStyle w:val="FootnoteReference"/>
          <w:szCs w:val="22"/>
        </w:rPr>
        <w:footnoteReference w:id="197"/>
      </w:r>
      <w:r>
        <w:rPr>
          <w:szCs w:val="22"/>
        </w:rPr>
        <w:t xml:space="preserve">  </w:t>
      </w:r>
      <w:r w:rsidR="0090224A">
        <w:rPr>
          <w:szCs w:val="22"/>
        </w:rPr>
        <w:lastRenderedPageBreak/>
        <w:t>However, those schools and libraries in rural areas that also have a high percentage of students that qualify for free or reduced-price school lunches do not get an additional discount, even though there costs may be higher.  We</w:t>
      </w:r>
      <w:r>
        <w:rPr>
          <w:szCs w:val="22"/>
        </w:rPr>
        <w:t xml:space="preserve"> therefore seek comment on whether all rural schools and libraries</w:t>
      </w:r>
      <w:r w:rsidR="0090224A">
        <w:rPr>
          <w:szCs w:val="22"/>
        </w:rPr>
        <w:t>, or those in remote-rural areas</w:t>
      </w:r>
      <w:r>
        <w:rPr>
          <w:szCs w:val="22"/>
        </w:rPr>
        <w:t xml:space="preserve"> should receive additional E-rate support </w:t>
      </w:r>
      <w:r w:rsidR="0027510E">
        <w:rPr>
          <w:szCs w:val="22"/>
        </w:rPr>
        <w:t xml:space="preserve">to recognize </w:t>
      </w:r>
      <w:r w:rsidR="00620A8E">
        <w:rPr>
          <w:szCs w:val="22"/>
        </w:rPr>
        <w:t xml:space="preserve">the </w:t>
      </w:r>
      <w:r w:rsidR="0027510E">
        <w:rPr>
          <w:szCs w:val="22"/>
        </w:rPr>
        <w:t xml:space="preserve">unique challenges of providing services in rural, less dense areas. </w:t>
      </w:r>
    </w:p>
    <w:p w14:paraId="79CE03F4" w14:textId="0F87EDE0" w:rsidR="000D3059" w:rsidRPr="00A27954" w:rsidRDefault="000D3059" w:rsidP="000D3059">
      <w:pPr>
        <w:pStyle w:val="ParaNum"/>
      </w:pPr>
      <w:r>
        <w:t>Conversely</w:t>
      </w:r>
      <w:r w:rsidR="00126553">
        <w:t xml:space="preserve">, some commenters argue that </w:t>
      </w:r>
      <w:r w:rsidRPr="00A27954">
        <w:t xml:space="preserve">the Commission </w:t>
      </w:r>
      <w:r>
        <w:t>should</w:t>
      </w:r>
      <w:r w:rsidRPr="00A27954">
        <w:t xml:space="preserve"> adjust the discount matrix so that </w:t>
      </w:r>
      <w:r>
        <w:t>E-rate</w:t>
      </w:r>
      <w:r w:rsidRPr="00A27954">
        <w:t xml:space="preserve"> applicants with similar levels of participation in the </w:t>
      </w:r>
      <w:r w:rsidR="0090224A">
        <w:t xml:space="preserve">national </w:t>
      </w:r>
      <w:r w:rsidRPr="00A27954">
        <w:t>school lunch program receive the same discount percentage, regardless of the location</w:t>
      </w:r>
      <w:r>
        <w:t>.</w:t>
      </w:r>
      <w:r>
        <w:rPr>
          <w:rStyle w:val="FootnoteReference"/>
        </w:rPr>
        <w:footnoteReference w:id="198"/>
      </w:r>
      <w:r>
        <w:t xml:space="preserve"> </w:t>
      </w:r>
      <w:r w:rsidRPr="00A27954">
        <w:t xml:space="preserve"> </w:t>
      </w:r>
      <w:r>
        <w:t xml:space="preserve">Given that </w:t>
      </w:r>
      <w:r>
        <w:rPr>
          <w:szCs w:val="22"/>
        </w:rPr>
        <w:t>most E-rate funding goes to schools and libraries that receive discount rates above 60 percent, and therefore</w:t>
      </w:r>
      <w:r>
        <w:t xml:space="preserve"> the</w:t>
      </w:r>
      <w:r w:rsidRPr="00A27954">
        <w:t xml:space="preserve"> majority of </w:t>
      </w:r>
      <w:r>
        <w:t>E-rate</w:t>
      </w:r>
      <w:r w:rsidRPr="00A27954">
        <w:t xml:space="preserve"> funds USAC commits are not subject to</w:t>
      </w:r>
      <w:r>
        <w:t xml:space="preserve"> the discount,</w:t>
      </w:r>
      <w:r w:rsidRPr="00A27954">
        <w:rPr>
          <w:szCs w:val="22"/>
        </w:rPr>
        <w:t xml:space="preserve"> is </w:t>
      </w:r>
      <w:r>
        <w:rPr>
          <w:szCs w:val="22"/>
        </w:rPr>
        <w:t xml:space="preserve">there </w:t>
      </w:r>
      <w:r w:rsidRPr="00A27954">
        <w:rPr>
          <w:szCs w:val="22"/>
        </w:rPr>
        <w:t xml:space="preserve">value in </w:t>
      </w:r>
      <w:r>
        <w:rPr>
          <w:szCs w:val="22"/>
        </w:rPr>
        <w:t>simplifying</w:t>
      </w:r>
      <w:r w:rsidRPr="00A27954">
        <w:rPr>
          <w:szCs w:val="22"/>
        </w:rPr>
        <w:t xml:space="preserve"> how discount levels are established for all schools and libraries</w:t>
      </w:r>
      <w:r>
        <w:rPr>
          <w:szCs w:val="22"/>
        </w:rPr>
        <w:t>, as these commenters suggest</w:t>
      </w:r>
      <w:r>
        <w:t>?</w:t>
      </w:r>
      <w:r w:rsidRPr="00A27954">
        <w:rPr>
          <w:vertAlign w:val="superscript"/>
        </w:rPr>
        <w:footnoteReference w:id="199"/>
      </w:r>
      <w:r w:rsidRPr="00A27954">
        <w:t xml:space="preserve">  </w:t>
      </w:r>
      <w:r w:rsidR="00382A00">
        <w:t>Should our approach differ for priority one and priority two services?</w:t>
      </w:r>
    </w:p>
    <w:p w14:paraId="287A8846" w14:textId="6D979964" w:rsidR="000627C7" w:rsidRPr="00A27954" w:rsidRDefault="000627C7" w:rsidP="008B687A">
      <w:pPr>
        <w:pStyle w:val="Heading3"/>
        <w:keepNext w:val="0"/>
      </w:pPr>
      <w:bookmarkStart w:id="1347" w:name="SP;619100004c4a2"/>
      <w:bookmarkStart w:id="1348" w:name="SP;3ac8000039643"/>
      <w:bookmarkStart w:id="1349" w:name="_Toc359940064"/>
      <w:bookmarkStart w:id="1350" w:name="_Toc359853160"/>
      <w:bookmarkStart w:id="1351" w:name="_Toc359853396"/>
      <w:bookmarkStart w:id="1352" w:name="_Toc359853659"/>
      <w:bookmarkStart w:id="1353" w:name="_Toc359858622"/>
      <w:bookmarkStart w:id="1354" w:name="_Toc359853161"/>
      <w:bookmarkStart w:id="1355" w:name="_Toc359853397"/>
      <w:bookmarkStart w:id="1356" w:name="_Toc359853660"/>
      <w:bookmarkStart w:id="1357" w:name="_Toc359858623"/>
      <w:bookmarkStart w:id="1358" w:name="_Toc359853162"/>
      <w:bookmarkStart w:id="1359" w:name="_Toc359853398"/>
      <w:bookmarkStart w:id="1360" w:name="_Toc359853661"/>
      <w:bookmarkStart w:id="1361" w:name="_Toc359858624"/>
      <w:bookmarkStart w:id="1362" w:name="_Toc359853163"/>
      <w:bookmarkStart w:id="1363" w:name="_Toc359853399"/>
      <w:bookmarkStart w:id="1364" w:name="_Toc359853662"/>
      <w:bookmarkStart w:id="1365" w:name="_Toc359858625"/>
      <w:bookmarkStart w:id="1366" w:name="_Toc359853164"/>
      <w:bookmarkStart w:id="1367" w:name="_Toc359853400"/>
      <w:bookmarkStart w:id="1368" w:name="_Toc359853663"/>
      <w:bookmarkStart w:id="1369" w:name="_Toc359858626"/>
      <w:bookmarkStart w:id="1370" w:name="_Toc359853165"/>
      <w:bookmarkStart w:id="1371" w:name="_Toc359853401"/>
      <w:bookmarkStart w:id="1372" w:name="_Toc359853664"/>
      <w:bookmarkStart w:id="1373" w:name="_Toc359858627"/>
      <w:bookmarkStart w:id="1374" w:name="_Toc359853166"/>
      <w:bookmarkStart w:id="1375" w:name="_Toc359853402"/>
      <w:bookmarkStart w:id="1376" w:name="_Toc359853665"/>
      <w:bookmarkStart w:id="1377" w:name="_Toc359858628"/>
      <w:bookmarkStart w:id="1378" w:name="_Toc359853167"/>
      <w:bookmarkStart w:id="1379" w:name="_Toc359853403"/>
      <w:bookmarkStart w:id="1380" w:name="_Toc359853666"/>
      <w:bookmarkStart w:id="1381" w:name="_Toc359858629"/>
      <w:bookmarkStart w:id="1382" w:name="_Toc359853168"/>
      <w:bookmarkStart w:id="1383" w:name="_Toc359853404"/>
      <w:bookmarkStart w:id="1384" w:name="_Toc359853667"/>
      <w:bookmarkStart w:id="1385" w:name="_Toc359858630"/>
      <w:bookmarkStart w:id="1386" w:name="_Toc359853169"/>
      <w:bookmarkStart w:id="1387" w:name="_Toc359853405"/>
      <w:bookmarkStart w:id="1388" w:name="_Toc359853668"/>
      <w:bookmarkStart w:id="1389" w:name="_Toc359858631"/>
      <w:bookmarkStart w:id="1390" w:name="_Toc359853170"/>
      <w:bookmarkStart w:id="1391" w:name="_Toc359853406"/>
      <w:bookmarkStart w:id="1392" w:name="_Toc359853669"/>
      <w:bookmarkStart w:id="1393" w:name="_Toc359858632"/>
      <w:bookmarkStart w:id="1394" w:name="_Toc359853171"/>
      <w:bookmarkStart w:id="1395" w:name="_Toc359853407"/>
      <w:bookmarkStart w:id="1396" w:name="_Toc359853670"/>
      <w:bookmarkStart w:id="1397" w:name="_Toc359858633"/>
      <w:bookmarkStart w:id="1398" w:name="_Toc359853172"/>
      <w:bookmarkStart w:id="1399" w:name="_Toc359853408"/>
      <w:bookmarkStart w:id="1400" w:name="_Toc359853671"/>
      <w:bookmarkStart w:id="1401" w:name="_Toc359858634"/>
      <w:bookmarkStart w:id="1402" w:name="_Toc360111617"/>
      <w:bookmarkStart w:id="1403" w:name="_Toc359940065"/>
      <w:bookmarkStart w:id="1404" w:name="_Toc360025441"/>
      <w:bookmarkStart w:id="1405" w:name="_Toc360107493"/>
      <w:bookmarkStart w:id="1406" w:name="_Toc359858635"/>
      <w:bookmarkStart w:id="1407" w:name="_Toc351647149"/>
      <w:bookmarkStart w:id="1408" w:name="_Toc352064098"/>
      <w:bookmarkStart w:id="1409" w:name="_Toc352064544"/>
      <w:bookmarkStart w:id="1410" w:name="_Toc352078325"/>
      <w:bookmarkStart w:id="1411" w:name="_Toc352078377"/>
      <w:bookmarkStart w:id="1412" w:name="_Toc352078439"/>
      <w:bookmarkStart w:id="1413" w:name="_Toc352079031"/>
      <w:bookmarkStart w:id="1414" w:name="_Toc352080392"/>
      <w:bookmarkStart w:id="1415" w:name="_Toc352139775"/>
      <w:bookmarkStart w:id="1416" w:name="_Toc354478078"/>
      <w:bookmarkStart w:id="1417" w:name="_Toc354478700"/>
      <w:bookmarkStart w:id="1418" w:name="_Toc354660716"/>
      <w:bookmarkStart w:id="1419" w:name="_Toc358208797"/>
      <w:bookmarkStart w:id="1420" w:name="_Toc358210296"/>
      <w:bookmarkStart w:id="1421" w:name="_Toc358210443"/>
      <w:bookmarkStart w:id="1422" w:name="_Toc358210621"/>
      <w:bookmarkStart w:id="1423" w:name="_Toc358210722"/>
      <w:bookmarkStart w:id="1424" w:name="_Toc358213656"/>
      <w:bookmarkStart w:id="1425" w:name="_Toc358213788"/>
      <w:bookmarkStart w:id="1426" w:name="_Toc358301283"/>
      <w:bookmarkStart w:id="1427" w:name="_Toc358720029"/>
      <w:bookmarkStart w:id="1428" w:name="_Toc358971255"/>
      <w:bookmarkStart w:id="1429" w:name="_Toc358974856"/>
      <w:bookmarkStart w:id="1430" w:name="_Toc358975754"/>
      <w:bookmarkStart w:id="1431" w:name="_Toc358975916"/>
      <w:bookmarkStart w:id="1432" w:name="_Toc358976157"/>
      <w:bookmarkStart w:id="1433" w:name="_Toc358981012"/>
      <w:bookmarkStart w:id="1434" w:name="_Toc358981128"/>
      <w:bookmarkStart w:id="1435" w:name="_Toc358982392"/>
      <w:bookmarkStart w:id="1436" w:name="_Toc358982482"/>
      <w:bookmarkStart w:id="1437" w:name="_Toc359239264"/>
      <w:bookmarkStart w:id="1438" w:name="_Toc359239321"/>
      <w:bookmarkStart w:id="1439" w:name="_Toc359252280"/>
      <w:bookmarkStart w:id="1440" w:name="_Toc359326029"/>
      <w:bookmarkStart w:id="1441" w:name="_Toc359333277"/>
      <w:bookmarkStart w:id="1442" w:name="_Toc359339931"/>
      <w:bookmarkStart w:id="1443" w:name="_Toc359343195"/>
      <w:bookmarkStart w:id="1444" w:name="_Toc359347004"/>
      <w:bookmarkStart w:id="1445" w:name="_Toc359598693"/>
      <w:bookmarkStart w:id="1446" w:name="_Toc359853173"/>
      <w:bookmarkStart w:id="1447" w:name="_Toc359853409"/>
      <w:bookmarkStart w:id="1448" w:name="_Toc359853672"/>
      <w:bookmarkStart w:id="1449" w:name="_Toc359859602"/>
      <w:bookmarkStart w:id="1450" w:name="_Toc360172802"/>
      <w:bookmarkStart w:id="1451" w:name="_Toc360186135"/>
      <w:bookmarkStart w:id="1452" w:name="_Toc360186212"/>
      <w:bookmarkStart w:id="1453" w:name="_Toc360186416"/>
      <w:bookmarkStart w:id="1454" w:name="_Toc360186488"/>
      <w:bookmarkStart w:id="1455" w:name="_Toc360187289"/>
      <w:bookmarkStart w:id="1456" w:name="_Toc360187450"/>
      <w:bookmarkStart w:id="1457" w:name="_Toc360208903"/>
      <w:bookmarkStart w:id="1458" w:name="_Toc360212036"/>
      <w:bookmarkStart w:id="1459" w:name="_Toc361663106"/>
      <w:bookmarkStart w:id="1460" w:name="_Toc361857684"/>
      <w:bookmarkStart w:id="1461" w:name="_Toc361918776"/>
      <w:bookmarkStart w:id="1462" w:name="_Toc362272552"/>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r>
        <w:t>Set</w:t>
      </w:r>
      <w:r w:rsidR="00E4308D">
        <w:t>ting</w:t>
      </w:r>
      <w:r w:rsidRPr="00A27954">
        <w:t xml:space="preserve"> </w:t>
      </w:r>
      <w:r w:rsidR="00CE7736">
        <w:t>Budget</w:t>
      </w:r>
      <w:r w:rsidR="00FD62DA">
        <w:t>s</w:t>
      </w:r>
      <w:bookmarkEnd w:id="1402"/>
      <w:bookmarkEnd w:id="1403"/>
      <w:bookmarkEnd w:id="1404"/>
      <w:bookmarkEnd w:id="1405"/>
      <w:r w:rsidR="00CE7736">
        <w:t xml:space="preserve"> </w:t>
      </w:r>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r w:rsidR="00251607">
        <w:t>or Limits</w:t>
      </w:r>
      <w:bookmarkEnd w:id="1450"/>
      <w:bookmarkEnd w:id="1451"/>
      <w:bookmarkEnd w:id="1452"/>
      <w:bookmarkEnd w:id="1453"/>
      <w:bookmarkEnd w:id="1454"/>
      <w:bookmarkEnd w:id="1455"/>
      <w:bookmarkEnd w:id="1456"/>
      <w:bookmarkEnd w:id="1457"/>
      <w:bookmarkEnd w:id="1458"/>
      <w:bookmarkEnd w:id="1459"/>
      <w:bookmarkEnd w:id="1460"/>
      <w:bookmarkEnd w:id="1461"/>
      <w:bookmarkEnd w:id="1462"/>
    </w:p>
    <w:p w14:paraId="33760D3C" w14:textId="77777777" w:rsidR="008E2908" w:rsidRPr="00DC74EF" w:rsidRDefault="008E2908" w:rsidP="008E2908">
      <w:pPr>
        <w:pStyle w:val="ParaNum"/>
      </w:pPr>
      <w:bookmarkStart w:id="1463" w:name="_Ref360207555"/>
      <w:r w:rsidRPr="00DC74EF">
        <w:t>In this section, we seek comment on whether we should impose a per-student or per-building budget, or similar limits, on funding for schools and libraries.  Building on a recommendation of the 2003 USAC Task Force,</w:t>
      </w:r>
      <w:r w:rsidRPr="00DC74EF">
        <w:rPr>
          <w:rStyle w:val="FootnoteReference"/>
        </w:rPr>
        <w:footnoteReference w:id="200"/>
      </w:r>
      <w:r w:rsidRPr="00DC74EF">
        <w:t xml:space="preserve">  Funds for Learning, an E-rate consultant that has analyzed USAC’s data, has argued that appropriately-structured budgets on a per-student or per-building basis could lead to more equitable and predictable distribution of E-rate funds by limiting the funding that is allocated to a small number of high-spending applicants.  According to Funds for Learning, 2012 funding requests averaged $44.30 per-student for priority one services across all applicants,</w:t>
      </w:r>
      <w:r w:rsidRPr="00DC74EF">
        <w:rPr>
          <w:rStyle w:val="FootnoteReference"/>
        </w:rPr>
        <w:footnoteReference w:id="201"/>
      </w:r>
      <w:r w:rsidRPr="00DC74EF">
        <w:t xml:space="preserve"> but more than 10 percent of applicants sought </w:t>
      </w:r>
      <w:r w:rsidRPr="00DC74EF">
        <w:lastRenderedPageBreak/>
        <w:t>funding of at least $180 per-student for priority one services.</w:t>
      </w:r>
      <w:r w:rsidRPr="00DC74EF">
        <w:rPr>
          <w:rStyle w:val="FootnoteReference"/>
        </w:rPr>
        <w:footnoteReference w:id="202"/>
      </w:r>
      <w:r w:rsidRPr="00DC74EF">
        <w:t xml:space="preserve">  Notably, four school districts in the nation’s largest cities requested at least $240 per-student, and more than a dozen other applicants sought over $1,000 per student in total support in funding year 2012.</w:t>
      </w:r>
      <w:r w:rsidRPr="00DC74EF">
        <w:rPr>
          <w:rStyle w:val="FootnoteReference"/>
        </w:rPr>
        <w:footnoteReference w:id="203"/>
      </w:r>
      <w:r w:rsidRPr="00DC74EF">
        <w:t xml:space="preserve">  </w:t>
      </w:r>
    </w:p>
    <w:p w14:paraId="7FCAA1D1" w14:textId="597C52D6" w:rsidR="000627C7" w:rsidRPr="00A27954" w:rsidRDefault="008E2908">
      <w:pPr>
        <w:pStyle w:val="ParaNum"/>
      </w:pPr>
      <w:bookmarkStart w:id="1464" w:name="_Ref360204489"/>
      <w:r w:rsidRPr="00DC74EF">
        <w:t>S</w:t>
      </w:r>
      <w:r>
        <w:t xml:space="preserve">ome </w:t>
      </w:r>
      <w:r w:rsidRPr="00DC74EF">
        <w:t xml:space="preserve">variation </w:t>
      </w:r>
      <w:r>
        <w:t xml:space="preserve">in funding </w:t>
      </w:r>
      <w:r w:rsidRPr="00DC74EF">
        <w:t>is not surprising because discount rates range from 90 percent to 20 percent</w:t>
      </w:r>
      <w:r>
        <w:t xml:space="preserve">.  </w:t>
      </w:r>
      <w:r w:rsidRPr="00DC74EF">
        <w:t>Moreover, the Commission has always recognized that schools and libraries across the country would have different needs and different challenges in purchasing E-rate supported services.</w:t>
      </w:r>
      <w:r w:rsidRPr="00DC74EF">
        <w:rPr>
          <w:vertAlign w:val="superscript"/>
        </w:rPr>
        <w:footnoteReference w:id="204"/>
      </w:r>
      <w:r w:rsidRPr="00DC74EF">
        <w:t xml:space="preserve">  </w:t>
      </w:r>
      <w:r>
        <w:t xml:space="preserve">Yet the </w:t>
      </w:r>
      <w:r w:rsidRPr="00DC74EF">
        <w:t xml:space="preserve">Funds for Learning </w:t>
      </w:r>
      <w:r>
        <w:t>analysis of funding year 2013 requests shows that applicants with higher discount rates also planned to spend significantly more per-student in pre-discount dollars for telecommunications and Internet access (</w:t>
      </w:r>
      <w:r w:rsidR="00627C3E">
        <w:t>priority one</w:t>
      </w:r>
      <w:r>
        <w:t xml:space="preserve"> services).  Those seeking 20-59</w:t>
      </w:r>
      <w:r w:rsidR="00620A8E">
        <w:t xml:space="preserve"> percent </w:t>
      </w:r>
      <w:r>
        <w:t xml:space="preserve">discounts plan $35.23 per-student in pre-discount purchases of </w:t>
      </w:r>
      <w:r w:rsidR="00627C3E">
        <w:t>priority one</w:t>
      </w:r>
      <w:r>
        <w:t xml:space="preserve"> services, while those seeking 60-79</w:t>
      </w:r>
      <w:r w:rsidR="00620A8E">
        <w:t xml:space="preserve"> percent</w:t>
      </w:r>
      <w:r>
        <w:t xml:space="preserve"> discounts plan $43.02 per-student pre-discount purchases for such services, and those seeking 80-90</w:t>
      </w:r>
      <w:r w:rsidR="00620A8E">
        <w:t xml:space="preserve"> percent</w:t>
      </w:r>
      <w:r>
        <w:t xml:space="preserve"> discounts, $86.53 per-student pre-discount purchases for such services.</w:t>
      </w:r>
      <w:r>
        <w:rPr>
          <w:rStyle w:val="FootnoteReference"/>
        </w:rPr>
        <w:footnoteReference w:id="205"/>
      </w:r>
      <w:r w:rsidRPr="00DC74EF">
        <w:t xml:space="preserve"> </w:t>
      </w:r>
      <w:r>
        <w:t xml:space="preserve"> </w:t>
      </w:r>
      <w:r w:rsidRPr="00DC74EF">
        <w:t xml:space="preserve">We </w:t>
      </w:r>
      <w:r>
        <w:t xml:space="preserve">also </w:t>
      </w:r>
      <w:r w:rsidRPr="00DC74EF">
        <w:t xml:space="preserve">expect that a small rural school may have to pay more per-student for Internet access than a large urban school.  However, </w:t>
      </w:r>
      <w:r>
        <w:t xml:space="preserve">Funds for Learning </w:t>
      </w:r>
      <w:r w:rsidRPr="00DC74EF">
        <w:t>find</w:t>
      </w:r>
      <w:r>
        <w:t>s</w:t>
      </w:r>
      <w:r w:rsidRPr="00DC74EF">
        <w:t xml:space="preserve"> that some of the highest per-student costs are in urban areas, where competition should drive down prices</w:t>
      </w:r>
      <w:bookmarkEnd w:id="1464"/>
      <w:r w:rsidRPr="00DC74EF">
        <w:t xml:space="preserve">.  </w:t>
      </w:r>
      <w:r>
        <w:t xml:space="preserve">While the 2,360 applicants in large cities plan an average of $67.88 per-student in pre-discount purchases for </w:t>
      </w:r>
      <w:r w:rsidR="00627C3E">
        <w:t>priority one</w:t>
      </w:r>
      <w:r>
        <w:t xml:space="preserve"> services for funding year 2013, the 4,987 applicants in large, medium, and small-size suburban schools plan per-student purchases of </w:t>
      </w:r>
      <w:r w:rsidR="00627C3E">
        <w:t>priority one</w:t>
      </w:r>
      <w:r>
        <w:t xml:space="preserve"> services averaging only $40.76, $39.17, and $46.44 in pre-discount prices, respectively.</w:t>
      </w:r>
      <w:r>
        <w:rPr>
          <w:rStyle w:val="FootnoteReference"/>
        </w:rPr>
        <w:footnoteReference w:id="206"/>
      </w:r>
      <w:r>
        <w:t xml:space="preserve">  Even the 3,129 applicants in “rural: distant” areas planned pre-discount purchases averaging only $65.35 per-student.</w:t>
      </w:r>
      <w:r>
        <w:rPr>
          <w:rStyle w:val="FootnoteReference"/>
        </w:rPr>
        <w:footnoteReference w:id="207"/>
      </w:r>
      <w:bookmarkEnd w:id="1463"/>
      <w:r w:rsidR="000627C7">
        <w:t xml:space="preserve"> </w:t>
      </w:r>
    </w:p>
    <w:p w14:paraId="1BAEDE91" w14:textId="5F741BAD" w:rsidR="000627C7" w:rsidRDefault="000627C7">
      <w:pPr>
        <w:pStyle w:val="ParaNum"/>
      </w:pPr>
      <w:r w:rsidRPr="00A27954">
        <w:lastRenderedPageBreak/>
        <w:t xml:space="preserve">In the </w:t>
      </w:r>
      <w:r>
        <w:rPr>
          <w:i/>
        </w:rPr>
        <w:t>E-rate</w:t>
      </w:r>
      <w:r w:rsidRPr="00A27954">
        <w:rPr>
          <w:i/>
        </w:rPr>
        <w:t xml:space="preserve"> Broadband NPRM,</w:t>
      </w:r>
      <w:r w:rsidRPr="00A27954">
        <w:t xml:space="preserve"> the Commission proposed a per-student cap on annual priority two </w:t>
      </w:r>
      <w:r w:rsidR="00C51793">
        <w:t xml:space="preserve">spending </w:t>
      </w:r>
      <w:r w:rsidR="005B1353">
        <w:t xml:space="preserve">for schools </w:t>
      </w:r>
      <w:r w:rsidRPr="00A27954">
        <w:t xml:space="preserve">of $15 </w:t>
      </w:r>
      <w:r w:rsidR="003D5731">
        <w:t>per-student</w:t>
      </w:r>
      <w:r w:rsidRPr="00A27954">
        <w:t xml:space="preserve"> per year.</w:t>
      </w:r>
      <w:r w:rsidR="003A642F">
        <w:rPr>
          <w:rStyle w:val="FootnoteReference"/>
        </w:rPr>
        <w:footnoteReference w:id="208"/>
      </w:r>
      <w:r w:rsidRPr="00A27954">
        <w:t xml:space="preserve">  A $15 </w:t>
      </w:r>
      <w:r w:rsidR="003D5731">
        <w:t>per-student</w:t>
      </w:r>
      <w:r w:rsidRPr="00A27954">
        <w:t xml:space="preserve"> cap would have limited the most disadvantaged schools to 90 percent of $15 in support, or $13.50 </w:t>
      </w:r>
      <w:r w:rsidR="003D5731">
        <w:t>per-student</w:t>
      </w:r>
      <w:r w:rsidRPr="00A27954">
        <w:t xml:space="preserve"> per year</w:t>
      </w:r>
      <w:r w:rsidR="00424348">
        <w:t xml:space="preserve">.  Notably, this amount </w:t>
      </w:r>
      <w:r w:rsidRPr="00A27954">
        <w:t>is less than half the average per</w:t>
      </w:r>
      <w:r w:rsidR="003D5731">
        <w:t xml:space="preserve"> </w:t>
      </w:r>
      <w:r w:rsidRPr="00A27954">
        <w:t>student funding amount for priority two funding over the past five years.</w:t>
      </w:r>
      <w:r w:rsidRPr="00A27954">
        <w:rPr>
          <w:vertAlign w:val="superscript"/>
        </w:rPr>
        <w:footnoteReference w:id="209"/>
      </w:r>
      <w:r w:rsidRPr="00A27954">
        <w:t xml:space="preserve">  </w:t>
      </w:r>
      <w:r w:rsidR="003D5731">
        <w:t>C</w:t>
      </w:r>
      <w:r w:rsidR="003D0E51">
        <w:t>o</w:t>
      </w:r>
      <w:r w:rsidR="003A358F">
        <w:t xml:space="preserve">mmenters </w:t>
      </w:r>
      <w:r w:rsidR="00736ACE">
        <w:t xml:space="preserve">argued that the proposed cap failed to account for a number of </w:t>
      </w:r>
      <w:r w:rsidR="003A358F" w:rsidRPr="00E40350">
        <w:t>factors</w:t>
      </w:r>
      <w:r w:rsidR="003A358F">
        <w:t xml:space="preserve"> that could affect applicants’ needs</w:t>
      </w:r>
      <w:r w:rsidR="003A358F" w:rsidRPr="00BD71F6">
        <w:t>.</w:t>
      </w:r>
      <w:r w:rsidR="003A358F" w:rsidRPr="00BD71F6">
        <w:rPr>
          <w:vertAlign w:val="superscript"/>
        </w:rPr>
        <w:footnoteReference w:id="210"/>
      </w:r>
      <w:r w:rsidRPr="00A27954">
        <w:t xml:space="preserve"> </w:t>
      </w:r>
    </w:p>
    <w:p w14:paraId="1E9D1C19" w14:textId="06E2A61C" w:rsidR="000627C7" w:rsidRDefault="000627C7">
      <w:pPr>
        <w:pStyle w:val="ParaNum"/>
      </w:pPr>
      <w:r w:rsidRPr="00A27954">
        <w:t xml:space="preserve">Having considered the record on that proposal, we now seek comment </w:t>
      </w:r>
      <w:r>
        <w:t xml:space="preserve">on whether we should consider a higher and </w:t>
      </w:r>
      <w:r w:rsidRPr="00A27954">
        <w:t xml:space="preserve">more </w:t>
      </w:r>
      <w:r>
        <w:t xml:space="preserve">flexible </w:t>
      </w:r>
      <w:r w:rsidRPr="00A27954">
        <w:t>per</w:t>
      </w:r>
      <w:r w:rsidR="007E49DD">
        <w:t>-</w:t>
      </w:r>
      <w:r w:rsidRPr="00A27954">
        <w:t xml:space="preserve">student </w:t>
      </w:r>
      <w:r w:rsidR="007E49DD">
        <w:t>limit</w:t>
      </w:r>
      <w:r w:rsidR="00B06574">
        <w:t xml:space="preserve">, </w:t>
      </w:r>
      <w:r>
        <w:t>per</w:t>
      </w:r>
      <w:r w:rsidR="007E49DD">
        <w:t>-</w:t>
      </w:r>
      <w:r>
        <w:t xml:space="preserve">building </w:t>
      </w:r>
      <w:r w:rsidR="007E49DD">
        <w:t>limit</w:t>
      </w:r>
      <w:r w:rsidR="00B06574">
        <w:t xml:space="preserve"> </w:t>
      </w:r>
      <w:r>
        <w:t xml:space="preserve">or </w:t>
      </w:r>
      <w:r w:rsidR="00B06574">
        <w:t xml:space="preserve">alternative </w:t>
      </w:r>
      <w:r>
        <w:t xml:space="preserve">forms of </w:t>
      </w:r>
      <w:r w:rsidR="007E49DD">
        <w:t>limit</w:t>
      </w:r>
      <w:r>
        <w:t>s</w:t>
      </w:r>
      <w:r w:rsidR="00B06574">
        <w:t xml:space="preserve"> </w:t>
      </w:r>
      <w:r w:rsidR="00C3616D">
        <w:t xml:space="preserve">or budget </w:t>
      </w:r>
      <w:r w:rsidR="00B06574">
        <w:t xml:space="preserve">on </w:t>
      </w:r>
      <w:r w:rsidR="007E49DD">
        <w:t xml:space="preserve">an </w:t>
      </w:r>
      <w:r w:rsidR="00B06574">
        <w:t>applicant</w:t>
      </w:r>
      <w:r w:rsidR="007E49DD">
        <w:t>’s</w:t>
      </w:r>
      <w:r w:rsidR="00B06574">
        <w:t xml:space="preserve"> E-rate </w:t>
      </w:r>
      <w:r w:rsidR="00C3616D">
        <w:t>funding</w:t>
      </w:r>
      <w:r w:rsidR="00B06574">
        <w:t>.</w:t>
      </w:r>
      <w:r w:rsidRPr="00A27954">
        <w:t xml:space="preserve">  </w:t>
      </w:r>
      <w:r>
        <w:t>If we adopt a per</w:t>
      </w:r>
      <w:r w:rsidR="007E49DD">
        <w:t>-</w:t>
      </w:r>
      <w:r>
        <w:t xml:space="preserve">student </w:t>
      </w:r>
      <w:r w:rsidR="007E49DD">
        <w:t xml:space="preserve">limit </w:t>
      </w:r>
      <w:r>
        <w:t xml:space="preserve">or other form of </w:t>
      </w:r>
      <w:r w:rsidR="007E49DD">
        <w:t xml:space="preserve">limit </w:t>
      </w:r>
      <w:r>
        <w:t xml:space="preserve">for some or all services, we seek comment on where we might set the </w:t>
      </w:r>
      <w:r w:rsidR="007E49DD">
        <w:t>limit</w:t>
      </w:r>
      <w:r w:rsidR="005138FD">
        <w:t xml:space="preserve">.  Should any </w:t>
      </w:r>
      <w:r w:rsidR="007E49DD">
        <w:t>limits we adopt</w:t>
      </w:r>
      <w:r w:rsidR="005138FD">
        <w:t xml:space="preserve"> include adjustments </w:t>
      </w:r>
      <w:r>
        <w:t xml:space="preserve">to reflect the higher costs faced by applicants in </w:t>
      </w:r>
      <w:r w:rsidR="005138FD">
        <w:t xml:space="preserve">more </w:t>
      </w:r>
      <w:r>
        <w:t>expensive-to-serve locations</w:t>
      </w:r>
      <w:r w:rsidR="00205403">
        <w:t>, such as Tribal lands</w:t>
      </w:r>
      <w:r w:rsidR="005138FD">
        <w:t>?</w:t>
      </w:r>
      <w:r>
        <w:t xml:space="preserve">  </w:t>
      </w:r>
      <w:r w:rsidR="005138FD">
        <w:t xml:space="preserve">Should any such adjustment be based on observed current costs, some relatively simple and reliable proxies for costs, or some other measure?  </w:t>
      </w:r>
      <w:r w:rsidR="00C3616D">
        <w:t>Should</w:t>
      </w:r>
      <w:r w:rsidR="005138FD">
        <w:t xml:space="preserve"> </w:t>
      </w:r>
      <w:r w:rsidR="007E49DD">
        <w:t>limits</w:t>
      </w:r>
      <w:r w:rsidR="005138FD">
        <w:t xml:space="preserve"> be set</w:t>
      </w:r>
      <w:r w:rsidR="00DA571B">
        <w:t xml:space="preserve"> </w:t>
      </w:r>
      <w:r w:rsidR="00C3616D">
        <w:t xml:space="preserve">relatively </w:t>
      </w:r>
      <w:r w:rsidR="00DA571B">
        <w:t xml:space="preserve">high, so as to </w:t>
      </w:r>
      <w:r w:rsidRPr="00A27954">
        <w:t xml:space="preserve">serve as a check on excessive funding requests and help prevent a few applicants from securing so much funding that other disadvantaged applicants are </w:t>
      </w:r>
      <w:r w:rsidR="0089036B">
        <w:t>crowded out, while leaving most applicants unaffected</w:t>
      </w:r>
      <w:r w:rsidR="00736ACE">
        <w:t>?</w:t>
      </w:r>
      <w:r w:rsidR="0089036B">
        <w:t xml:space="preserve">  Alternatively, </w:t>
      </w:r>
      <w:r>
        <w:t xml:space="preserve">should </w:t>
      </w:r>
      <w:r w:rsidR="007E49DD">
        <w:t>limits</w:t>
      </w:r>
      <w:r w:rsidR="00C3616D">
        <w:t xml:space="preserve"> </w:t>
      </w:r>
      <w:r>
        <w:t>be set lower to more aggressively spread funding annually to disadvantaged applicants that have rarely, if ever, received funding for internal connections</w:t>
      </w:r>
      <w:r w:rsidR="00736ACE">
        <w:t>?</w:t>
      </w:r>
      <w:r>
        <w:t xml:space="preserve"> </w:t>
      </w:r>
    </w:p>
    <w:p w14:paraId="0C4BA022" w14:textId="0456B277" w:rsidR="000627C7" w:rsidRPr="00A27954" w:rsidRDefault="000627C7" w:rsidP="001B5EF0">
      <w:pPr>
        <w:pStyle w:val="ParaNum"/>
      </w:pPr>
      <w:r>
        <w:t>W</w:t>
      </w:r>
      <w:r w:rsidRPr="00A27954">
        <w:t xml:space="preserve">e invite commenters to propose </w:t>
      </w:r>
      <w:r w:rsidR="007E49DD">
        <w:t xml:space="preserve">limits </w:t>
      </w:r>
      <w:r>
        <w:t xml:space="preserve">for either total annual funding, pre-discount requests, or </w:t>
      </w:r>
      <w:r w:rsidRPr="00A27954">
        <w:t>for priority one and priority two purchases</w:t>
      </w:r>
      <w:r w:rsidR="00FD62DA">
        <w:t xml:space="preserve"> </w:t>
      </w:r>
      <w:r w:rsidR="00C3616D">
        <w:t>separately</w:t>
      </w:r>
      <w:r w:rsidRPr="00A27954">
        <w:t xml:space="preserve"> and ask commenters to explain their rationale for the </w:t>
      </w:r>
      <w:r w:rsidR="007E49DD">
        <w:t>limits</w:t>
      </w:r>
      <w:r w:rsidRPr="00A27954">
        <w:t xml:space="preserve"> that they recommend.  </w:t>
      </w:r>
      <w:r w:rsidR="0089036B">
        <w:t>We seek particular comment on Funds for Learning’s most recent proposal</w:t>
      </w:r>
      <w:r w:rsidR="005B1353">
        <w:t xml:space="preserve"> calling for a </w:t>
      </w:r>
      <w:r w:rsidR="005B1353" w:rsidRPr="005B1353">
        <w:t>per</w:t>
      </w:r>
      <w:r w:rsidR="00730D67">
        <w:t>-</w:t>
      </w:r>
      <w:r w:rsidR="005B1353" w:rsidRPr="005B1353">
        <w:t xml:space="preserve">student </w:t>
      </w:r>
      <w:r w:rsidR="005B1353">
        <w:t>budget calculation</w:t>
      </w:r>
      <w:r w:rsidR="0089036B">
        <w:t>.</w:t>
      </w:r>
      <w:r w:rsidR="0089036B">
        <w:rPr>
          <w:rStyle w:val="FootnoteReference"/>
        </w:rPr>
        <w:footnoteReference w:id="211"/>
      </w:r>
      <w:r w:rsidR="0089036B">
        <w:t xml:space="preserve">  </w:t>
      </w:r>
      <w:r w:rsidRPr="00A27954">
        <w:t xml:space="preserve">We note that we have </w:t>
      </w:r>
      <w:r w:rsidR="00D2253A">
        <w:t>sought comment on prioritizing</w:t>
      </w:r>
      <w:r w:rsidRPr="00A27954">
        <w:t xml:space="preserve"> broadband</w:t>
      </w:r>
      <w:r w:rsidR="009A27EF">
        <w:t xml:space="preserve"> connectivity to and within schools and libraries</w:t>
      </w:r>
      <w:r w:rsidRPr="00A27954">
        <w:t xml:space="preserve">, which </w:t>
      </w:r>
      <w:r>
        <w:t>could</w:t>
      </w:r>
      <w:r w:rsidR="009A27EF">
        <w:t>, among other changes,</w:t>
      </w:r>
      <w:r w:rsidRPr="00A27954">
        <w:t xml:space="preserve"> raise the per</w:t>
      </w:r>
      <w:r w:rsidR="003D5731">
        <w:t xml:space="preserve"> </w:t>
      </w:r>
      <w:r w:rsidRPr="00A27954">
        <w:t xml:space="preserve">student cost of supported services for those schools and libraries seeking support for </w:t>
      </w:r>
      <w:r w:rsidRPr="00A27954">
        <w:lastRenderedPageBreak/>
        <w:t>large installation and construction costs.</w:t>
      </w:r>
      <w:r w:rsidR="00D2253A">
        <w:rPr>
          <w:rStyle w:val="FootnoteReference"/>
        </w:rPr>
        <w:footnoteReference w:id="212"/>
      </w:r>
      <w:r w:rsidRPr="00A27954">
        <w:t xml:space="preserve">  </w:t>
      </w:r>
      <w:r w:rsidR="009A27EF">
        <w:t>How do we implement this prioritization of broadband connectivity while also instituting any of the potential funding</w:t>
      </w:r>
      <w:r w:rsidR="007E49DD">
        <w:t xml:space="preserve"> limits</w:t>
      </w:r>
      <w:r w:rsidR="009A27EF">
        <w:t xml:space="preserve">?  Should we consider </w:t>
      </w:r>
      <w:r w:rsidRPr="00A27954">
        <w:t>exclud</w:t>
      </w:r>
      <w:r w:rsidR="00DA1E4C">
        <w:t>ing</w:t>
      </w:r>
      <w:r w:rsidRPr="00A27954">
        <w:t xml:space="preserve"> some costs from the </w:t>
      </w:r>
      <w:r w:rsidR="007E49DD">
        <w:t>limit</w:t>
      </w:r>
      <w:r w:rsidRPr="00A27954">
        <w:t>, such as non-recurring installation and construction costs</w:t>
      </w:r>
      <w:r w:rsidR="00DA1E4C">
        <w:t xml:space="preserve">?  Should we instead impose </w:t>
      </w:r>
      <w:r w:rsidRPr="00A27954">
        <w:t>some other cap on costs</w:t>
      </w:r>
      <w:r w:rsidR="00DA1E4C">
        <w:t xml:space="preserve"> related to the higher priority services?</w:t>
      </w:r>
    </w:p>
    <w:p w14:paraId="4C4B02E8" w14:textId="56D808DA" w:rsidR="000627C7" w:rsidRDefault="000627C7" w:rsidP="001B5EF0">
      <w:pPr>
        <w:pStyle w:val="ParaNum"/>
      </w:pPr>
      <w:r w:rsidRPr="00A27954">
        <w:t xml:space="preserve">We realize that anything but </w:t>
      </w:r>
      <w:r w:rsidR="00800293">
        <w:t xml:space="preserve">a </w:t>
      </w:r>
      <w:r w:rsidRPr="00A27954">
        <w:t xml:space="preserve">very high </w:t>
      </w:r>
      <w:r>
        <w:t>per</w:t>
      </w:r>
      <w:r w:rsidR="007E49DD">
        <w:t>-</w:t>
      </w:r>
      <w:r>
        <w:t xml:space="preserve">student </w:t>
      </w:r>
      <w:r w:rsidR="007E49DD">
        <w:t>limit</w:t>
      </w:r>
      <w:r w:rsidRPr="00A27954">
        <w:t xml:space="preserve"> </w:t>
      </w:r>
      <w:r>
        <w:t>could</w:t>
      </w:r>
      <w:r w:rsidRPr="00A27954">
        <w:t xml:space="preserve"> prevent the smallest schools and particularly those in remote areas of the country</w:t>
      </w:r>
      <w:r w:rsidR="00205403">
        <w:t>, such as schools on Tribal lands,</w:t>
      </w:r>
      <w:r w:rsidRPr="00A27954">
        <w:t xml:space="preserve"> from affording supported services.  </w:t>
      </w:r>
      <w:r>
        <w:t>Is this an argument for using per-building caps for certain types of services instead?</w:t>
      </w:r>
      <w:r w:rsidRPr="00A27954">
        <w:t xml:space="preserve"> </w:t>
      </w:r>
      <w:r>
        <w:t xml:space="preserve"> A</w:t>
      </w:r>
      <w:r w:rsidRPr="00A27954">
        <w:t xml:space="preserve">s we did in the </w:t>
      </w:r>
      <w:r>
        <w:rPr>
          <w:i/>
        </w:rPr>
        <w:t>E-rate</w:t>
      </w:r>
      <w:r w:rsidRPr="00A27954">
        <w:rPr>
          <w:i/>
        </w:rPr>
        <w:t xml:space="preserve"> Broadband NPRM</w:t>
      </w:r>
      <w:r w:rsidRPr="00A27954">
        <w:t xml:space="preserve">, we also seek comment on whether there should be a minimum amount of </w:t>
      </w:r>
      <w:r>
        <w:t>E-rate</w:t>
      </w:r>
      <w:r w:rsidRPr="00A27954">
        <w:t xml:space="preserve"> support for which a school, library, or school district is eligible, irrespective of the number of students, and what it should be.  If a minimum amount is established, how should</w:t>
      </w:r>
      <w:r>
        <w:t xml:space="preserve"> we</w:t>
      </w:r>
      <w:r w:rsidRPr="00A27954">
        <w:t xml:space="preserve"> compute that minimum</w:t>
      </w:r>
      <w:r>
        <w:t>?</w:t>
      </w:r>
      <w:r w:rsidRPr="00A27954">
        <w:t xml:space="preserve">  </w:t>
      </w:r>
      <w:r w:rsidR="007E49DD">
        <w:t>S</w:t>
      </w:r>
      <w:r w:rsidR="00A340FC">
        <w:t xml:space="preserve">hould we provide for different limits </w:t>
      </w:r>
      <w:r w:rsidR="007E49DD">
        <w:t xml:space="preserve">depending on the </w:t>
      </w:r>
      <w:r w:rsidR="00A340FC">
        <w:t>number of students at a school or in a</w:t>
      </w:r>
      <w:r w:rsidR="007E49DD">
        <w:t xml:space="preserve"> school district?  If so, what should those limits be?  </w:t>
      </w:r>
      <w:r w:rsidRPr="00A27954">
        <w:t>We also repeat our question about whether a</w:t>
      </w:r>
      <w:r>
        <w:t>ny</w:t>
      </w:r>
      <w:r w:rsidRPr="00A27954">
        <w:t xml:space="preserve"> </w:t>
      </w:r>
      <w:r w:rsidR="007E49DD">
        <w:t>limit s</w:t>
      </w:r>
      <w:r w:rsidRPr="00A27954">
        <w:t xml:space="preserve">hould permit additional funding for rural applicants, either by establishing a higher </w:t>
      </w:r>
      <w:r w:rsidR="007E49DD">
        <w:t>limit</w:t>
      </w:r>
      <w:r w:rsidRPr="00A27954">
        <w:t xml:space="preserve"> for rural applicants or through some other mechanism.  </w:t>
      </w:r>
    </w:p>
    <w:p w14:paraId="74BB4DDA" w14:textId="3B616831" w:rsidR="000627C7" w:rsidRDefault="000627C7" w:rsidP="001B5EF0">
      <w:pPr>
        <w:pStyle w:val="ParaNum"/>
      </w:pPr>
      <w:r w:rsidRPr="00A27954">
        <w:t xml:space="preserve">We also seek comment on how to set caps for libraries if we were to take either approach above for schools.  The </w:t>
      </w:r>
      <w:r w:rsidRPr="00AB168E">
        <w:rPr>
          <w:i/>
        </w:rPr>
        <w:t>E-rate Broadband NPRM</w:t>
      </w:r>
      <w:r w:rsidRPr="00A27954">
        <w:t xml:space="preserve"> suggested that library demand might be capped at the level of the public school district in which they were located, but it also noted that it might be advis</w:t>
      </w:r>
      <w:r w:rsidR="009A27EF">
        <w:t>able to modify that approach.</w:t>
      </w:r>
      <w:r w:rsidR="000E18D8">
        <w:rPr>
          <w:rStyle w:val="FootnoteReference"/>
        </w:rPr>
        <w:footnoteReference w:id="213"/>
      </w:r>
      <w:r w:rsidR="009A27EF">
        <w:t xml:space="preserve">  </w:t>
      </w:r>
      <w:r w:rsidRPr="00A27954">
        <w:t xml:space="preserve">We seek comment on the best way to set caps on </w:t>
      </w:r>
      <w:r>
        <w:t>E-rate</w:t>
      </w:r>
      <w:r w:rsidRPr="00A27954">
        <w:t xml:space="preserve"> support for libraries, whether based on the cap for the closest public school district, the size of their patron population, or some other figure or figures.  </w:t>
      </w:r>
    </w:p>
    <w:p w14:paraId="2011B22F" w14:textId="0D0920F4" w:rsidR="00291D79" w:rsidRDefault="00596A57" w:rsidP="001B5EF0">
      <w:pPr>
        <w:pStyle w:val="ParaNum"/>
      </w:pPr>
      <w:bookmarkStart w:id="1465" w:name="_Ref360207564"/>
      <w:r w:rsidRPr="00A27954">
        <w:t>We are also particularly interested in any examples that commenters can offer of other funding programs</w:t>
      </w:r>
      <w:r>
        <w:t xml:space="preserve"> in the United States or elsewhere</w:t>
      </w:r>
      <w:r w:rsidRPr="00A27954">
        <w:t xml:space="preserve"> that have used analogous per-customer caps effectively in other </w:t>
      </w:r>
      <w:r>
        <w:t>settings</w:t>
      </w:r>
      <w:r w:rsidRPr="00A27954">
        <w:t xml:space="preserve">, for us </w:t>
      </w:r>
      <w:r>
        <w:t xml:space="preserve">to learn what might work best.  </w:t>
      </w:r>
      <w:r w:rsidRPr="00A27954">
        <w:t xml:space="preserve">We also welcome comments pointing us to examples of </w:t>
      </w:r>
      <w:r>
        <w:t>problems</w:t>
      </w:r>
      <w:r w:rsidRPr="00A27954">
        <w:t xml:space="preserve"> with </w:t>
      </w:r>
      <w:r>
        <w:t xml:space="preserve">funding </w:t>
      </w:r>
      <w:r w:rsidRPr="00A27954">
        <w:t>caps</w:t>
      </w:r>
      <w:r>
        <w:t xml:space="preserve"> that have arisen in other programs</w:t>
      </w:r>
      <w:r w:rsidRPr="00A27954">
        <w:t>.</w:t>
      </w:r>
      <w:bookmarkStart w:id="1466" w:name="_Toc359853174"/>
      <w:bookmarkStart w:id="1467" w:name="_Toc359853410"/>
      <w:bookmarkStart w:id="1468" w:name="_Toc359853673"/>
      <w:bookmarkStart w:id="1469" w:name="_Toc359858636"/>
      <w:bookmarkStart w:id="1470" w:name="_Toc359859603"/>
      <w:bookmarkStart w:id="1471" w:name="_Toc359940066"/>
      <w:bookmarkStart w:id="1472" w:name="_Toc360025442"/>
      <w:bookmarkEnd w:id="1465"/>
    </w:p>
    <w:p w14:paraId="3F854643" w14:textId="230E61BB" w:rsidR="006D7813" w:rsidRDefault="00291D79" w:rsidP="001B5EF0">
      <w:pPr>
        <w:pStyle w:val="Heading3"/>
      </w:pPr>
      <w:bookmarkStart w:id="1473" w:name="_Toc360172803"/>
      <w:bookmarkStart w:id="1474" w:name="_Toc360186136"/>
      <w:bookmarkStart w:id="1475" w:name="_Toc360186213"/>
      <w:bookmarkStart w:id="1476" w:name="_Toc360186417"/>
      <w:bookmarkStart w:id="1477" w:name="_Toc360186489"/>
      <w:bookmarkStart w:id="1478" w:name="_Toc360187290"/>
      <w:bookmarkStart w:id="1479" w:name="_Toc360187451"/>
      <w:bookmarkStart w:id="1480" w:name="_Toc360208904"/>
      <w:bookmarkStart w:id="1481" w:name="_Toc360212037"/>
      <w:bookmarkStart w:id="1482" w:name="_Toc361663107"/>
      <w:bookmarkStart w:id="1483" w:name="_Toc361857685"/>
      <w:bookmarkStart w:id="1484" w:name="_Toc361918777"/>
      <w:bookmarkStart w:id="1485" w:name="_Toc362272553"/>
      <w:r>
        <w:t xml:space="preserve">More Equitable Access to </w:t>
      </w:r>
      <w:r w:rsidR="003C5DB2">
        <w:t>Fun</w:t>
      </w:r>
      <w:r>
        <w:t>ding</w:t>
      </w:r>
      <w:bookmarkEnd w:id="1473"/>
      <w:r w:rsidR="003C5DB2">
        <w:t xml:space="preserve"> for Internal Broadband Connections</w:t>
      </w:r>
      <w:bookmarkStart w:id="1486" w:name="_Toc360186137"/>
      <w:bookmarkStart w:id="1487" w:name="_Toc360186214"/>
      <w:bookmarkStart w:id="1488" w:name="_Toc360186418"/>
      <w:bookmarkStart w:id="1489" w:name="_Toc360186490"/>
      <w:bookmarkStart w:id="1490" w:name="_Toc360187291"/>
      <w:bookmarkStart w:id="1491" w:name="_Toc360187452"/>
      <w:bookmarkStart w:id="1492" w:name="_Toc360186138"/>
      <w:bookmarkStart w:id="1493" w:name="_Toc360186215"/>
      <w:bookmarkStart w:id="1494" w:name="_Toc360186419"/>
      <w:bookmarkStart w:id="1495" w:name="_Toc360186491"/>
      <w:bookmarkStart w:id="1496" w:name="_Toc360187292"/>
      <w:bookmarkStart w:id="1497" w:name="_Toc36018745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p>
    <w:p w14:paraId="00F10C21" w14:textId="77777777" w:rsidR="006D7813" w:rsidRDefault="006D7813" w:rsidP="001B5EF0">
      <w:pPr>
        <w:pStyle w:val="ParaNum"/>
      </w:pPr>
      <w:r>
        <w:t xml:space="preserve">As described above, internal connections are needed to make effective use of high-capacity connectivity to schools.  </w:t>
      </w:r>
      <w:r>
        <w:lastRenderedPageBreak/>
        <w:t>High bandwidth connectivity to a school or library serves little purpose if students and patrons inside are not able to use it effectively because internal wired and wireless connections are missing or insufficient.  Yet today, few schools are able to receive support for internal connections.  Indeed some commenters have argued that lack of internal connections funding – due to increasing restrictions on the availability of priority two support –have become a barrier to adoption of higher speed connections for many schools and libraries.</w:t>
      </w:r>
      <w:r>
        <w:rPr>
          <w:rStyle w:val="FootnoteReference"/>
        </w:rPr>
        <w:footnoteReference w:id="214"/>
      </w:r>
      <w:r>
        <w:t xml:space="preserve">  In this section we seek comment on how to increase access to funding for internal connections.</w:t>
      </w:r>
    </w:p>
    <w:p w14:paraId="3A6AF806" w14:textId="00816115" w:rsidR="006D7813" w:rsidRDefault="00B15275" w:rsidP="001B5EF0">
      <w:pPr>
        <w:pStyle w:val="ParaNum"/>
      </w:pPr>
      <w:r>
        <w:t xml:space="preserve">In order to provide more equitable access to priority two funding, </w:t>
      </w:r>
      <w:r w:rsidR="0037799F">
        <w:t>i</w:t>
      </w:r>
      <w:r w:rsidR="006D7813">
        <w:t>n 2003 the Commission adopted a rule limiting each eligible entity’s discounts receipt of discounts on internal connections to twice every five funding years (commonly referred to as the two-in-five rule).</w:t>
      </w:r>
      <w:r w:rsidR="006D7813">
        <w:rPr>
          <w:rStyle w:val="FootnoteReference"/>
        </w:rPr>
        <w:footnoteReference w:id="215"/>
      </w:r>
      <w:r w:rsidR="006D7813">
        <w:t xml:space="preserve">  However, because requests for priority two funding exceed the E-rate funding cap, there is wide-spread agreement that a relatively small number of applicants, those that qualify for the highest discount rates, </w:t>
      </w:r>
      <w:r w:rsidR="001A58C6">
        <w:t>receive</w:t>
      </w:r>
      <w:r w:rsidR="006D7813">
        <w:t xml:space="preserve"> priority </w:t>
      </w:r>
      <w:r w:rsidR="001A58C6">
        <w:t xml:space="preserve">two </w:t>
      </w:r>
      <w:r w:rsidR="006D7813">
        <w:t xml:space="preserve">funding over and over again, while other applicants seldom qualify for priority two funding.  </w:t>
      </w:r>
      <w:r w:rsidR="001A58C6">
        <w:t>Therefore, w</w:t>
      </w:r>
      <w:r w:rsidR="006D7813">
        <w:t>e seek comment on whether we should revise or rescind the two-in-five rule, and if so, what we should replace it with.</w:t>
      </w:r>
    </w:p>
    <w:p w14:paraId="34B9D433" w14:textId="09CF9A02" w:rsidR="006D7813" w:rsidRDefault="006D7813" w:rsidP="006D7813">
      <w:pPr>
        <w:pStyle w:val="ParaNum"/>
      </w:pPr>
      <w:r>
        <w:t>SECA recently suggested that the Commission rescind the two-in-five rule.</w:t>
      </w:r>
      <w:r>
        <w:rPr>
          <w:rStyle w:val="FootnoteReference"/>
        </w:rPr>
        <w:footnoteReference w:id="216"/>
      </w:r>
      <w:r>
        <w:t xml:space="preserve">  </w:t>
      </w:r>
      <w:r w:rsidR="00E33C93">
        <w:t xml:space="preserve">Instead of using the two-in-five rule, </w:t>
      </w:r>
      <w:r>
        <w:t>SECA suggested that the Commission allow all applicants to receive funding on a rolling funding cycle.</w:t>
      </w:r>
      <w:r>
        <w:rPr>
          <w:rStyle w:val="FootnoteReference"/>
        </w:rPr>
        <w:footnoteReference w:id="217"/>
      </w:r>
      <w:r>
        <w:t xml:space="preserve">  Under SECA’s proposal, a different set of applicants would be eligible for priority two funding every year, until all applicants have been eligible for some priority two funding and then the cycle would start again.</w:t>
      </w:r>
      <w:r>
        <w:rPr>
          <w:rStyle w:val="FootnoteReference"/>
        </w:rPr>
        <w:footnoteReference w:id="218"/>
      </w:r>
      <w:r>
        <w:t xml:space="preserve">  The benefit to the SECA approach is that it ensures all E-rate applicants have access to some priority two funding over time.  If we continue to prioritize funding for some services over others, we seek comment on the approach offered by SECA.  </w:t>
      </w:r>
    </w:p>
    <w:p w14:paraId="035AF020" w14:textId="499DEB71" w:rsidR="00C51793" w:rsidRDefault="00C51793">
      <w:pPr>
        <w:pStyle w:val="ParaNum"/>
      </w:pPr>
      <w:r>
        <w:rPr>
          <w:i/>
        </w:rPr>
        <w:t xml:space="preserve">Eliminating the distinction between priority one and priority two.  </w:t>
      </w:r>
      <w:r w:rsidR="0037799F">
        <w:t>Other commenters appear to support</w:t>
      </w:r>
      <w:r w:rsidR="0037799F" w:rsidRPr="003D0E51">
        <w:t xml:space="preserve"> </w:t>
      </w:r>
      <w:r w:rsidR="0037799F">
        <w:t xml:space="preserve">replacing the </w:t>
      </w:r>
      <w:r w:rsidR="0037799F">
        <w:lastRenderedPageBreak/>
        <w:t>current prioritization system with a “whole networks” approach, under which connectivity to schools and internal connections are funded together and all eligible services are given equal priority.</w:t>
      </w:r>
      <w:r w:rsidR="0037799F">
        <w:rPr>
          <w:rStyle w:val="FootnoteReference"/>
        </w:rPr>
        <w:footnoteReference w:id="219"/>
      </w:r>
      <w:r w:rsidR="0037799F">
        <w:t xml:space="preserve">  Commenters argue that this approach would give schools the flexibility to focus E-rate funding on those portions of their network where upgrades are most needed -- whether connection to the schools or internal connections.  It could also eliminate incentives for vendors to re-characterize priority two services as priority one, or for schools to purchase more expensive priority</w:t>
      </w:r>
      <w:r w:rsidR="00D711CC">
        <w:t xml:space="preserve"> </w:t>
      </w:r>
      <w:r w:rsidR="0037799F">
        <w:t xml:space="preserve">one services – like cellular data connections– in lieu of cheaper priority two services, like internal wireless connections.  </w:t>
      </w:r>
    </w:p>
    <w:p w14:paraId="18496979" w14:textId="7FD3F0FE" w:rsidR="003D0E51" w:rsidRDefault="00C51793">
      <w:pPr>
        <w:pStyle w:val="ParaNum"/>
      </w:pPr>
      <w:r>
        <w:t>We therefore seek comment on whether we should more fundamentally shift the way we prioritize E-rate support by eliminating the distinction between priority one and priority two services.  Under this approach we would instead allow schools and libraries to choose from one consolidated menu of services</w:t>
      </w:r>
      <w:r w:rsidR="00A94CD4">
        <w:t>.</w:t>
      </w:r>
      <w:r>
        <w:t xml:space="preserve">  Would this approach allow more schools access to funding for internal connections?  Would this additional flexibility be beneficial?  If we instituted this proposal, how should we determine the amount of support that eac</w:t>
      </w:r>
      <w:r w:rsidR="00AB45B1">
        <w:t xml:space="preserve">h school or library receives?  </w:t>
      </w:r>
      <w:r w:rsidR="00F279C1">
        <w:t>And i</w:t>
      </w:r>
      <w:r w:rsidR="0037799F">
        <w:t>f we took such an approach, how would we prioritize among funding requests to the extent they exceeded the funding cap?  Would such an approach necessarily require a per-student or per-building limit, or other form of budget for individual applicants, as discussed above?</w:t>
      </w:r>
      <w:r w:rsidR="0037799F">
        <w:rPr>
          <w:rStyle w:val="FootnoteReference"/>
        </w:rPr>
        <w:footnoteReference w:id="220"/>
      </w:r>
      <w:bookmarkStart w:id="1498" w:name="_Ref360206367"/>
    </w:p>
    <w:p w14:paraId="31F64B89" w14:textId="50BC8C14" w:rsidR="00C51793" w:rsidRDefault="00C51793">
      <w:pPr>
        <w:pStyle w:val="ParaNum"/>
      </w:pPr>
      <w:r>
        <w:t>Are there other changes we should make to the prioritization of services?  For example, instead of consolidating the two existing priority levels should we create more priority levels than currently exist?  If so, what should be in the various categories and how should we transition services between the current priority levels and any new ones?  Are there any other approaches we should consider?</w:t>
      </w:r>
    </w:p>
    <w:p w14:paraId="49E6C305" w14:textId="77777777" w:rsidR="00C51793" w:rsidRDefault="00C51793" w:rsidP="00C51793">
      <w:pPr>
        <w:pStyle w:val="Heading3"/>
      </w:pPr>
      <w:bookmarkStart w:id="1499" w:name="_Toc362272554"/>
      <w:r>
        <w:t>Simplified Allocation of Funds to All Schools and Libraries</w:t>
      </w:r>
      <w:bookmarkEnd w:id="1499"/>
    </w:p>
    <w:p w14:paraId="34D48470" w14:textId="293FBB01" w:rsidR="00C51793" w:rsidRDefault="00C51793" w:rsidP="00490FCE">
      <w:pPr>
        <w:pStyle w:val="ParaNum"/>
      </w:pPr>
      <w:r>
        <w:t>In this section, we seek comment on a more fundamental approach to changing the distribution of E-rate funding.  Under this approach, we would eliminate the discount matrix and the priority system</w:t>
      </w:r>
      <w:r w:rsidR="00CF7A75">
        <w:t>;</w:t>
      </w:r>
      <w:r>
        <w:rPr>
          <w:rStyle w:val="FootnoteReference"/>
        </w:rPr>
        <w:footnoteReference w:id="221"/>
      </w:r>
      <w:r w:rsidR="00CF7A75">
        <w:t xml:space="preserve"> </w:t>
      </w:r>
      <w:r>
        <w:t xml:space="preserve">instead, each eligible applicant would receive a fixed budget at the beginning of the funding year to spend on </w:t>
      </w:r>
      <w:r>
        <w:lastRenderedPageBreak/>
        <w:t>any eligible services of their choosing.  In contrast to the existing system, whether or not a school or library receives funding would be determined at the beginning of the funding year; thus applicants could know the amount of funding available before committing to any particular project.  We seek comment on this approach.  We seek comment on the costs and benefits of this approach, how this approach would impact other proposals we have discussed herein, and whether it would further our proposed goals.</w:t>
      </w:r>
    </w:p>
    <w:p w14:paraId="57E98C8F" w14:textId="4266AEFB" w:rsidR="00C51793" w:rsidRDefault="00C51793" w:rsidP="00C51793">
      <w:pPr>
        <w:pStyle w:val="ParaNum"/>
      </w:pPr>
      <w:r>
        <w:t>If we adopted the simplified-allocation approach, we seek comment on how we should allocate such funds among eligible applicants.  One method of allocating funding to schools would be to allocate funds to each school (or school district) on a per-student basis.  Rural schools facing higher costs and schools serving low-income areas or student populations would receive additional funding for each student.  Thus</w:t>
      </w:r>
      <w:r w:rsidR="00CF7A75">
        <w:t>,</w:t>
      </w:r>
      <w:r>
        <w:t xml:space="preserve"> a school serving a rural area might receive twice as much per student as a school serving an urban area, or a school located in an area with high poverty might receive twice as much per student.</w:t>
      </w:r>
    </w:p>
    <w:p w14:paraId="35C23BEB" w14:textId="77777777" w:rsidR="00C51793" w:rsidRDefault="00C51793" w:rsidP="00C51793">
      <w:pPr>
        <w:pStyle w:val="ParaNum"/>
      </w:pPr>
      <w:r>
        <w:t>If we were to adopt a per-student allocation system, how much additional funding per student should rural schools receive?  How much additional funding for schools serving low-income populations?  Should these determinations be done on a bright-line basis (</w:t>
      </w:r>
      <w:r w:rsidRPr="00DE4564">
        <w:rPr>
          <w:i/>
        </w:rPr>
        <w:t>e.g.</w:t>
      </w:r>
      <w:r>
        <w:t>, areas with poverty rates of more than 15 percent be classified “low-income” and those with less than 15 percent poverty “high-income”) or should we use a sliding scale (such as adjusting funding based on median household income, poverty rate, or some similar metric)?  Should there be additional allocations for schools in remote areas (such as schools in the northern villages of Alaska)?  If so, what criteria should we use for determining which schools should be eligible for additional allocations?  Should there be a minimum funding level (a floor) or a baseline funding amount for all schools?</w:t>
      </w:r>
      <w:r>
        <w:rPr>
          <w:rStyle w:val="FootnoteReference"/>
        </w:rPr>
        <w:footnoteReference w:id="222"/>
      </w:r>
      <w:r>
        <w:t xml:space="preserve">  We also ask that commenters explain how this approach and any modifications they offer would affect schools’ and libraries’ ability to purchase the E-rate supported services they currently receive, those they receive no discount for today under the priority system, and those they are likely to need in the future in order to meet our proposed goals for the E-rate program.</w:t>
      </w:r>
    </w:p>
    <w:p w14:paraId="77816469" w14:textId="77777777" w:rsidR="00C51793" w:rsidRDefault="00C51793" w:rsidP="00C51793">
      <w:pPr>
        <w:pStyle w:val="ParaNum"/>
      </w:pPr>
      <w:r>
        <w:t xml:space="preserve">Under this system, how should the Commission allocate funds among libraries?  For example, could we look at the number of patrons served by a library or the population it serves?  </w:t>
      </w:r>
      <w:r>
        <w:lastRenderedPageBreak/>
        <w:t>Should we adjust the funding for libraries based on whether they are located in a rural or extremely remote area?  Should we adjust the funding to reflect the wealth of the surrounding population?  How do libraries determine the area they serve, and how could we adjust the allocation methodology to reflect the unique needs of libraries?  Should we consider a per-building funding amount for libraries?  We also ask commenters to explain the impact of this approach, and of any modifications they offer, to libraries’ ability to meet their connectivity needs.</w:t>
      </w:r>
    </w:p>
    <w:p w14:paraId="39F5F945" w14:textId="0CF5ECCF" w:rsidR="00C51793" w:rsidRDefault="00C51793" w:rsidP="00C51793">
      <w:pPr>
        <w:pStyle w:val="ParaNum"/>
      </w:pPr>
      <w:r>
        <w:t xml:space="preserve">We also seek comment on how to allocate funding between schools and libraries.  For example, should we look at the past allocation of distributed funds and reserve a similar proportion of the </w:t>
      </w:r>
      <w:r w:rsidR="007B3F33">
        <w:t xml:space="preserve">Fund </w:t>
      </w:r>
      <w:r>
        <w:t>for each group separately?  Would allocating 90 percent of E-rate funding each year to schools and ten percent to libraries be a fair appraisal of historical spending patterns (or future spending needs)?</w:t>
      </w:r>
    </w:p>
    <w:p w14:paraId="2C689FEA" w14:textId="77777777" w:rsidR="00C51793" w:rsidRDefault="00C51793" w:rsidP="00490FCE">
      <w:pPr>
        <w:pStyle w:val="ParaNum"/>
      </w:pPr>
      <w:r>
        <w:t>We also seek comment on how the simplified-allocation approach might impact group applicants, including school districts and consortia.  For example, under this approach, should school districts be required to report the number of students at each school or could the school district simply report the total number of students in the district?  If the latter, how should we calculate the per-student allocation, on a school-by-school basis or using some district-wide averaging?  How do we ensure that all schools in a district or a consortia benefit from E-rate support?  Would the fact that vendors know the budget of each school, school district, or consortium impact the ability of districts and consortia to drive down prices by aggregating demand?</w:t>
      </w:r>
    </w:p>
    <w:p w14:paraId="44CB914D" w14:textId="77777777" w:rsidR="00C51793" w:rsidRDefault="00C51793" w:rsidP="00C51793">
      <w:pPr>
        <w:pStyle w:val="ParaNum"/>
      </w:pPr>
      <w:r>
        <w:t>In turn, how might this proposal impact consortia?  Today, funding for priority two services is determined in part by the student-weighted average discount-level of consortium applicants.  Does that system impact priority two requests, given that a lower discount might prevent a consortium from receiving any funding at all?  Under the simplified-allocation approach, each school or library in a consortium could know up front the number of E-rate dollars it can bring to the table, and each consortium could prioritize its spending as it sees fit.  Would that knowledge aid or inhibit the formation of consortia?</w:t>
      </w:r>
    </w:p>
    <w:p w14:paraId="509200C7" w14:textId="77777777" w:rsidR="00C51793" w:rsidRDefault="00C51793" w:rsidP="00C51793">
      <w:pPr>
        <w:pStyle w:val="ParaNum"/>
      </w:pPr>
      <w:r>
        <w:t xml:space="preserve">If we adopted the simplified-allocation approach, what sort of matching requirements should we include to ensure that applicants spend E-rate funds prudently?  As discussed above, just last year the Commission found that requiring recipients of Healthcare Connect funds to contribute 35 percent of the costs of services gave applicants a strong incentive to control the total costs of the supported services and “appropriately </w:t>
      </w:r>
      <w:r>
        <w:lastRenderedPageBreak/>
        <w:t>balances the objections of enhancing access to advanced telecommunications and information services with ensuring fiscal responsibility and maximizing the efficiency of the program.”</w:t>
      </w:r>
      <w:r>
        <w:rPr>
          <w:rStyle w:val="FootnoteReference"/>
        </w:rPr>
        <w:footnoteReference w:id="223"/>
      </w:r>
      <w:r>
        <w:t xml:space="preserve">  Could a lower matching funds requirement, such as requiring E-rate applicants to pay one dollar for every three E-rate dollars they receive, serve the same purposes for schools and libraries that depend on the E-rate program?  Would such a requirement deter wasteful spending?  Would a flat 25 percent matching requirement give applicants sufficient incentive to control the costs of supported services?  Would the fact that they have a specific budget encourage some applicants to spend more money than they might otherwise, or would a specific budget aid schools in long-term planning and prudent spending?  How would a flat 25 percent matching requirement impact schools’ and libraries’ ability to afford high-capacity broadband given that current contribution requirements range from 10 percent to 80 percent?  Would it impose a hardship on certain schools, such as schools with few resources and facing extreme costs?  If so, should there be an alternative matching requirement for such schools and under what circumstances?</w:t>
      </w:r>
    </w:p>
    <w:p w14:paraId="0C34A8EA" w14:textId="77777777" w:rsidR="00C51793" w:rsidRDefault="00C51793" w:rsidP="00C51793">
      <w:pPr>
        <w:pStyle w:val="ParaNum"/>
      </w:pPr>
      <w:r>
        <w:t>We seek comment on the relative fairness to recipients of this approach versus the current system or other options we seek comment on in this Notice.  We seek comment on whether, under this approach, recipients would benefit from a more stable, and predictable level of support from year to year.  Would such stability aid in long-term planning?  We also seek comment on whether there are ways to implement this approach that would ensure that poor, rural schools and libraries that do not currently have access to high-capacity services get them.</w:t>
      </w:r>
    </w:p>
    <w:p w14:paraId="5B40CB95" w14:textId="0322A27B" w:rsidR="00C51793" w:rsidRDefault="00C51793" w:rsidP="00C51793">
      <w:pPr>
        <w:pStyle w:val="ParaNum"/>
      </w:pPr>
      <w:r>
        <w:t>Would the simplified-allocation proposal give local schools and libraries additional flexibility to meet their diverse needs, allowing some to prioritize higher-capacity circuits and others to prioritize connecting classrooms or deploying Wi-Fi?</w:t>
      </w:r>
      <w:bookmarkStart w:id="1500" w:name="_Ref362264613"/>
      <w:r w:rsidR="003A05F5">
        <w:rPr>
          <w:rStyle w:val="FootnoteReference"/>
        </w:rPr>
        <w:footnoteReference w:id="224"/>
      </w:r>
      <w:bookmarkEnd w:id="1500"/>
      <w:r>
        <w:t xml:space="preserve">  For example, could we retain support for basic maintenance and other services since funding availability will no longer depend on the specific services ordered by other schools and libraries?</w:t>
      </w:r>
    </w:p>
    <w:p w14:paraId="5FCF0445" w14:textId="35443B24" w:rsidR="00C51793" w:rsidRDefault="00C51793" w:rsidP="00C51793">
      <w:pPr>
        <w:pStyle w:val="ParaNum"/>
      </w:pPr>
      <w:r>
        <w:t>One of the proposed goals is streamlining the administration of the E-</w:t>
      </w:r>
      <w:r w:rsidR="00DC3997">
        <w:t>r</w:t>
      </w:r>
      <w:r>
        <w:t xml:space="preserve">ate program.  We seek comment on whether adopting the simplified-allocation approach would further that goal or hinder it.  For example, could we consider eliminating all or portions of our competitive bidding rules, </w:t>
      </w:r>
      <w:r>
        <w:lastRenderedPageBreak/>
        <w:t>and if so which ones?  Under this approach, would schools and libraries’ incentives to watch over their E-rate funds increase sufficiently to allow us to eliminate the 28-day waiting period?  Should we eliminate the price</w:t>
      </w:r>
      <w:r w:rsidR="006757A8">
        <w:t xml:space="preserve"> </w:t>
      </w:r>
      <w:r>
        <w:t>as</w:t>
      </w:r>
      <w:r w:rsidR="006757A8">
        <w:t xml:space="preserve"> </w:t>
      </w:r>
      <w:r>
        <w:t>the</w:t>
      </w:r>
      <w:r w:rsidR="006757A8">
        <w:t xml:space="preserve"> </w:t>
      </w:r>
      <w:r>
        <w:t>primary</w:t>
      </w:r>
      <w:r w:rsidR="006757A8">
        <w:t xml:space="preserve"> </w:t>
      </w:r>
      <w:r>
        <w:t xml:space="preserve">factor requirement for competitive bidding?  If we eliminate some or all of our competitive bidding requirements, should we continue to require applicants to conduct fair and open competitive bidding processes?  How should we and USAC determine whether applicants’ processes have been conducted in an open and </w:t>
      </w:r>
      <w:r w:rsidR="006757A8">
        <w:t xml:space="preserve">fair </w:t>
      </w:r>
      <w:r>
        <w:t>competitive manner?  How can we best protect against waste, fraud and abuse under the simplified-allocation approach?</w:t>
      </w:r>
    </w:p>
    <w:p w14:paraId="23E3AF8C" w14:textId="77777777" w:rsidR="00C51793" w:rsidRDefault="00C51793" w:rsidP="00C51793">
      <w:pPr>
        <w:pStyle w:val="ParaNum"/>
      </w:pPr>
      <w:r>
        <w:t>We also seek comment on other administrative issues under the alternative funding approach.  Should we eliminate FCC Forms 470 and 471 and replace them with a single-page form that requires the school or library to identify contact information, certify compliance with federal rules, and certify the number of students/patrons served?  Would that initial application need to be filed several months before the start of the funding year (as FCC Forms 470 and 471 are today), or could the initial application be filed after the funding year begins?  Could we eliminate the requirement that applicants for internal connections funding file technology plans?  Could USAC bear a greater part of the burden of calculating funding amounts for applicants to simplify the process for them?  If so, after that initial application, USAC could provide the school with the total amount of funding available in a commitment letter and the school would have the flexibility to spend that funding on any eligible service.  Are there other forms, deadlines, or requirements, such as the technology plan and technology-plan-review process, that we could eliminate?  To actually receive money, could a school submit invoices or other proof that it has paid and received particular services?  Would this approach reduce the time between funding commitments and disbursements?  Why or why not, and by how much?</w:t>
      </w:r>
    </w:p>
    <w:p w14:paraId="70D25796" w14:textId="77777777" w:rsidR="00C51793" w:rsidRPr="00AD78C9" w:rsidRDefault="00C51793" w:rsidP="00C51793">
      <w:pPr>
        <w:pStyle w:val="ParaNum"/>
      </w:pPr>
      <w:r>
        <w:t xml:space="preserve">What sort of reporting requirements would work best under this proposal?  How can we best ascertain that applicants actually purchased supported services and that they are being properly used?  Should we, for example, </w:t>
      </w:r>
      <w:r>
        <w:rPr>
          <w:szCs w:val="22"/>
        </w:rPr>
        <w:t>require a school district superintendent or school principal to certify under oath that all supported services are being used to benefit students.  Would such a certification make sense at the beginning of the E-rate funding process (such as on FCC Form 471) or at its end (such as on FCC Form 486)?  Should libraries be subject to a similar certification requirement?  For example, should libraries be required to certify that E-rate funds are being used to benefit their patrons?  Would the head librarian be the appropriate representative for such a certification?</w:t>
      </w:r>
    </w:p>
    <w:p w14:paraId="5E6FCDFB" w14:textId="50770B81" w:rsidR="00C51793" w:rsidRDefault="00C51793" w:rsidP="00C51793">
      <w:pPr>
        <w:pStyle w:val="ParaNum"/>
      </w:pPr>
      <w:r>
        <w:lastRenderedPageBreak/>
        <w:t>If we adopted this approach, how could we phase it in over time to give applicants time to adjust?  Or would this approach require sufficiently fundamental changes in the program that a flash cut would be required?</w:t>
      </w:r>
    </w:p>
    <w:p w14:paraId="236DF545" w14:textId="53E2B440" w:rsidR="000627C7" w:rsidRPr="00C64546" w:rsidRDefault="000627C7" w:rsidP="00B9652C">
      <w:pPr>
        <w:pStyle w:val="Heading2"/>
      </w:pPr>
      <w:bookmarkStart w:id="1501" w:name="_Toc360186139"/>
      <w:bookmarkStart w:id="1502" w:name="_Toc360186216"/>
      <w:bookmarkStart w:id="1503" w:name="_Toc360186420"/>
      <w:bookmarkStart w:id="1504" w:name="_Toc360186492"/>
      <w:bookmarkStart w:id="1505" w:name="_Toc360187293"/>
      <w:bookmarkStart w:id="1506" w:name="_Toc360187454"/>
      <w:bookmarkStart w:id="1507" w:name="_Toc360186140"/>
      <w:bookmarkStart w:id="1508" w:name="_Toc360186217"/>
      <w:bookmarkStart w:id="1509" w:name="_Toc360186421"/>
      <w:bookmarkStart w:id="1510" w:name="_Toc360186493"/>
      <w:bookmarkStart w:id="1511" w:name="_Toc360187294"/>
      <w:bookmarkStart w:id="1512" w:name="_Toc360187455"/>
      <w:bookmarkStart w:id="1513" w:name="_Toc358976158"/>
      <w:bookmarkStart w:id="1514" w:name="_Toc358981013"/>
      <w:bookmarkStart w:id="1515" w:name="_Toc358981129"/>
      <w:bookmarkStart w:id="1516" w:name="_Toc351647150"/>
      <w:bookmarkStart w:id="1517" w:name="_Toc352064545"/>
      <w:bookmarkStart w:id="1518" w:name="_Toc352078326"/>
      <w:bookmarkStart w:id="1519" w:name="_Toc352078378"/>
      <w:bookmarkStart w:id="1520" w:name="_Toc352078440"/>
      <w:bookmarkStart w:id="1521" w:name="_Toc352079032"/>
      <w:bookmarkStart w:id="1522" w:name="_Toc352080393"/>
      <w:bookmarkStart w:id="1523" w:name="_Toc352139776"/>
      <w:bookmarkStart w:id="1524" w:name="_Toc354478079"/>
      <w:bookmarkStart w:id="1525" w:name="_Toc354478701"/>
      <w:bookmarkStart w:id="1526" w:name="_Toc354660717"/>
      <w:bookmarkStart w:id="1527" w:name="_Toc358208798"/>
      <w:bookmarkStart w:id="1528" w:name="_Toc358210297"/>
      <w:bookmarkStart w:id="1529" w:name="_Toc358210444"/>
      <w:bookmarkStart w:id="1530" w:name="_Toc358210622"/>
      <w:bookmarkStart w:id="1531" w:name="_Toc358210723"/>
      <w:bookmarkStart w:id="1532" w:name="_Toc358213657"/>
      <w:bookmarkStart w:id="1533" w:name="_Toc358213789"/>
      <w:bookmarkStart w:id="1534" w:name="_Toc358301284"/>
      <w:bookmarkStart w:id="1535" w:name="_Toc358720030"/>
      <w:bookmarkStart w:id="1536" w:name="_Toc358971256"/>
      <w:bookmarkStart w:id="1537" w:name="_Toc358974857"/>
      <w:bookmarkStart w:id="1538" w:name="_Toc358975755"/>
      <w:bookmarkStart w:id="1539" w:name="_Toc358975917"/>
      <w:bookmarkStart w:id="1540" w:name="_Toc358982393"/>
      <w:bookmarkStart w:id="1541" w:name="_Toc358982483"/>
      <w:bookmarkStart w:id="1542" w:name="_Toc359239265"/>
      <w:bookmarkStart w:id="1543" w:name="_Toc359239322"/>
      <w:bookmarkStart w:id="1544" w:name="_Toc359252281"/>
      <w:bookmarkStart w:id="1545" w:name="_Toc359326030"/>
      <w:bookmarkStart w:id="1546" w:name="_Toc359333278"/>
      <w:bookmarkStart w:id="1547" w:name="_Toc359339932"/>
      <w:bookmarkStart w:id="1548" w:name="_Toc359343196"/>
      <w:bookmarkStart w:id="1549" w:name="_Toc359347005"/>
      <w:bookmarkStart w:id="1550" w:name="_Toc359598694"/>
      <w:bookmarkStart w:id="1551" w:name="_Toc359853175"/>
      <w:bookmarkStart w:id="1552" w:name="_Toc359853411"/>
      <w:bookmarkStart w:id="1553" w:name="_Toc359853674"/>
      <w:bookmarkStart w:id="1554" w:name="_Toc359858637"/>
      <w:bookmarkStart w:id="1555" w:name="_Toc359859604"/>
      <w:bookmarkStart w:id="1556" w:name="_Toc359940067"/>
      <w:bookmarkStart w:id="1557" w:name="_Toc360025443"/>
      <w:bookmarkStart w:id="1558" w:name="_Toc360107495"/>
      <w:bookmarkStart w:id="1559" w:name="_Toc360111619"/>
      <w:bookmarkStart w:id="1560" w:name="_Toc360172804"/>
      <w:bookmarkStart w:id="1561" w:name="_Toc360186141"/>
      <w:bookmarkStart w:id="1562" w:name="_Toc360186218"/>
      <w:bookmarkStart w:id="1563" w:name="_Toc360186422"/>
      <w:bookmarkStart w:id="1564" w:name="_Toc360186494"/>
      <w:bookmarkStart w:id="1565" w:name="_Toc360187295"/>
      <w:bookmarkStart w:id="1566" w:name="_Toc360187456"/>
      <w:bookmarkStart w:id="1567" w:name="_Toc360208905"/>
      <w:bookmarkStart w:id="1568" w:name="_Toc360212038"/>
      <w:bookmarkStart w:id="1569" w:name="_Toc361663108"/>
      <w:bookmarkStart w:id="1570" w:name="_Toc361857686"/>
      <w:bookmarkStart w:id="1571" w:name="_Toc361918778"/>
      <w:bookmarkStart w:id="1572" w:name="_Toc362272555"/>
      <w:bookmarkEnd w:id="1466"/>
      <w:bookmarkEnd w:id="1467"/>
      <w:bookmarkEnd w:id="1468"/>
      <w:bookmarkEnd w:id="1469"/>
      <w:bookmarkEnd w:id="1470"/>
      <w:bookmarkEnd w:id="1471"/>
      <w:bookmarkEnd w:id="1472"/>
      <w:bookmarkEnd w:id="1498"/>
      <w:bookmarkEnd w:id="1501"/>
      <w:bookmarkEnd w:id="1502"/>
      <w:bookmarkEnd w:id="1503"/>
      <w:bookmarkEnd w:id="1504"/>
      <w:bookmarkEnd w:id="1505"/>
      <w:bookmarkEnd w:id="1506"/>
      <w:bookmarkEnd w:id="1507"/>
      <w:bookmarkEnd w:id="1508"/>
      <w:bookmarkEnd w:id="1509"/>
      <w:bookmarkEnd w:id="1510"/>
      <w:bookmarkEnd w:id="1511"/>
      <w:bookmarkEnd w:id="1512"/>
      <w:r>
        <w:t>L</w:t>
      </w:r>
      <w:r w:rsidRPr="002D7933">
        <w:t>ower</w:t>
      </w:r>
      <w:r w:rsidR="00E4308D">
        <w:t>ing</w:t>
      </w:r>
      <w:r w:rsidRPr="002D7933">
        <w:t xml:space="preserve"> </w:t>
      </w:r>
      <w:r>
        <w:t>N</w:t>
      </w:r>
      <w:r w:rsidRPr="002D7933">
        <w:t xml:space="preserve">ew </w:t>
      </w:r>
      <w:r>
        <w:t>B</w:t>
      </w:r>
      <w:r w:rsidRPr="002D7933">
        <w:t xml:space="preserve">uild </w:t>
      </w:r>
      <w:r>
        <w:t>C</w:t>
      </w:r>
      <w:r w:rsidRPr="00D37956">
        <w:t>osts</w:t>
      </w:r>
      <w:r w:rsidRPr="002D7933">
        <w:t xml:space="preserve"> </w:t>
      </w:r>
      <w:r>
        <w:t>and Identify</w:t>
      </w:r>
      <w:r w:rsidR="004959D4">
        <w:t>ing</w:t>
      </w:r>
      <w:r>
        <w:t xml:space="preserve"> Additional Funding to Support </w:t>
      </w:r>
      <w:r w:rsidR="00A8449F">
        <w:t>Broadband</w:t>
      </w:r>
      <w:r>
        <w:t xml:space="preserve"> to Schools and L</w:t>
      </w:r>
      <w:r w:rsidRPr="00A27954">
        <w:t>ibrarie</w:t>
      </w:r>
      <w:r w:rsidR="00A26AF9">
        <w:t>s</w:t>
      </w:r>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p>
    <w:p w14:paraId="4C67204C" w14:textId="640037C9" w:rsidR="000627C7" w:rsidRDefault="000627C7">
      <w:pPr>
        <w:pStyle w:val="ParaNum"/>
      </w:pPr>
      <w:r w:rsidRPr="00C64546">
        <w:t xml:space="preserve">In this section, we seek comment on </w:t>
      </w:r>
      <w:r>
        <w:t>what additional steps the Commission should take to ensure that there are sufficient funds to meet the</w:t>
      </w:r>
      <w:r w:rsidRPr="00C64546">
        <w:t xml:space="preserve"> connectivity needs of students, </w:t>
      </w:r>
      <w:r>
        <w:t>teaching staff</w:t>
      </w:r>
      <w:r w:rsidRPr="00C64546">
        <w:t>, and libraries.</w:t>
      </w:r>
      <w:r w:rsidR="007F2295">
        <w:t xml:space="preserve">  </w:t>
      </w:r>
    </w:p>
    <w:p w14:paraId="2B4EE159" w14:textId="159D9F62" w:rsidR="000627C7" w:rsidRDefault="0070295E" w:rsidP="00F47042">
      <w:pPr>
        <w:pStyle w:val="ParaNum"/>
      </w:pPr>
      <w:r>
        <w:rPr>
          <w:i/>
        </w:rPr>
        <w:t>Public-private partnerships.</w:t>
      </w:r>
      <w:r>
        <w:t xml:space="preserve">  Are there steps the Commission could take to improve the private sector business case for deploying fiber to schools and libraries, or otherwise expanding connectivity, and thereby reduce the need for E-rate funding?  For example, are there steps the Commission could take to facilitate use of new fiber runs for multiple business objectives, such as backhaul for cell towers or service to other enterprise users, and thereby incent greater sharing of new construction costs?  Could </w:t>
      </w:r>
      <w:r w:rsidRPr="005E1739">
        <w:t xml:space="preserve">waiving, forbearing from, or reducing certain otherwise-applicable requirements in conjunction with new infrastructure builds to schools and libraries help lower costs and therefore extend the reach of </w:t>
      </w:r>
      <w:r>
        <w:t>E-rate</w:t>
      </w:r>
      <w:r w:rsidRPr="005E1739">
        <w:t xml:space="preserve"> funding?  Should the Commission condition certain forms of </w:t>
      </w:r>
      <w:r>
        <w:t>E-rate</w:t>
      </w:r>
      <w:r w:rsidRPr="005E1739">
        <w:t xml:space="preserve"> funding on changes in local permitting practices or other state and local policy changes </w:t>
      </w:r>
      <w:r>
        <w:t>(</w:t>
      </w:r>
      <w:r w:rsidRPr="00A558CB">
        <w:rPr>
          <w:i/>
        </w:rPr>
        <w:t>e.g.</w:t>
      </w:r>
      <w:r>
        <w:t xml:space="preserve">, state and local dig-once initiatives) </w:t>
      </w:r>
      <w:r w:rsidRPr="005E1739">
        <w:t>to help reduce new build costs?</w:t>
      </w:r>
      <w:r>
        <w:t xml:space="preserve"> What impact would such a policy have on schools and libraries on federal or other trust lands, such as Tribal lands?</w:t>
      </w:r>
      <w:r w:rsidRPr="00B062E7">
        <w:t xml:space="preserve"> </w:t>
      </w:r>
      <w:r>
        <w:t xml:space="preserve"> How can the Commission best coordinate with and support state, local, and Tribal government efforts to increase broadband access to schools and libraries?  Are there other Commission rule changes that would facilitate coordination or support state and local efforts?</w:t>
      </w:r>
    </w:p>
    <w:p w14:paraId="456E7E0E" w14:textId="77777777" w:rsidR="00335DAC" w:rsidRDefault="000627C7" w:rsidP="00434A8B">
      <w:pPr>
        <w:pStyle w:val="ParaNum"/>
      </w:pPr>
      <w:r>
        <w:t>W</w:t>
      </w:r>
      <w:r w:rsidRPr="00C64546">
        <w:t xml:space="preserve">e </w:t>
      </w:r>
      <w:r>
        <w:t xml:space="preserve">also </w:t>
      </w:r>
      <w:r w:rsidRPr="00C64546">
        <w:t xml:space="preserve">seek comment on other potential </w:t>
      </w:r>
      <w:r>
        <w:t xml:space="preserve">public or private </w:t>
      </w:r>
      <w:r w:rsidRPr="00C64546">
        <w:t>sources of fund</w:t>
      </w:r>
      <w:r>
        <w:t>ing and how the Commission could help encourage the deployment of such funding to meet school and library needs</w:t>
      </w:r>
      <w:r w:rsidRPr="00C64546">
        <w:t xml:space="preserve">.  </w:t>
      </w:r>
      <w:r>
        <w:t xml:space="preserve">For example, in addition to the possible changes to the discount matrix discussed above, could the Commission make certain types of E-rate support, or E-rate support above certain amounts, conditional on state, local, </w:t>
      </w:r>
      <w:r w:rsidR="00205403">
        <w:t xml:space="preserve">Tribal, </w:t>
      </w:r>
      <w:r>
        <w:t xml:space="preserve">or private funds above the otherwise-required school or library 10-80 percent contribution?  Would a larger emphasis on matching funds help recruit additional funding from state, local, or private-sector sources?  Would it disproportionately benefit schools with greater means or higher-income student populations?  </w:t>
      </w:r>
      <w:r w:rsidR="00205403">
        <w:t xml:space="preserve">What impact would such an approach have on schools and libraries located on Tribal lands?  Should schools and libraries operated </w:t>
      </w:r>
      <w:r w:rsidR="00205403">
        <w:lastRenderedPageBreak/>
        <w:t xml:space="preserve">by the Bureau of Indian Affairs or individual Tribal governments be exempt from such a requirement?  </w:t>
      </w:r>
    </w:p>
    <w:p w14:paraId="0C27CFBA" w14:textId="49F1BA12" w:rsidR="000627C7" w:rsidRDefault="000627C7" w:rsidP="00F47042">
      <w:pPr>
        <w:pStyle w:val="ParaNum"/>
      </w:pPr>
      <w:r>
        <w:t>Are there other steps the Commission could take to encourage public-private partnerships to promote our proposed E-rate goals?</w:t>
      </w:r>
      <w:r w:rsidR="00335DAC">
        <w:t xml:space="preserve">  For example, Verizon </w:t>
      </w:r>
      <w:r w:rsidR="00E1456E">
        <w:t xml:space="preserve">suggests </w:t>
      </w:r>
      <w:r w:rsidR="00335DAC">
        <w:t xml:space="preserve">that its </w:t>
      </w:r>
      <w:r w:rsidR="00335DAC" w:rsidRPr="00B062E7">
        <w:t>Verizon Foundation Innovative Learning Schools program</w:t>
      </w:r>
      <w:r w:rsidR="00335DAC">
        <w:t xml:space="preserve">, which </w:t>
      </w:r>
      <w:r w:rsidR="00335DAC" w:rsidRPr="00B062E7">
        <w:t>focuses on teacher training and professional development</w:t>
      </w:r>
      <w:r w:rsidR="00335DAC">
        <w:t xml:space="preserve"> for select sch</w:t>
      </w:r>
      <w:r w:rsidR="00DC3997">
        <w:t>ools nationwide, complements E-r</w:t>
      </w:r>
      <w:r w:rsidR="00335DAC">
        <w:t>ate but sometimes faces challenges with respect to E-rate gift rules.</w:t>
      </w:r>
      <w:r w:rsidR="003A1186">
        <w:rPr>
          <w:rStyle w:val="FootnoteReference"/>
        </w:rPr>
        <w:footnoteReference w:id="225"/>
      </w:r>
      <w:r w:rsidR="00335DAC">
        <w:t xml:space="preserve">  We </w:t>
      </w:r>
      <w:r w:rsidR="00335DAC" w:rsidRPr="00B062E7">
        <w:t xml:space="preserve">seek comment on </w:t>
      </w:r>
      <w:r w:rsidR="00335DAC">
        <w:t xml:space="preserve">whether there are </w:t>
      </w:r>
      <w:r w:rsidR="00335DAC" w:rsidRPr="00B062E7">
        <w:t xml:space="preserve">ways that </w:t>
      </w:r>
      <w:r w:rsidR="00335DAC">
        <w:t xml:space="preserve">E-rate could allow </w:t>
      </w:r>
      <w:r w:rsidR="00335DAC" w:rsidRPr="00B062E7">
        <w:t>schools</w:t>
      </w:r>
      <w:r w:rsidR="00335DAC">
        <w:t xml:space="preserve"> and libraries to</w:t>
      </w:r>
      <w:r w:rsidR="00335DAC" w:rsidRPr="00B062E7">
        <w:t xml:space="preserve"> take greater advantage of private philanthropy while still allowing the Commission to maintain appropriate control over E-rate expenditures and to pre</w:t>
      </w:r>
      <w:r w:rsidR="00D711CC">
        <w:t>vent improper influence over E-</w:t>
      </w:r>
      <w:r w:rsidR="00335DAC" w:rsidRPr="00B062E7">
        <w:t>rate service provider selections.</w:t>
      </w:r>
    </w:p>
    <w:p w14:paraId="54DDC818" w14:textId="77777777" w:rsidR="005D347D" w:rsidRDefault="005D347D" w:rsidP="005D347D">
      <w:pPr>
        <w:pStyle w:val="ParaNum"/>
      </w:pPr>
      <w:r>
        <w:rPr>
          <w:i/>
        </w:rPr>
        <w:t xml:space="preserve">Coordination with other universal service </w:t>
      </w:r>
      <w:r w:rsidRPr="007F2295">
        <w:rPr>
          <w:i/>
        </w:rPr>
        <w:t>programs</w:t>
      </w:r>
      <w:r>
        <w:t xml:space="preserve">.  </w:t>
      </w:r>
      <w:r w:rsidRPr="00445B17">
        <w:t xml:space="preserve">We also seek comment on whether greater coordination of E-rate funding with funding from other universal service programs could multiply the impact of these other programs to support the goals of E-rate.  In the </w:t>
      </w:r>
      <w:r w:rsidRPr="00445B17">
        <w:rPr>
          <w:i/>
        </w:rPr>
        <w:t>USF/ICC Transformation Order</w:t>
      </w:r>
      <w:r w:rsidRPr="00445B17">
        <w:t>, the Commission adopted broadband service obligations for eligible telecommunications carriers (ETCs) that receive high-cost support.</w:t>
      </w:r>
      <w:r w:rsidRPr="00445B17">
        <w:rPr>
          <w:rStyle w:val="FootnoteReference"/>
        </w:rPr>
        <w:footnoteReference w:id="226"/>
      </w:r>
      <w:r w:rsidRPr="00445B17">
        <w:t xml:space="preserve">  The Commission noted that it expected ETCs to engage with community anchor institutions, which include schools and libraries, in the network planning stages with respect to the deployment of C</w:t>
      </w:r>
      <w:r>
        <w:t xml:space="preserve">onnect </w:t>
      </w:r>
      <w:r w:rsidRPr="00445B17">
        <w:t>A</w:t>
      </w:r>
      <w:r>
        <w:t>merica</w:t>
      </w:r>
      <w:r w:rsidRPr="00445B17">
        <w:t>-supported networks.</w:t>
      </w:r>
      <w:r w:rsidRPr="00445B17">
        <w:rPr>
          <w:rStyle w:val="FootnoteReference"/>
        </w:rPr>
        <w:footnoteReference w:id="227"/>
      </w:r>
      <w:r w:rsidRPr="00445B17">
        <w:t xml:space="preserve">  Both price cap and rate-of-return ETCs that receive high-cost support are already required to include in their annual reports the number, names and addresses of community anchor institutions to which the ETC newly began providing access to broadband service in the preceding calendar year.</w:t>
      </w:r>
      <w:r w:rsidRPr="00445B17">
        <w:rPr>
          <w:rStyle w:val="FootnoteReference"/>
        </w:rPr>
        <w:footnoteReference w:id="228"/>
      </w:r>
      <w:r w:rsidRPr="00445B17">
        <w:t xml:space="preserve">  </w:t>
      </w:r>
    </w:p>
    <w:p w14:paraId="5B52201A" w14:textId="748AC044" w:rsidR="005D347D" w:rsidRDefault="00980737" w:rsidP="005D347D">
      <w:pPr>
        <w:pStyle w:val="ParaNum"/>
      </w:pPr>
      <w:r>
        <w:t xml:space="preserve">We seek comment on how </w:t>
      </w:r>
      <w:r w:rsidR="005D347D">
        <w:t xml:space="preserve">to minimize any overlap in funding for broadband, while extending the reach of both programs to support the deployment and adoption of broadband by E-rate applicants?  </w:t>
      </w:r>
      <w:r>
        <w:t>How can we best ensure and encourage the two support mechanisms to achieve our universal service objectives, including the goals identified herein?  For example, should we consider w</w:t>
      </w:r>
      <w:r w:rsidR="005D347D">
        <w:t xml:space="preserve">hat portion of deployment should high-cost funding </w:t>
      </w:r>
      <w:r w:rsidR="009B326F">
        <w:t>support</w:t>
      </w:r>
      <w:r w:rsidR="005D347D">
        <w:t xml:space="preserve"> and what portion should E-rate support?  Would it be useful to specify that certain costs – such as construction charges to extend fiber to the school or library property line – </w:t>
      </w:r>
      <w:r w:rsidR="005D347D">
        <w:lastRenderedPageBreak/>
        <w:t>are funded by high cost, and other costs – such as recurring charges for broadband service</w:t>
      </w:r>
      <w:r w:rsidR="00AE5162">
        <w:t xml:space="preserve"> </w:t>
      </w:r>
      <w:r w:rsidR="005D347D">
        <w:t>– are funded by E-rate?  What measures should we adopt to ensure that there is no duplicative funding of the same facilities or services from the two programs?</w:t>
      </w:r>
      <w:r w:rsidR="005D347D" w:rsidRPr="00715E0C">
        <w:t xml:space="preserve"> </w:t>
      </w:r>
    </w:p>
    <w:p w14:paraId="78A6680C" w14:textId="00015A9A" w:rsidR="005D347D" w:rsidRDefault="00BC2E08" w:rsidP="005D347D">
      <w:pPr>
        <w:pStyle w:val="ParaNum"/>
      </w:pPr>
      <w:r>
        <w:t>The</w:t>
      </w:r>
      <w:r w:rsidR="00335DAC">
        <w:t xml:space="preserve"> Commission has concluded that </w:t>
      </w:r>
      <w:r w:rsidRPr="00445B17">
        <w:t xml:space="preserve">a forward-looking </w:t>
      </w:r>
      <w:r>
        <w:t xml:space="preserve">wireline </w:t>
      </w:r>
      <w:r w:rsidRPr="00445B17">
        <w:t>cost model</w:t>
      </w:r>
      <w:r>
        <w:t xml:space="preserve"> will be used to determine support to be offered to  price cap carriers.</w:t>
      </w:r>
      <w:r w:rsidR="00D711CC">
        <w:rPr>
          <w:rStyle w:val="FootnoteReference"/>
        </w:rPr>
        <w:footnoteReference w:id="229"/>
      </w:r>
      <w:r>
        <w:t xml:space="preserve">  </w:t>
      </w:r>
      <w:r w:rsidR="005D347D" w:rsidRPr="005D347D">
        <w:t>After the model is finalized and adopted for Phase II purposes, should we consider how it might be used or modified to assist in determining the cost of providing fiber-based broadband to the E-rate applicants in the relevant geographic area?</w:t>
      </w:r>
      <w:r w:rsidR="005D347D">
        <w:t xml:space="preserve">  Could we use a model-derived cost to establish a benchmark for the prices an E-rate applicant should pay for broadband?  Should we instead consider a model-derived cost—with the relevant E-rate discount applied—as a cap on the amount the E-rate program will fund for such broadband?  </w:t>
      </w:r>
    </w:p>
    <w:p w14:paraId="22F29610" w14:textId="77777777" w:rsidR="005D347D" w:rsidRDefault="005D347D" w:rsidP="00434A8B">
      <w:pPr>
        <w:pStyle w:val="ParaNum"/>
      </w:pPr>
      <w:r>
        <w:t>We also ask for comment on how we can maintain the core requirements and procedures in the E-rate program if we closely coordinate support with other universal service programs.  How could we implement some of these ideas while maintaining the framework of the existing competitive bidding requirements for the E-rate program?</w:t>
      </w:r>
      <w:r>
        <w:rPr>
          <w:rStyle w:val="FootnoteReference"/>
        </w:rPr>
        <w:footnoteReference w:id="230"/>
      </w:r>
      <w:r w:rsidRPr="00445B17">
        <w:t xml:space="preserve">  </w:t>
      </w:r>
    </w:p>
    <w:p w14:paraId="4F73A779" w14:textId="5B2F79C6" w:rsidR="005D347D" w:rsidRDefault="005D347D" w:rsidP="005D347D">
      <w:pPr>
        <w:pStyle w:val="ParaNum"/>
      </w:pPr>
      <w:r>
        <w:t xml:space="preserve">In the </w:t>
      </w:r>
      <w:r w:rsidRPr="00EA4420">
        <w:rPr>
          <w:i/>
        </w:rPr>
        <w:t xml:space="preserve">Healthcare Connect </w:t>
      </w:r>
      <w:r w:rsidR="00231CD5">
        <w:rPr>
          <w:i/>
        </w:rPr>
        <w:t xml:space="preserve">Fund </w:t>
      </w:r>
      <w:r w:rsidRPr="00EA4420">
        <w:rPr>
          <w:i/>
        </w:rPr>
        <w:t>Order</w:t>
      </w:r>
      <w:r w:rsidRPr="002C55CA">
        <w:t xml:space="preserve">, the Commission allowed </w:t>
      </w:r>
      <w:r>
        <w:t>an exemption from the rural health care competitive bidding obligations for health care providers entering into a consortium with E-rate participants.</w:t>
      </w:r>
      <w:r>
        <w:rPr>
          <w:rStyle w:val="FootnoteReference"/>
        </w:rPr>
        <w:footnoteReference w:id="231"/>
      </w:r>
      <w:r>
        <w:t xml:space="preserve">  Should we consider a similar accommodation for applicants to the E-rate program?  </w:t>
      </w:r>
    </w:p>
    <w:p w14:paraId="5567B331" w14:textId="4EFD71DA" w:rsidR="00235F5A" w:rsidRDefault="00235F5A" w:rsidP="00235F5A">
      <w:pPr>
        <w:pStyle w:val="ParaNum"/>
      </w:pPr>
      <w:r>
        <w:rPr>
          <w:i/>
        </w:rPr>
        <w:t xml:space="preserve">Funding the </w:t>
      </w:r>
      <w:r w:rsidR="009B326F">
        <w:rPr>
          <w:i/>
        </w:rPr>
        <w:t>p</w:t>
      </w:r>
      <w:r>
        <w:rPr>
          <w:i/>
        </w:rPr>
        <w:t xml:space="preserve">roposed </w:t>
      </w:r>
      <w:r w:rsidR="009B326F">
        <w:rPr>
          <w:i/>
        </w:rPr>
        <w:t>goals t</w:t>
      </w:r>
      <w:r>
        <w:rPr>
          <w:i/>
        </w:rPr>
        <w:t>hrough E-rate</w:t>
      </w:r>
      <w:r w:rsidR="00352649">
        <w:rPr>
          <w:i/>
        </w:rPr>
        <w:t>.</w:t>
      </w:r>
      <w:r>
        <w:rPr>
          <w:i/>
        </w:rPr>
        <w:t xml:space="preserve">  </w:t>
      </w:r>
      <w:r>
        <w:t xml:space="preserve">In this Notice, we seek comment on various approaches to refocusing or reprioritizing funds, or adjusting the support levels for certain services, as well as other proposals that will reduce costs while better targeting support to help schools and libraries get the connectivity they need.  We seek comment on whether, in concert with these changes, enough funding will be saved or preserved to enable the E-rate program to meet our proposed connectivity goals within the existing E-rate funding cap.  Recent reforms to the other USF programs were achieved without having to increase the overall size of the </w:t>
      </w:r>
      <w:r w:rsidR="001D15D3">
        <w:t>USF</w:t>
      </w:r>
      <w:r>
        <w:t xml:space="preserve">.  For example, the Commission established a budget for the Connect </w:t>
      </w:r>
      <w:r>
        <w:lastRenderedPageBreak/>
        <w:t>America Fund and a savings target for the Lifeline program.</w:t>
      </w:r>
      <w:r>
        <w:rPr>
          <w:rStyle w:val="FootnoteReference"/>
        </w:rPr>
        <w:footnoteReference w:id="232"/>
      </w:r>
      <w:r>
        <w:t xml:space="preserve">  Also, the Commission recently reformed the Rural Health Care program to encourage consortium applications, increase eligibility in covered services and provide applicants more flexibility in renewing multi-year contracts.</w:t>
      </w:r>
      <w:r>
        <w:rPr>
          <w:rStyle w:val="FootnoteReference"/>
        </w:rPr>
        <w:footnoteReference w:id="233"/>
      </w:r>
      <w:r>
        <w:t xml:space="preserve">  We ask commenters to identify the funding that could become available as a result of the reforms suggested in this NPRM and whether these reforms will result in sufficient cost savings to the E-rate program to meet our proposed program goals.</w:t>
      </w:r>
    </w:p>
    <w:p w14:paraId="065235DF" w14:textId="78134983" w:rsidR="00235F5A" w:rsidRDefault="00235F5A" w:rsidP="00235F5A">
      <w:pPr>
        <w:pStyle w:val="ParaNum"/>
      </w:pPr>
      <w:r>
        <w:t xml:space="preserve">Alternatively, we seek comment on whether </w:t>
      </w:r>
      <w:r w:rsidRPr="00067355">
        <w:t xml:space="preserve">a temporary increase in the E-rate cap </w:t>
      </w:r>
      <w:r>
        <w:t xml:space="preserve">is necessary </w:t>
      </w:r>
      <w:r w:rsidRPr="00067355">
        <w:t xml:space="preserve">to </w:t>
      </w:r>
      <w:r>
        <w:t>reach our goals and ensure</w:t>
      </w:r>
      <w:r w:rsidRPr="00067355">
        <w:t xml:space="preserve"> </w:t>
      </w:r>
      <w:r w:rsidR="00AE5162">
        <w:t>high-capacity broadband</w:t>
      </w:r>
      <w:r>
        <w:t xml:space="preserve"> </w:t>
      </w:r>
      <w:r w:rsidRPr="00067355">
        <w:t>connec</w:t>
      </w:r>
      <w:r w:rsidR="00AB45B1">
        <w:t xml:space="preserve">tivity to and within schools?  </w:t>
      </w:r>
      <w:r w:rsidRPr="00067355">
        <w:t xml:space="preserve">If we were to authorize such a temporary increase, should we modify our rules to focus the temporary funds on providing services </w:t>
      </w:r>
      <w:r>
        <w:t xml:space="preserve">related </w:t>
      </w:r>
      <w:r w:rsidRPr="00067355">
        <w:t xml:space="preserve">solely on </w:t>
      </w:r>
      <w:r w:rsidR="00AE5162">
        <w:t>high-capacity broadband</w:t>
      </w:r>
      <w:r w:rsidRPr="00067355">
        <w:t xml:space="preserve"> connectivity?  What services should be eligible for support under such a short</w:t>
      </w:r>
      <w:r w:rsidR="009A5B30">
        <w:t>-</w:t>
      </w:r>
      <w:r w:rsidRPr="00067355">
        <w:t xml:space="preserve">term program? </w:t>
      </w:r>
      <w:r>
        <w:t xml:space="preserve"> </w:t>
      </w:r>
      <w:r w:rsidRPr="00067355">
        <w:t xml:space="preserve">How much short-term funding would be needed to connect all or virtually all schools to infrastructure or other connectivity sufficient to meet their needs?  How much short term funding, and over what period of time, would be needed to provide robust internal connections sufficient to take advantage of </w:t>
      </w:r>
      <w:r>
        <w:t xml:space="preserve">the </w:t>
      </w:r>
      <w:r w:rsidR="00AE5162">
        <w:t>high-capacity broadband</w:t>
      </w:r>
      <w:r w:rsidRPr="00067355">
        <w:t xml:space="preserve"> connectivity to schools and libraries?</w:t>
      </w:r>
      <w:r w:rsidR="009A5B30">
        <w:t xml:space="preserve"> </w:t>
      </w:r>
      <w:r w:rsidRPr="00067355">
        <w:t xml:space="preserve"> </w:t>
      </w:r>
      <w:r w:rsidR="009A5B30">
        <w:t xml:space="preserve">Should any such funding be allocated using the </w:t>
      </w:r>
      <w:r w:rsidR="004A4D1B">
        <w:t>generally applicable</w:t>
      </w:r>
      <w:r w:rsidR="009A5B30">
        <w:t xml:space="preserve"> discount matrix, application </w:t>
      </w:r>
      <w:r w:rsidR="004A4D1B">
        <w:t>process</w:t>
      </w:r>
      <w:r w:rsidR="009A5B30">
        <w:t xml:space="preserve">, timeline, and other rules, or should we consider </w:t>
      </w:r>
      <w:r w:rsidR="004A4D1B">
        <w:t>modifications</w:t>
      </w:r>
      <w:r w:rsidR="009A5B30">
        <w:t>, for example to accelerate availability of funding</w:t>
      </w:r>
      <w:r w:rsidR="004A4D1B">
        <w:t xml:space="preserve"> for upgrades</w:t>
      </w:r>
      <w:r w:rsidR="009A5B30">
        <w:t xml:space="preserve">? </w:t>
      </w:r>
      <w:r w:rsidRPr="00067355">
        <w:t xml:space="preserve"> If we consider a temporary increase in E-rate funding to upgrade school and library connections for digital learning, should we limit participation to </w:t>
      </w:r>
      <w:r>
        <w:t xml:space="preserve">only some category of applicants, such as only </w:t>
      </w:r>
      <w:r w:rsidRPr="00067355">
        <w:t>regional consortia?</w:t>
      </w:r>
    </w:p>
    <w:p w14:paraId="1AE9620A" w14:textId="2837412F" w:rsidR="00235F5A" w:rsidRDefault="00235F5A" w:rsidP="00883DA1">
      <w:pPr>
        <w:pStyle w:val="ParaNum"/>
      </w:pPr>
      <w:bookmarkStart w:id="1573" w:name="_Ref360203681"/>
      <w:r>
        <w:t>Should we instead consider a more permanent change to the cap to achieve the goals of a modern E-rate program?</w:t>
      </w:r>
      <w:r w:rsidRPr="00C64546">
        <w:rPr>
          <w:vertAlign w:val="superscript"/>
        </w:rPr>
        <w:footnoteReference w:id="234"/>
      </w:r>
      <w:r w:rsidRPr="00CA39AD">
        <w:t xml:space="preserve">  When the Commission adopted the $2.25 billion cap 16 years ago, it recognized that it was a best efforts </w:t>
      </w:r>
      <w:r w:rsidRPr="007E35DD">
        <w:t xml:space="preserve">attempt to estimate what the demand would be for telecommunications and Internet access </w:t>
      </w:r>
      <w:r w:rsidRPr="007E35DD">
        <w:lastRenderedPageBreak/>
        <w:t>services</w:t>
      </w:r>
      <w:r w:rsidRPr="00FE5731">
        <w:t xml:space="preserve"> by schools and libraries.</w:t>
      </w:r>
      <w:r w:rsidRPr="00A27954">
        <w:rPr>
          <w:vertAlign w:val="superscript"/>
        </w:rPr>
        <w:footnoteReference w:id="235"/>
      </w:r>
      <w:r w:rsidRPr="00CA39AD">
        <w:t xml:space="preserve">  Commenters advocating an increase in the cap emphasize that every</w:t>
      </w:r>
      <w:r>
        <w:t xml:space="preserve"> funding</w:t>
      </w:r>
      <w:r w:rsidRPr="00CA39AD">
        <w:t xml:space="preserve"> year applicants have requested more than </w:t>
      </w:r>
      <w:r>
        <w:t xml:space="preserve">is </w:t>
      </w:r>
      <w:r w:rsidRPr="007E35DD">
        <w:t>available</w:t>
      </w:r>
      <w:r w:rsidRPr="00FE5731">
        <w:t xml:space="preserve"> in </w:t>
      </w:r>
      <w:r>
        <w:t>E-rate</w:t>
      </w:r>
      <w:r w:rsidRPr="00FE5731">
        <w:t xml:space="preserve"> support.</w:t>
      </w:r>
      <w:r>
        <w:rPr>
          <w:rStyle w:val="FootnoteReference"/>
        </w:rPr>
        <w:footnoteReference w:id="236"/>
      </w:r>
      <w:r w:rsidRPr="00FE5731">
        <w:t xml:space="preserve"> </w:t>
      </w:r>
      <w:r w:rsidRPr="000A70A8">
        <w:t xml:space="preserve"> They further argue that because of the effects of inflation and the growth in the number of students in our nation</w:t>
      </w:r>
      <w:r>
        <w:t>’</w:t>
      </w:r>
      <w:r w:rsidRPr="000A70A8">
        <w:t xml:space="preserve">s schools, the </w:t>
      </w:r>
      <w:r w:rsidRPr="00CC3420">
        <w:t xml:space="preserve">actual purchasing power of the </w:t>
      </w:r>
      <w:r>
        <w:t>E-rate</w:t>
      </w:r>
      <w:r w:rsidRPr="00CC3420">
        <w:t xml:space="preserve"> program </w:t>
      </w:r>
      <w:r w:rsidRPr="00C13174">
        <w:t xml:space="preserve">declined by nearly </w:t>
      </w:r>
      <w:r>
        <w:t>one</w:t>
      </w:r>
      <w:r w:rsidRPr="00C13174">
        <w:t xml:space="preserve"> third</w:t>
      </w:r>
      <w:r w:rsidRPr="002E13A2">
        <w:t xml:space="preserve"> from the start of the progr</w:t>
      </w:r>
      <w:r w:rsidRPr="003F2167">
        <w:t>am in 1998 to today</w:t>
      </w:r>
      <w:r w:rsidRPr="00C664D1">
        <w:t>.</w:t>
      </w:r>
      <w:r>
        <w:rPr>
          <w:rStyle w:val="FootnoteReference"/>
        </w:rPr>
        <w:footnoteReference w:id="237"/>
      </w:r>
      <w:r w:rsidRPr="00C664D1">
        <w:t xml:space="preserve"> </w:t>
      </w:r>
      <w:r w:rsidRPr="00CA39AD">
        <w:t xml:space="preserve"> We seek comment on these arguments</w:t>
      </w:r>
      <w:r w:rsidR="00FD62DA">
        <w:t>.</w:t>
      </w:r>
      <w:bookmarkEnd w:id="1573"/>
      <w:r>
        <w:t xml:space="preserve">  </w:t>
      </w:r>
    </w:p>
    <w:p w14:paraId="74EA5701" w14:textId="5B270178" w:rsidR="00755B35" w:rsidRDefault="00235F5A" w:rsidP="005A5F71">
      <w:pPr>
        <w:pStyle w:val="ParaNum"/>
      </w:pPr>
      <w:r>
        <w:t>Also, under either a temporary, long-term or permanent approach</w:t>
      </w:r>
      <w:r w:rsidR="0037170C">
        <w:t xml:space="preserve"> to providing additional funding</w:t>
      </w:r>
      <w:r>
        <w:t>, w</w:t>
      </w:r>
      <w:r w:rsidRPr="00067355">
        <w:t xml:space="preserve">ould it make sense to </w:t>
      </w:r>
      <w:r w:rsidR="00FD62DA">
        <w:t xml:space="preserve">initially </w:t>
      </w:r>
      <w:r w:rsidRPr="00067355">
        <w:t xml:space="preserve">provide funding to a small group of schools and libraries on a competitive basis with the goal of developing best practices and cost-effective approaches to building out </w:t>
      </w:r>
      <w:r w:rsidR="00AE5162">
        <w:t>high-capacity broadband</w:t>
      </w:r>
      <w:r w:rsidRPr="00067355">
        <w:t xml:space="preserve"> services?</w:t>
      </w:r>
      <w:r w:rsidRPr="00067355">
        <w:rPr>
          <w:rStyle w:val="FootnoteReference"/>
        </w:rPr>
        <w:footnoteReference w:id="238"/>
      </w:r>
      <w:r w:rsidR="009A5B30">
        <w:t xml:space="preserve">  Are there other ways to use competitive approaches to maximize the impact of funding? </w:t>
      </w:r>
    </w:p>
    <w:p w14:paraId="10E0BC2E" w14:textId="030BAB83" w:rsidR="004938D8" w:rsidRPr="00067355" w:rsidRDefault="004938D8" w:rsidP="004938D8">
      <w:pPr>
        <w:pStyle w:val="ParaNum"/>
      </w:pPr>
      <w:r>
        <w:t>We also seek comment on the appropriate role for the Federal-State Joint Board on Universal Service in providing the Commission with advice and guidance on any temporary, long-term or permanent approach to providing additional funding for the E-rate program.</w:t>
      </w:r>
      <w:r>
        <w:rPr>
          <w:rStyle w:val="FootnoteReference"/>
        </w:rPr>
        <w:footnoteReference w:id="239"/>
      </w:r>
      <w:r>
        <w:t xml:space="preserve">  For example, if we consider any increase in E-rate funding, should we first seek the opinion of the Joint Board regarding the necessity and the amount of the increase?</w:t>
      </w:r>
    </w:p>
    <w:p w14:paraId="2B6A2082" w14:textId="69A3DE95" w:rsidR="000627C7" w:rsidRPr="00A30BDC" w:rsidRDefault="000627C7" w:rsidP="008B687A">
      <w:pPr>
        <w:pStyle w:val="Heading1"/>
        <w:keepNext w:val="0"/>
      </w:pPr>
      <w:bookmarkStart w:id="1574" w:name="_Toc359858638"/>
      <w:bookmarkStart w:id="1575" w:name="_Toc359858639"/>
      <w:bookmarkStart w:id="1576" w:name="_Toc359858640"/>
      <w:bookmarkStart w:id="1577" w:name="_Toc359858641"/>
      <w:bookmarkStart w:id="1578" w:name="_Toc359858642"/>
      <w:bookmarkStart w:id="1579" w:name="_Toc358208799"/>
      <w:bookmarkStart w:id="1580" w:name="_Toc358210298"/>
      <w:bookmarkStart w:id="1581" w:name="_Toc358210445"/>
      <w:bookmarkStart w:id="1582" w:name="_Toc358210623"/>
      <w:bookmarkStart w:id="1583" w:name="_Toc358210724"/>
      <w:bookmarkStart w:id="1584" w:name="_Toc358213658"/>
      <w:bookmarkStart w:id="1585" w:name="_Toc358213790"/>
      <w:bookmarkStart w:id="1586" w:name="_Toc352064546"/>
      <w:bookmarkStart w:id="1587" w:name="_Toc352078327"/>
      <w:bookmarkStart w:id="1588" w:name="_Toc352078379"/>
      <w:bookmarkStart w:id="1589" w:name="_Toc352078441"/>
      <w:bookmarkStart w:id="1590" w:name="_Toc352079033"/>
      <w:bookmarkStart w:id="1591" w:name="_Toc352080394"/>
      <w:bookmarkStart w:id="1592" w:name="_Toc352139777"/>
      <w:bookmarkStart w:id="1593" w:name="_Toc354478080"/>
      <w:bookmarkStart w:id="1594" w:name="_Toc354478702"/>
      <w:bookmarkStart w:id="1595" w:name="_Toc354660718"/>
      <w:bookmarkStart w:id="1596" w:name="_Toc358208800"/>
      <w:bookmarkStart w:id="1597" w:name="_Toc358210299"/>
      <w:bookmarkStart w:id="1598" w:name="_Toc358210446"/>
      <w:bookmarkStart w:id="1599" w:name="_Toc358210624"/>
      <w:bookmarkStart w:id="1600" w:name="_Toc358210725"/>
      <w:bookmarkStart w:id="1601" w:name="_Toc358213659"/>
      <w:bookmarkStart w:id="1602" w:name="_Toc358213791"/>
      <w:bookmarkStart w:id="1603" w:name="_Toc358301285"/>
      <w:bookmarkStart w:id="1604" w:name="_Toc358720031"/>
      <w:bookmarkStart w:id="1605" w:name="_Toc358971257"/>
      <w:bookmarkStart w:id="1606" w:name="_Toc358974858"/>
      <w:bookmarkStart w:id="1607" w:name="_Toc358975756"/>
      <w:bookmarkStart w:id="1608" w:name="_Toc358975918"/>
      <w:bookmarkStart w:id="1609" w:name="_Toc358976159"/>
      <w:bookmarkStart w:id="1610" w:name="_Toc358981014"/>
      <w:bookmarkStart w:id="1611" w:name="_Toc358981130"/>
      <w:bookmarkStart w:id="1612" w:name="_Toc358982394"/>
      <w:bookmarkStart w:id="1613" w:name="_Toc358982484"/>
      <w:bookmarkStart w:id="1614" w:name="_Toc359239266"/>
      <w:bookmarkStart w:id="1615" w:name="_Toc359239323"/>
      <w:bookmarkStart w:id="1616" w:name="_Toc359252282"/>
      <w:bookmarkStart w:id="1617" w:name="_Toc359326031"/>
      <w:bookmarkStart w:id="1618" w:name="_Toc359333279"/>
      <w:bookmarkStart w:id="1619" w:name="_Toc359339933"/>
      <w:bookmarkStart w:id="1620" w:name="_Toc359343197"/>
      <w:bookmarkStart w:id="1621" w:name="_Toc359347006"/>
      <w:bookmarkStart w:id="1622" w:name="_Toc359598696"/>
      <w:bookmarkStart w:id="1623" w:name="_Toc359853176"/>
      <w:bookmarkStart w:id="1624" w:name="_Toc359853412"/>
      <w:bookmarkStart w:id="1625" w:name="_Toc359853675"/>
      <w:bookmarkStart w:id="1626" w:name="_Toc359858643"/>
      <w:bookmarkStart w:id="1627" w:name="_Toc359859605"/>
      <w:bookmarkStart w:id="1628" w:name="_Toc359940068"/>
      <w:bookmarkStart w:id="1629" w:name="_Toc360025444"/>
      <w:bookmarkStart w:id="1630" w:name="_Toc360107496"/>
      <w:bookmarkStart w:id="1631" w:name="_Toc360111620"/>
      <w:bookmarkStart w:id="1632" w:name="_Toc360172805"/>
      <w:bookmarkStart w:id="1633" w:name="_Toc360186142"/>
      <w:bookmarkStart w:id="1634" w:name="_Toc360186219"/>
      <w:bookmarkStart w:id="1635" w:name="_Toc360186423"/>
      <w:bookmarkStart w:id="1636" w:name="_Toc360186495"/>
      <w:bookmarkStart w:id="1637" w:name="_Toc360187296"/>
      <w:bookmarkStart w:id="1638" w:name="_Toc360187457"/>
      <w:bookmarkStart w:id="1639" w:name="_Toc360208906"/>
      <w:bookmarkStart w:id="1640" w:name="_Toc360212039"/>
      <w:bookmarkStart w:id="1641" w:name="_Toc361663109"/>
      <w:bookmarkStart w:id="1642" w:name="_Toc361857687"/>
      <w:bookmarkStart w:id="1643" w:name="_Toc361918779"/>
      <w:bookmarkStart w:id="1644" w:name="_Toc362272556"/>
      <w:bookmarkEnd w:id="1574"/>
      <w:bookmarkEnd w:id="1575"/>
      <w:bookmarkEnd w:id="1576"/>
      <w:bookmarkEnd w:id="1577"/>
      <w:bookmarkEnd w:id="1578"/>
      <w:bookmarkEnd w:id="1579"/>
      <w:bookmarkEnd w:id="1580"/>
      <w:bookmarkEnd w:id="1581"/>
      <w:bookmarkEnd w:id="1582"/>
      <w:bookmarkEnd w:id="1583"/>
      <w:bookmarkEnd w:id="1584"/>
      <w:bookmarkEnd w:id="1585"/>
      <w:r w:rsidRPr="00A30BDC">
        <w:t xml:space="preserve">MAXIMIZING THE COST EFFECTIVENESS OF </w:t>
      </w:r>
      <w:r>
        <w:t>E-RATE</w:t>
      </w:r>
      <w:r w:rsidRPr="00A30BDC">
        <w:t xml:space="preserve"> FUNDS</w:t>
      </w:r>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p>
    <w:p w14:paraId="216DF4D8" w14:textId="77777777" w:rsidR="000627C7" w:rsidRPr="000A2FE4" w:rsidRDefault="000627C7" w:rsidP="00B9652C">
      <w:pPr>
        <w:pStyle w:val="Heading2"/>
      </w:pPr>
      <w:bookmarkStart w:id="1645" w:name="_Toc351647151"/>
      <w:bookmarkStart w:id="1646" w:name="_Toc352064099"/>
      <w:bookmarkStart w:id="1647" w:name="_Toc352064547"/>
      <w:bookmarkStart w:id="1648" w:name="_Toc352078328"/>
      <w:bookmarkStart w:id="1649" w:name="_Toc352078380"/>
      <w:bookmarkStart w:id="1650" w:name="_Toc352078442"/>
      <w:bookmarkStart w:id="1651" w:name="_Toc352079034"/>
      <w:bookmarkStart w:id="1652" w:name="_Toc352080395"/>
      <w:bookmarkStart w:id="1653" w:name="_Toc352139778"/>
      <w:bookmarkStart w:id="1654" w:name="_Toc354478081"/>
      <w:bookmarkStart w:id="1655" w:name="_Toc354478703"/>
      <w:bookmarkStart w:id="1656" w:name="_Toc354660719"/>
      <w:bookmarkStart w:id="1657" w:name="_Toc358208801"/>
      <w:bookmarkStart w:id="1658" w:name="_Toc358210300"/>
      <w:bookmarkStart w:id="1659" w:name="_Toc358210447"/>
      <w:bookmarkStart w:id="1660" w:name="_Toc358210625"/>
      <w:bookmarkStart w:id="1661" w:name="_Toc358210726"/>
      <w:bookmarkStart w:id="1662" w:name="_Toc358213660"/>
      <w:bookmarkStart w:id="1663" w:name="_Toc358213792"/>
      <w:bookmarkStart w:id="1664" w:name="_Toc358301286"/>
      <w:bookmarkStart w:id="1665" w:name="_Toc358720032"/>
      <w:bookmarkStart w:id="1666" w:name="_Toc358971258"/>
      <w:bookmarkStart w:id="1667" w:name="_Toc358974859"/>
      <w:bookmarkStart w:id="1668" w:name="_Toc358975757"/>
      <w:bookmarkStart w:id="1669" w:name="_Toc358975919"/>
      <w:bookmarkStart w:id="1670" w:name="_Toc358976160"/>
      <w:bookmarkStart w:id="1671" w:name="_Toc358981015"/>
      <w:bookmarkStart w:id="1672" w:name="_Toc358981131"/>
      <w:bookmarkStart w:id="1673" w:name="_Toc358982395"/>
      <w:bookmarkStart w:id="1674" w:name="_Toc358982485"/>
      <w:bookmarkStart w:id="1675" w:name="_Toc359239267"/>
      <w:bookmarkStart w:id="1676" w:name="_Toc359239324"/>
      <w:bookmarkStart w:id="1677" w:name="_Toc359252283"/>
      <w:bookmarkStart w:id="1678" w:name="_Toc359326032"/>
      <w:bookmarkStart w:id="1679" w:name="_Toc359333280"/>
      <w:bookmarkStart w:id="1680" w:name="_Toc359339934"/>
      <w:bookmarkStart w:id="1681" w:name="_Toc359343198"/>
      <w:bookmarkStart w:id="1682" w:name="_Toc359347007"/>
      <w:bookmarkStart w:id="1683" w:name="_Toc359598697"/>
      <w:bookmarkStart w:id="1684" w:name="_Toc359853177"/>
      <w:bookmarkStart w:id="1685" w:name="_Toc359853413"/>
      <w:bookmarkStart w:id="1686" w:name="_Toc359853676"/>
      <w:bookmarkStart w:id="1687" w:name="_Toc359858644"/>
      <w:bookmarkStart w:id="1688" w:name="_Toc359859606"/>
      <w:bookmarkStart w:id="1689" w:name="_Toc359940069"/>
      <w:bookmarkStart w:id="1690" w:name="_Toc360025445"/>
      <w:bookmarkStart w:id="1691" w:name="_Toc360107497"/>
      <w:bookmarkStart w:id="1692" w:name="_Toc360111621"/>
      <w:bookmarkStart w:id="1693" w:name="_Toc360172806"/>
      <w:bookmarkStart w:id="1694" w:name="_Toc360186143"/>
      <w:bookmarkStart w:id="1695" w:name="_Toc360186220"/>
      <w:bookmarkStart w:id="1696" w:name="_Toc360186424"/>
      <w:bookmarkStart w:id="1697" w:name="_Toc360186496"/>
      <w:bookmarkStart w:id="1698" w:name="_Toc360187297"/>
      <w:bookmarkStart w:id="1699" w:name="_Toc360187458"/>
      <w:bookmarkStart w:id="1700" w:name="_Toc360208907"/>
      <w:bookmarkStart w:id="1701" w:name="_Toc360212040"/>
      <w:bookmarkStart w:id="1702" w:name="_Toc361663110"/>
      <w:bookmarkStart w:id="1703" w:name="_Toc361857688"/>
      <w:bookmarkStart w:id="1704" w:name="_Toc361918780"/>
      <w:bookmarkStart w:id="1705" w:name="_Toc362272557"/>
      <w:r w:rsidRPr="000A2FE4">
        <w:t>Background</w:t>
      </w:r>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r w:rsidRPr="000A2FE4">
        <w:tab/>
      </w:r>
    </w:p>
    <w:p w14:paraId="23E65C53" w14:textId="027037FB" w:rsidR="000627C7" w:rsidRPr="00EA4420" w:rsidRDefault="000627C7" w:rsidP="007475B1">
      <w:pPr>
        <w:pStyle w:val="ParaNum"/>
      </w:pPr>
      <w:bookmarkStart w:id="1706" w:name="_Ref360203701"/>
      <w:r w:rsidRPr="00EA4420">
        <w:t xml:space="preserve">In providing schools and libraries with affordable access to </w:t>
      </w:r>
      <w:r w:rsidR="00AE5162">
        <w:t>high-capacity broadband</w:t>
      </w:r>
      <w:r w:rsidRPr="00EA4420">
        <w:t xml:space="preserve"> services, we also seek to adopt policies and rules to meet our proposed second goal </w:t>
      </w:r>
      <w:r>
        <w:t xml:space="preserve">to </w:t>
      </w:r>
      <w:r w:rsidRPr="00EA4420">
        <w:t xml:space="preserve">ensure that schools and libraries purchase services and equipment in a cost-effective manner.  When the </w:t>
      </w:r>
      <w:r>
        <w:t>E-rate</w:t>
      </w:r>
      <w:r w:rsidRPr="00EA4420">
        <w:t xml:space="preserve"> program was created, the Commission adopted a number of rules aimed at encouraging cost-effective purchasing of </w:t>
      </w:r>
      <w:r>
        <w:t>E-rate</w:t>
      </w:r>
      <w:r w:rsidRPr="00EA4420">
        <w:t xml:space="preserve"> supported services.  Most notably, the Commission allowed applicants to apply for support as part of a consortium and required </w:t>
      </w:r>
      <w:r>
        <w:t>E-rate</w:t>
      </w:r>
      <w:r w:rsidRPr="00EA4420">
        <w:t xml:space="preserve"> applicants to seek competitive bids for </w:t>
      </w:r>
      <w:r>
        <w:t>E-rate</w:t>
      </w:r>
      <w:r w:rsidRPr="00EA4420">
        <w:t xml:space="preserve"> supported services.  The Commission recognized that by forming consortia, </w:t>
      </w:r>
      <w:r w:rsidRPr="00EA4420">
        <w:lastRenderedPageBreak/>
        <w:t xml:space="preserve">eligible schools and libraries could aggregate demand for </w:t>
      </w:r>
      <w:r>
        <w:t>E-rate</w:t>
      </w:r>
      <w:r w:rsidRPr="00EA4420">
        <w:t xml:space="preserve"> supported services to drive down prices.</w:t>
      </w:r>
      <w:r>
        <w:rPr>
          <w:rStyle w:val="FootnoteReference"/>
        </w:rPr>
        <w:footnoteReference w:id="240"/>
      </w:r>
      <w:r w:rsidRPr="00EA4420">
        <w:t xml:space="preserve">  Likewise, the Commission adopted competitive bidding requirements in large part based on the theory that competitive bidding would drive down prices for </w:t>
      </w:r>
      <w:r>
        <w:t>E-rate</w:t>
      </w:r>
      <w:r w:rsidRPr="00EA4420">
        <w:t xml:space="preserve"> supported services.</w:t>
      </w:r>
      <w:r>
        <w:rPr>
          <w:rStyle w:val="FootnoteReference"/>
        </w:rPr>
        <w:footnoteReference w:id="241"/>
      </w:r>
      <w:r w:rsidRPr="00EA4420">
        <w:t xml:space="preserve">  </w:t>
      </w:r>
      <w:r>
        <w:t xml:space="preserve">More recently, </w:t>
      </w:r>
      <w:r w:rsidRPr="00EA4420">
        <w:t xml:space="preserve">the National Broadband Plan recommended, </w:t>
      </w:r>
      <w:r w:rsidR="00E86A0E">
        <w:t>that we</w:t>
      </w:r>
      <w:r w:rsidRPr="00EA4420">
        <w:t xml:space="preserve"> work to make broadband-related purchases more cost-efficient</w:t>
      </w:r>
      <w:r w:rsidR="00AC5402">
        <w:t xml:space="preserve"> within E-rate</w:t>
      </w:r>
      <w:r w:rsidRPr="00EA4420">
        <w:t>.</w:t>
      </w:r>
      <w:r>
        <w:rPr>
          <w:rStyle w:val="FootnoteReference"/>
        </w:rPr>
        <w:footnoteReference w:id="242"/>
      </w:r>
      <w:bookmarkEnd w:id="1706"/>
    </w:p>
    <w:p w14:paraId="5770B278" w14:textId="49E8EA5F" w:rsidR="000627C7" w:rsidRPr="00EA4420" w:rsidRDefault="000627C7" w:rsidP="00434A8B">
      <w:pPr>
        <w:pStyle w:val="ParaNum"/>
      </w:pPr>
      <w:r w:rsidRPr="00EA4420">
        <w:t xml:space="preserve">We therefore seek comment on various options aimed at increasing cost-effective purchasing by </w:t>
      </w:r>
      <w:r>
        <w:t>E-rate</w:t>
      </w:r>
      <w:r w:rsidRPr="00EA4420">
        <w:t xml:space="preserve"> applicants, including ways to encourage more consortium purchasing and other forms of bulk buying; provide more transparent pricing for </w:t>
      </w:r>
      <w:r>
        <w:t>E-rate</w:t>
      </w:r>
      <w:r w:rsidRPr="00EA4420">
        <w:t xml:space="preserve"> services; reduce single or no bid contracts; and ensure that specific contracts for </w:t>
      </w:r>
      <w:r>
        <w:t>E-rate</w:t>
      </w:r>
      <w:r w:rsidRPr="00EA4420">
        <w:t xml:space="preserve"> supported services are cost-effective.  We also seek comment on creating a model schools and libraries program aimed at identifying specific best practices for cost-effective purchasing.  In addition to seeking comment on these </w:t>
      </w:r>
      <w:r>
        <w:t>ideas</w:t>
      </w:r>
      <w:r w:rsidRPr="00EA4420">
        <w:t xml:space="preserve">, we invite commenters to suggest other ways to drive down prices of </w:t>
      </w:r>
      <w:r>
        <w:t>E-rate</w:t>
      </w:r>
      <w:r w:rsidRPr="00EA4420">
        <w:t xml:space="preserve"> supported services in order to maximize the cost</w:t>
      </w:r>
      <w:r w:rsidR="008662B2">
        <w:t>-</w:t>
      </w:r>
      <w:r w:rsidRPr="00EA4420">
        <w:t xml:space="preserve">effectiveness of purchases made with </w:t>
      </w:r>
      <w:r>
        <w:t>E-rate</w:t>
      </w:r>
      <w:r w:rsidRPr="00EA4420">
        <w:t xml:space="preserve"> funds in furtherance of our second proposed goal for the </w:t>
      </w:r>
      <w:r>
        <w:t>E-rate</w:t>
      </w:r>
      <w:r w:rsidRPr="00EA4420">
        <w:t xml:space="preserve"> program.</w:t>
      </w:r>
      <w:r w:rsidRPr="00EA4420" w:rsidDel="001679CB">
        <w:t xml:space="preserve"> </w:t>
      </w:r>
    </w:p>
    <w:p w14:paraId="197B8907" w14:textId="6ACC7A1E" w:rsidR="000627C7" w:rsidRPr="00A30BDC" w:rsidRDefault="000627C7" w:rsidP="00B9652C">
      <w:pPr>
        <w:pStyle w:val="Heading2"/>
      </w:pPr>
      <w:bookmarkStart w:id="1707" w:name="_Toc352064548"/>
      <w:bookmarkStart w:id="1708" w:name="_Toc352078329"/>
      <w:bookmarkStart w:id="1709" w:name="_Toc352078381"/>
      <w:bookmarkStart w:id="1710" w:name="_Toc352078443"/>
      <w:bookmarkStart w:id="1711" w:name="_Toc352079035"/>
      <w:bookmarkStart w:id="1712" w:name="_Toc352080396"/>
      <w:bookmarkStart w:id="1713" w:name="_Toc352139779"/>
      <w:bookmarkStart w:id="1714" w:name="_Toc354478082"/>
      <w:bookmarkStart w:id="1715" w:name="_Toc354478704"/>
      <w:bookmarkStart w:id="1716" w:name="_Toc354660720"/>
      <w:bookmarkStart w:id="1717" w:name="_Toc358208802"/>
      <w:bookmarkStart w:id="1718" w:name="_Toc358210301"/>
      <w:bookmarkStart w:id="1719" w:name="_Toc358210448"/>
      <w:bookmarkStart w:id="1720" w:name="_Toc358210626"/>
      <w:bookmarkStart w:id="1721" w:name="_Toc358210727"/>
      <w:bookmarkStart w:id="1722" w:name="_Toc358213661"/>
      <w:bookmarkStart w:id="1723" w:name="_Toc358213793"/>
      <w:bookmarkStart w:id="1724" w:name="_Toc358301287"/>
      <w:bookmarkStart w:id="1725" w:name="_Toc358720033"/>
      <w:bookmarkStart w:id="1726" w:name="_Toc358971259"/>
      <w:bookmarkStart w:id="1727" w:name="_Toc358974860"/>
      <w:bookmarkStart w:id="1728" w:name="_Toc358975758"/>
      <w:bookmarkStart w:id="1729" w:name="_Toc358975920"/>
      <w:bookmarkStart w:id="1730" w:name="_Toc358976161"/>
      <w:bookmarkStart w:id="1731" w:name="_Toc358981016"/>
      <w:bookmarkStart w:id="1732" w:name="_Toc358981132"/>
      <w:bookmarkStart w:id="1733" w:name="_Toc358982396"/>
      <w:bookmarkStart w:id="1734" w:name="_Toc358982486"/>
      <w:bookmarkStart w:id="1735" w:name="_Toc359239268"/>
      <w:bookmarkStart w:id="1736" w:name="_Toc359239325"/>
      <w:bookmarkStart w:id="1737" w:name="_Toc359252284"/>
      <w:bookmarkStart w:id="1738" w:name="_Toc359326033"/>
      <w:bookmarkStart w:id="1739" w:name="_Toc359333281"/>
      <w:bookmarkStart w:id="1740" w:name="_Toc359339935"/>
      <w:bookmarkStart w:id="1741" w:name="_Toc359343199"/>
      <w:bookmarkStart w:id="1742" w:name="_Toc359347008"/>
      <w:bookmarkStart w:id="1743" w:name="_Toc359598698"/>
      <w:bookmarkStart w:id="1744" w:name="_Toc359853178"/>
      <w:bookmarkStart w:id="1745" w:name="_Toc359853414"/>
      <w:bookmarkStart w:id="1746" w:name="_Toc359853677"/>
      <w:bookmarkStart w:id="1747" w:name="_Toc359858645"/>
      <w:bookmarkStart w:id="1748" w:name="_Toc359859607"/>
      <w:bookmarkStart w:id="1749" w:name="_Toc359940070"/>
      <w:bookmarkStart w:id="1750" w:name="_Toc360025446"/>
      <w:bookmarkStart w:id="1751" w:name="_Toc360107498"/>
      <w:bookmarkStart w:id="1752" w:name="_Toc360111622"/>
      <w:bookmarkStart w:id="1753" w:name="_Toc360172807"/>
      <w:bookmarkStart w:id="1754" w:name="_Toc360186144"/>
      <w:bookmarkStart w:id="1755" w:name="_Toc360186221"/>
      <w:bookmarkStart w:id="1756" w:name="_Toc360186425"/>
      <w:bookmarkStart w:id="1757" w:name="_Toc360186497"/>
      <w:bookmarkStart w:id="1758" w:name="_Toc360187298"/>
      <w:bookmarkStart w:id="1759" w:name="_Toc360187459"/>
      <w:bookmarkStart w:id="1760" w:name="_Toc360208908"/>
      <w:bookmarkStart w:id="1761" w:name="_Toc360212041"/>
      <w:bookmarkStart w:id="1762" w:name="_Toc361663111"/>
      <w:bookmarkStart w:id="1763" w:name="_Toc361857689"/>
      <w:bookmarkStart w:id="1764" w:name="_Toc361918781"/>
      <w:bookmarkStart w:id="1765" w:name="_Toc362272558"/>
      <w:r>
        <w:t>Increas</w:t>
      </w:r>
      <w:r w:rsidR="00E4308D">
        <w:t>ing</w:t>
      </w:r>
      <w:r>
        <w:t xml:space="preserve"> Consortium Purchasing</w:t>
      </w:r>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r w:rsidRPr="00A30BDC">
        <w:t xml:space="preserve">  </w:t>
      </w:r>
    </w:p>
    <w:p w14:paraId="18780E41" w14:textId="6C05A2F8" w:rsidR="00DE013B" w:rsidRDefault="00DE013B" w:rsidP="00957484">
      <w:pPr>
        <w:pStyle w:val="ParaNum"/>
      </w:pPr>
      <w:bookmarkStart w:id="1766" w:name="_Ref360204550"/>
      <w:r w:rsidRPr="00A30BDC">
        <w:t xml:space="preserve">In the </w:t>
      </w:r>
      <w:r w:rsidRPr="00A30BDC">
        <w:rPr>
          <w:i/>
        </w:rPr>
        <w:t>Universal Service</w:t>
      </w:r>
      <w:r w:rsidRPr="00A30BDC">
        <w:t xml:space="preserve"> </w:t>
      </w:r>
      <w:r w:rsidRPr="00A30BDC">
        <w:rPr>
          <w:i/>
        </w:rPr>
        <w:t>First Report and Order</w:t>
      </w:r>
      <w:r w:rsidRPr="00A30BDC">
        <w:t>, the Commission envisioned that allowing schools and libraries to participate in consortia would aggregate demand to influence existing carriers to lower their prices and promote efficient use of shared facilities.</w:t>
      </w:r>
      <w:r w:rsidRPr="00A30BDC">
        <w:rPr>
          <w:vertAlign w:val="superscript"/>
        </w:rPr>
        <w:footnoteReference w:id="243"/>
      </w:r>
      <w:r w:rsidRPr="00A30BDC">
        <w:t xml:space="preserve">  The Commission expected that consortia </w:t>
      </w:r>
      <w:r w:rsidR="007A4BA1" w:rsidRPr="00A30BDC">
        <w:t>would</w:t>
      </w:r>
      <w:r w:rsidRPr="00A30BDC">
        <w:t xml:space="preserve"> be particularly important in rural regions to negotiate lower rates as well as secure efficiencies.</w:t>
      </w:r>
      <w:r w:rsidRPr="00A30BDC">
        <w:rPr>
          <w:vertAlign w:val="superscript"/>
        </w:rPr>
        <w:footnoteReference w:id="244"/>
      </w:r>
      <w:r w:rsidRPr="00A30BDC">
        <w:t xml:space="preserve">  Today, there are more than 400 consortia, representing </w:t>
      </w:r>
      <w:r>
        <w:t>more than</w:t>
      </w:r>
      <w:r w:rsidRPr="00A30BDC">
        <w:t xml:space="preserve"> 9,400 schools and libraries </w:t>
      </w:r>
      <w:r>
        <w:t xml:space="preserve">(which include schools in more than </w:t>
      </w:r>
      <w:r w:rsidRPr="00A30BDC">
        <w:t>800 school districts</w:t>
      </w:r>
      <w:r>
        <w:t>)</w:t>
      </w:r>
      <w:r w:rsidRPr="00A30BDC">
        <w:t xml:space="preserve">, participating in the </w:t>
      </w:r>
      <w:r>
        <w:t>E-rate</w:t>
      </w:r>
      <w:r w:rsidRPr="00A30BDC">
        <w:t xml:space="preserve"> program.</w:t>
      </w:r>
      <w:r w:rsidRPr="00A30BDC">
        <w:rPr>
          <w:vertAlign w:val="superscript"/>
        </w:rPr>
        <w:footnoteReference w:id="245"/>
      </w:r>
      <w:r w:rsidRPr="00A30BDC">
        <w:t xml:space="preserve">  Every state in the nation has at least one consortium and many states have multiple consortia.</w:t>
      </w:r>
      <w:r w:rsidRPr="00A30BDC">
        <w:rPr>
          <w:vertAlign w:val="superscript"/>
        </w:rPr>
        <w:footnoteReference w:id="246"/>
      </w:r>
      <w:bookmarkEnd w:id="1766"/>
      <w:r w:rsidRPr="00A30BDC">
        <w:t xml:space="preserve">  </w:t>
      </w:r>
    </w:p>
    <w:p w14:paraId="50C7934D" w14:textId="475F7D3E" w:rsidR="00DE013B" w:rsidRPr="00A30BDC" w:rsidRDefault="00DE013B" w:rsidP="00957484">
      <w:pPr>
        <w:pStyle w:val="ParaNum"/>
      </w:pPr>
      <w:r>
        <w:lastRenderedPageBreak/>
        <w:t>At the same time, i</w:t>
      </w:r>
      <w:r w:rsidRPr="00A30BDC">
        <w:t xml:space="preserve">n funding year 2011, consortium purchasing accounted for </w:t>
      </w:r>
      <w:r>
        <w:t>only about</w:t>
      </w:r>
      <w:r w:rsidRPr="00A30BDC">
        <w:t xml:space="preserve"> $300 million of </w:t>
      </w:r>
      <w:r>
        <w:t>E-rate</w:t>
      </w:r>
      <w:r w:rsidRPr="00A30BDC">
        <w:t xml:space="preserve"> funds </w:t>
      </w:r>
      <w:r>
        <w:t xml:space="preserve">committed </w:t>
      </w:r>
      <w:r w:rsidRPr="00A30BDC">
        <w:t>by USAC, or about</w:t>
      </w:r>
      <w:r>
        <w:t xml:space="preserve"> 13 percent</w:t>
      </w:r>
      <w:r w:rsidRPr="00A30BDC">
        <w:t xml:space="preserve"> of all </w:t>
      </w:r>
      <w:r>
        <w:t>E-rate</w:t>
      </w:r>
      <w:r w:rsidRPr="00A30BDC">
        <w:t xml:space="preserve"> funds disbursed.</w:t>
      </w:r>
      <w:r w:rsidRPr="00A30BDC">
        <w:rPr>
          <w:vertAlign w:val="superscript"/>
        </w:rPr>
        <w:footnoteReference w:id="247"/>
      </w:r>
      <w:r w:rsidRPr="00A30BDC">
        <w:t xml:space="preserve">  In the recent </w:t>
      </w:r>
      <w:r w:rsidRPr="00A30BDC">
        <w:rPr>
          <w:i/>
        </w:rPr>
        <w:t xml:space="preserve">Healthcare Connect </w:t>
      </w:r>
      <w:r w:rsidR="00231CD5">
        <w:rPr>
          <w:i/>
        </w:rPr>
        <w:t xml:space="preserve">Fund </w:t>
      </w:r>
      <w:r w:rsidRPr="00A30BDC">
        <w:rPr>
          <w:i/>
        </w:rPr>
        <w:t xml:space="preserve">Order </w:t>
      </w:r>
      <w:r>
        <w:t>the Commission</w:t>
      </w:r>
      <w:r w:rsidRPr="00A30BDC">
        <w:t xml:space="preserve"> </w:t>
      </w:r>
      <w:r>
        <w:t>found that bulk purchasing by</w:t>
      </w:r>
      <w:r w:rsidRPr="00A30BDC">
        <w:t xml:space="preserve"> consortia</w:t>
      </w:r>
      <w:r>
        <w:t xml:space="preserve"> helped</w:t>
      </w:r>
      <w:r w:rsidR="001C7822">
        <w:t xml:space="preserve"> </w:t>
      </w:r>
      <w:r>
        <w:t xml:space="preserve">drive down service rates, increase bandwidth, improve service quality and reduce </w:t>
      </w:r>
      <w:r w:rsidRPr="00A30BDC">
        <w:t xml:space="preserve">administrative </w:t>
      </w:r>
      <w:r>
        <w:t>overhead</w:t>
      </w:r>
      <w:r w:rsidRPr="00A30BDC">
        <w:t>.</w:t>
      </w:r>
      <w:r w:rsidRPr="00A30BDC">
        <w:rPr>
          <w:vertAlign w:val="superscript"/>
        </w:rPr>
        <w:footnoteReference w:id="248"/>
      </w:r>
      <w:r w:rsidRPr="00A30BDC">
        <w:t xml:space="preserve">  We </w:t>
      </w:r>
      <w:r>
        <w:t xml:space="preserve">therefore </w:t>
      </w:r>
      <w:r w:rsidRPr="00A30BDC">
        <w:t>seek comment on whether we should adopt additional incentives or mechanisms to facilitate the use of consortium purchasing</w:t>
      </w:r>
      <w:r>
        <w:t xml:space="preserve"> in the E-rate program</w:t>
      </w:r>
      <w:r w:rsidRPr="00A30BDC">
        <w:t xml:space="preserve">.  In particular, we are interested in ways that consortium purchasing can drive down prices and otherwise benefit applicants </w:t>
      </w:r>
      <w:r>
        <w:t>and the E-rate</w:t>
      </w:r>
      <w:r w:rsidRPr="00A30BDC">
        <w:t xml:space="preserve"> fund.  </w:t>
      </w:r>
    </w:p>
    <w:p w14:paraId="136AD9F3" w14:textId="459F5D5E" w:rsidR="00DE013B" w:rsidRDefault="00DE013B" w:rsidP="00957484">
      <w:pPr>
        <w:pStyle w:val="ParaNum"/>
      </w:pPr>
      <w:r w:rsidRPr="00A30BDC">
        <w:t>We also seek comment on whether there are legal</w:t>
      </w:r>
      <w:r w:rsidR="00C63D4D">
        <w:t xml:space="preserve">, </w:t>
      </w:r>
      <w:r w:rsidRPr="00A30BDC">
        <w:t xml:space="preserve">geographic </w:t>
      </w:r>
      <w:r w:rsidR="00C63D4D">
        <w:t xml:space="preserve">or other </w:t>
      </w:r>
      <w:r w:rsidRPr="00A30BDC">
        <w:t>barriers preventing certain schools and libraries from taking advantage of consortium purchasing.  Are there ways in which our rules prevent or discourage participation by applicants who might otherwise join a co</w:t>
      </w:r>
      <w:r w:rsidR="00AB45B1">
        <w:t xml:space="preserve">nsortium?  </w:t>
      </w:r>
      <w:r w:rsidRPr="00A30BDC">
        <w:t>We invite commenters to identify specific amendments we can make to our rules to ensure that applicants can join or form co</w:t>
      </w:r>
      <w:r>
        <w:t xml:space="preserve">nsortia.  </w:t>
      </w:r>
    </w:p>
    <w:p w14:paraId="0538051D" w14:textId="2F49E594" w:rsidR="00DE013B" w:rsidRDefault="00DE013B" w:rsidP="00957484">
      <w:pPr>
        <w:pStyle w:val="ParaNum"/>
      </w:pPr>
      <w:r>
        <w:t>A</w:t>
      </w:r>
      <w:r w:rsidRPr="00A30BDC">
        <w:t xml:space="preserve">re </w:t>
      </w:r>
      <w:r>
        <w:t xml:space="preserve">there </w:t>
      </w:r>
      <w:r w:rsidRPr="00A30BDC">
        <w:t>other actions the Commission can take to remove barriers to participation in consortia</w:t>
      </w:r>
      <w:r>
        <w:t>?</w:t>
      </w:r>
      <w:r w:rsidRPr="00A30BDC">
        <w:t xml:space="preserve"> </w:t>
      </w:r>
      <w:r>
        <w:t xml:space="preserve"> </w:t>
      </w:r>
      <w:r w:rsidRPr="00A30BDC">
        <w:t xml:space="preserve">We recognize that not all applicants </w:t>
      </w:r>
      <w:r>
        <w:t xml:space="preserve">choose to </w:t>
      </w:r>
      <w:r w:rsidRPr="00A30BDC">
        <w:t>join a consortium</w:t>
      </w:r>
      <w:r>
        <w:t xml:space="preserve"> and we </w:t>
      </w:r>
      <w:r w:rsidRPr="00A30BDC">
        <w:t>therefore ask about the factors that contribute to an applicant’s decision to join or not to join a consortium</w:t>
      </w:r>
      <w:r>
        <w:t>.  In particular, we</w:t>
      </w:r>
      <w:r w:rsidRPr="00A30BDC">
        <w:t xml:space="preserve"> </w:t>
      </w:r>
      <w:r>
        <w:t xml:space="preserve">seek comment from applicants on how they weigh </w:t>
      </w:r>
      <w:r w:rsidRPr="00A30BDC">
        <w:t xml:space="preserve">the administrative benefits of joining a consortium in the </w:t>
      </w:r>
      <w:r>
        <w:t>E-rate</w:t>
      </w:r>
      <w:r w:rsidRPr="00A30BDC">
        <w:t xml:space="preserve"> program </w:t>
      </w:r>
      <w:r>
        <w:t>against</w:t>
      </w:r>
      <w:r w:rsidRPr="00A30BDC">
        <w:t xml:space="preserve"> the burdens</w:t>
      </w:r>
      <w:r>
        <w:t xml:space="preserve"> the program imposes today</w:t>
      </w:r>
      <w:r w:rsidRPr="00A30BDC">
        <w:t xml:space="preserve">. </w:t>
      </w:r>
      <w:r>
        <w:t xml:space="preserve"> W</w:t>
      </w:r>
      <w:r w:rsidRPr="00A30BDC">
        <w:t>e seek comment on whether there are consortia</w:t>
      </w:r>
      <w:r w:rsidR="00D6303C">
        <w:t>-</w:t>
      </w:r>
      <w:r w:rsidRPr="00A30BDC">
        <w:t>friendly application processes that would minimize the administrative burden on applicants and USAC.  Should we, for example, prioritize consortium applications in the USAC review process?  Should we allow for prioritization for all consortia or only those that, for example, include the neediest schools and libraries?  In what ways should we streamline the consortia review process?</w:t>
      </w:r>
      <w:r w:rsidRPr="00A30BDC">
        <w:rPr>
          <w:vertAlign w:val="superscript"/>
        </w:rPr>
        <w:footnoteReference w:id="249"/>
      </w:r>
      <w:r w:rsidR="00C63D4D">
        <w:t xml:space="preserve">  What steps should we take to avoid disadvantaging schools and libraries unable to participate in consortia, such as some schools and libraries on Tribal lands?</w:t>
      </w:r>
      <w:r w:rsidRPr="00A30BDC">
        <w:t xml:space="preserve">  </w:t>
      </w:r>
    </w:p>
    <w:p w14:paraId="5128E819" w14:textId="77777777" w:rsidR="00DE013B" w:rsidRDefault="00DE013B" w:rsidP="00957484">
      <w:pPr>
        <w:pStyle w:val="ParaNum"/>
      </w:pPr>
      <w:r w:rsidRPr="00A30BDC">
        <w:lastRenderedPageBreak/>
        <w:t>We also seek comment on whether particular types of services lend themselves better to consortium purchasing.  For example, we note that while schools and libraries might join consortia for broadband access, they might apply independently for internal connections.  In particular</w:t>
      </w:r>
      <w:r>
        <w:t>,</w:t>
      </w:r>
      <w:r w:rsidRPr="00A30BDC">
        <w:t xml:space="preserve"> we seek comment on whether consortia are effective </w:t>
      </w:r>
      <w:r>
        <w:t xml:space="preserve">vehicles </w:t>
      </w:r>
      <w:r w:rsidRPr="00A30BDC">
        <w:t xml:space="preserve">for </w:t>
      </w:r>
      <w:r>
        <w:t xml:space="preserve">driving down specific costs, such as </w:t>
      </w:r>
      <w:r w:rsidRPr="00A30BDC">
        <w:t>equipment purchas</w:t>
      </w:r>
      <w:r>
        <w:t>es or broadband access</w:t>
      </w:r>
      <w:r w:rsidRPr="00A30BDC">
        <w:t xml:space="preserve">.  </w:t>
      </w:r>
    </w:p>
    <w:p w14:paraId="295CFAA0" w14:textId="40F91E61" w:rsidR="00DE013B" w:rsidRDefault="00DE013B" w:rsidP="00957484">
      <w:pPr>
        <w:pStyle w:val="ParaNum"/>
      </w:pPr>
      <w:r>
        <w:t>W</w:t>
      </w:r>
      <w:r w:rsidRPr="00A30BDC">
        <w:t xml:space="preserve">e seek comment on whether our consortium procedures have different </w:t>
      </w:r>
      <w:r>
        <w:t xml:space="preserve">impacts depending on the composition of the consortia.  For example, are there disparate impacts between </w:t>
      </w:r>
      <w:r w:rsidRPr="00A30BDC">
        <w:t>consortia that include only schools, or only libraries, or both schools and libraries</w:t>
      </w:r>
      <w:r>
        <w:t xml:space="preserve">?  Is the formation of consortia impacted by potential disparities in discount levels?  Are consortia that include other entities such as </w:t>
      </w:r>
      <w:r w:rsidR="007358D3">
        <w:t>health care</w:t>
      </w:r>
      <w:r>
        <w:t xml:space="preserve"> providers and/or public sector entities such as state colleges and universities, educational broadcasters, counties, and municipalities impacted in different ways?  While we seek comment on these consortia configurations, we also open the inquiry to whether there are other entities that join with schools and/or libraries to create consortia and whether there are specific impacts on those consortia.  Given the potential efficiencies of broadband networks that serve multiple types of anchor institutions, are there steps we can take to facilitate the formation of consortia that extend beyond schools  and libraries?</w:t>
      </w:r>
    </w:p>
    <w:p w14:paraId="7743C306" w14:textId="4D935C06" w:rsidR="00A821EF" w:rsidRPr="00A30BDC" w:rsidRDefault="00DE013B" w:rsidP="00DE013B">
      <w:pPr>
        <w:pStyle w:val="ParaNum"/>
      </w:pPr>
      <w:bookmarkStart w:id="1767" w:name="_Ref360204575"/>
      <w:r>
        <w:t>Finally, while we are eager for schools and libraries to secure the many benefits that consortia can provide, we are mindful that aggregation of applicants c</w:t>
      </w:r>
      <w:r w:rsidR="006C6CC7">
        <w:t>an also diminish competition.  </w:t>
      </w:r>
      <w:r>
        <w:t>We seek comment on whether service providers who would compete to serve some of the entities in a consortium might not bid if they could not serve the entire consortium.  As a result, a larger consortium could leave a single bidder facing little pressure to pass on any reduced costs to applicants.  We seek comment on what the Commission might do while encouraging cost-saving consortia so as to minimize, if not avoid, negative effects on competition.</w:t>
      </w:r>
      <w:bookmarkEnd w:id="1767"/>
    </w:p>
    <w:p w14:paraId="0C06656A" w14:textId="5F4B4B1F" w:rsidR="000627C7" w:rsidRPr="00A30BDC" w:rsidRDefault="000627C7" w:rsidP="00B9652C">
      <w:pPr>
        <w:pStyle w:val="Heading2"/>
      </w:pPr>
      <w:bookmarkStart w:id="1768" w:name="_Toc352064549"/>
      <w:bookmarkStart w:id="1769" w:name="_Toc352078330"/>
      <w:bookmarkStart w:id="1770" w:name="_Toc352078382"/>
      <w:bookmarkStart w:id="1771" w:name="_Toc352078444"/>
      <w:bookmarkStart w:id="1772" w:name="_Toc352079036"/>
      <w:bookmarkStart w:id="1773" w:name="_Toc352080397"/>
      <w:bookmarkStart w:id="1774" w:name="_Toc352139780"/>
      <w:bookmarkStart w:id="1775" w:name="_Toc354478083"/>
      <w:bookmarkStart w:id="1776" w:name="_Toc354478705"/>
      <w:bookmarkStart w:id="1777" w:name="_Toc354660721"/>
      <w:bookmarkStart w:id="1778" w:name="_Toc358208803"/>
      <w:bookmarkStart w:id="1779" w:name="_Toc358210302"/>
      <w:bookmarkStart w:id="1780" w:name="_Toc358210449"/>
      <w:bookmarkStart w:id="1781" w:name="_Toc358210627"/>
      <w:bookmarkStart w:id="1782" w:name="_Toc358210728"/>
      <w:bookmarkStart w:id="1783" w:name="_Toc358213662"/>
      <w:bookmarkStart w:id="1784" w:name="_Toc358213794"/>
      <w:bookmarkStart w:id="1785" w:name="_Toc358301288"/>
      <w:bookmarkStart w:id="1786" w:name="_Toc358720034"/>
      <w:bookmarkStart w:id="1787" w:name="_Toc358971260"/>
      <w:bookmarkStart w:id="1788" w:name="_Toc358974861"/>
      <w:bookmarkStart w:id="1789" w:name="_Toc358975759"/>
      <w:bookmarkStart w:id="1790" w:name="_Toc358975921"/>
      <w:bookmarkStart w:id="1791" w:name="_Toc358976162"/>
      <w:bookmarkStart w:id="1792" w:name="_Toc358981017"/>
      <w:bookmarkStart w:id="1793" w:name="_Toc358981133"/>
      <w:bookmarkStart w:id="1794" w:name="_Toc358982397"/>
      <w:bookmarkStart w:id="1795" w:name="_Toc358982487"/>
      <w:bookmarkStart w:id="1796" w:name="_Toc359239269"/>
      <w:bookmarkStart w:id="1797" w:name="_Toc359239326"/>
      <w:bookmarkStart w:id="1798" w:name="_Toc359252285"/>
      <w:bookmarkStart w:id="1799" w:name="_Toc359326034"/>
      <w:bookmarkStart w:id="1800" w:name="_Toc359333282"/>
      <w:bookmarkStart w:id="1801" w:name="_Toc359339936"/>
      <w:bookmarkStart w:id="1802" w:name="_Toc359343200"/>
      <w:bookmarkStart w:id="1803" w:name="_Toc359347009"/>
      <w:bookmarkStart w:id="1804" w:name="_Toc359598699"/>
      <w:bookmarkStart w:id="1805" w:name="_Toc359853179"/>
      <w:bookmarkStart w:id="1806" w:name="_Toc359853415"/>
      <w:bookmarkStart w:id="1807" w:name="_Toc359853678"/>
      <w:bookmarkStart w:id="1808" w:name="_Toc359858646"/>
      <w:bookmarkStart w:id="1809" w:name="_Toc359859608"/>
      <w:bookmarkStart w:id="1810" w:name="_Toc359940071"/>
      <w:bookmarkStart w:id="1811" w:name="_Toc360025447"/>
      <w:bookmarkStart w:id="1812" w:name="_Toc360107499"/>
      <w:bookmarkStart w:id="1813" w:name="_Toc360111623"/>
      <w:bookmarkStart w:id="1814" w:name="_Toc360172808"/>
      <w:bookmarkStart w:id="1815" w:name="_Toc360186145"/>
      <w:bookmarkStart w:id="1816" w:name="_Toc360186222"/>
      <w:bookmarkStart w:id="1817" w:name="_Toc360186426"/>
      <w:bookmarkStart w:id="1818" w:name="_Toc360186498"/>
      <w:bookmarkStart w:id="1819" w:name="_Toc360187299"/>
      <w:bookmarkStart w:id="1820" w:name="_Toc360187460"/>
      <w:bookmarkStart w:id="1821" w:name="_Toc360208909"/>
      <w:bookmarkStart w:id="1822" w:name="_Toc360212042"/>
      <w:bookmarkStart w:id="1823" w:name="_Toc361663112"/>
      <w:bookmarkStart w:id="1824" w:name="_Toc361857690"/>
      <w:bookmarkStart w:id="1825" w:name="_Toc361918782"/>
      <w:bookmarkStart w:id="1826" w:name="_Toc362272559"/>
      <w:r>
        <w:t>Encourag</w:t>
      </w:r>
      <w:r w:rsidR="00E4308D">
        <w:t>ing</w:t>
      </w:r>
      <w:r>
        <w:t xml:space="preserve"> Other Types of Bulk Buying O</w:t>
      </w:r>
      <w:r w:rsidRPr="00A30BDC">
        <w:t>pportunities</w:t>
      </w:r>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p>
    <w:p w14:paraId="6C6D48EE" w14:textId="798B607C" w:rsidR="000627C7" w:rsidRPr="00A30BDC" w:rsidRDefault="000627C7" w:rsidP="00F47042">
      <w:pPr>
        <w:pStyle w:val="ParaNum"/>
      </w:pPr>
      <w:r w:rsidRPr="00A30BDC">
        <w:t xml:space="preserve">We seek comment on how best to encourage other types of bulk buying of </w:t>
      </w:r>
      <w:r>
        <w:t>E-rate</w:t>
      </w:r>
      <w:r w:rsidRPr="00A30BDC">
        <w:t xml:space="preserve"> supported services.  </w:t>
      </w:r>
      <w:r>
        <w:t xml:space="preserve">Currently, </w:t>
      </w:r>
      <w:r w:rsidRPr="00A30BDC">
        <w:t xml:space="preserve">consortia are one </w:t>
      </w:r>
      <w:r>
        <w:t xml:space="preserve">of many </w:t>
      </w:r>
      <w:r w:rsidRPr="00A30BDC">
        <w:t>way</w:t>
      </w:r>
      <w:r>
        <w:t>s</w:t>
      </w:r>
      <w:r w:rsidRPr="00A30BDC">
        <w:t xml:space="preserve"> that </w:t>
      </w:r>
      <w:r>
        <w:t>E-rate</w:t>
      </w:r>
      <w:r w:rsidRPr="00A30BDC">
        <w:t xml:space="preserve"> applicants</w:t>
      </w:r>
      <w:r>
        <w:t xml:space="preserve"> </w:t>
      </w:r>
      <w:r w:rsidRPr="00A30BDC">
        <w:t xml:space="preserve">aggregate demand for </w:t>
      </w:r>
      <w:r>
        <w:t>E-rate</w:t>
      </w:r>
      <w:r w:rsidRPr="00A30BDC">
        <w:t xml:space="preserve"> supported services </w:t>
      </w:r>
      <w:r>
        <w:t xml:space="preserve">in order </w:t>
      </w:r>
      <w:r w:rsidRPr="00A30BDC">
        <w:t xml:space="preserve">to reduce prices and procure necessary services.  In some cases, </w:t>
      </w:r>
      <w:r>
        <w:t>E-rate</w:t>
      </w:r>
      <w:r w:rsidRPr="00A30BDC">
        <w:t xml:space="preserve"> applicants purchase from </w:t>
      </w:r>
      <w:r>
        <w:t>s</w:t>
      </w:r>
      <w:r w:rsidRPr="00A30BDC">
        <w:t xml:space="preserve">tate </w:t>
      </w:r>
      <w:r>
        <w:t>m</w:t>
      </w:r>
      <w:r w:rsidRPr="00A30BDC">
        <w:t xml:space="preserve">aster </w:t>
      </w:r>
      <w:r>
        <w:t>c</w:t>
      </w:r>
      <w:r w:rsidRPr="00A30BDC">
        <w:t xml:space="preserve">ontracts, which offer prices, terms and conditions negotiated by a state on behalf of a wide range of </w:t>
      </w:r>
      <w:r>
        <w:t xml:space="preserve">public </w:t>
      </w:r>
      <w:r w:rsidRPr="00A30BDC">
        <w:t>institutions</w:t>
      </w:r>
      <w:r>
        <w:t xml:space="preserve"> within that state</w:t>
      </w:r>
      <w:r w:rsidRPr="00A30BDC">
        <w:t>.</w:t>
      </w:r>
      <w:r w:rsidRPr="00A30BDC">
        <w:rPr>
          <w:vertAlign w:val="superscript"/>
        </w:rPr>
        <w:footnoteReference w:id="250"/>
      </w:r>
      <w:r w:rsidRPr="00A30BDC">
        <w:t xml:space="preserve">  </w:t>
      </w:r>
      <w:r>
        <w:t xml:space="preserve">In </w:t>
      </w:r>
      <w:r>
        <w:lastRenderedPageBreak/>
        <w:t xml:space="preserve">many places, state or regional research and education networks </w:t>
      </w:r>
      <w:r w:rsidR="002832AB">
        <w:t xml:space="preserve">(R&amp;E networks) </w:t>
      </w:r>
      <w:r>
        <w:t>are also available and offer bulk purchasing opportunities for applicants.</w:t>
      </w:r>
      <w:r>
        <w:rPr>
          <w:rStyle w:val="FootnoteReference"/>
        </w:rPr>
        <w:footnoteReference w:id="251"/>
      </w:r>
      <w:r>
        <w:t xml:space="preserve">  </w:t>
      </w:r>
      <w:r w:rsidRPr="00A30BDC">
        <w:t xml:space="preserve">In other cases, </w:t>
      </w:r>
      <w:r>
        <w:t>E-rate</w:t>
      </w:r>
      <w:r w:rsidRPr="00A30BDC">
        <w:t xml:space="preserve"> applicants may be able to take advantage of regional contracts managed by public, non-profit or private entities that also aggregate demand and manage the procurement process.  </w:t>
      </w:r>
      <w:r w:rsidR="008662B2">
        <w:t xml:space="preserve">Should applicants be required to purchase from these state master or regional contracts in which they may participate, unless they can receive the same services for a lower price?  </w:t>
      </w:r>
      <w:r w:rsidRPr="00A30BDC">
        <w:t xml:space="preserve">We seek comment on </w:t>
      </w:r>
      <w:r>
        <w:t xml:space="preserve">the benefits and burdens of </w:t>
      </w:r>
      <w:r w:rsidRPr="00A30BDC">
        <w:t xml:space="preserve">these and any other methods that </w:t>
      </w:r>
      <w:r>
        <w:t>E-rate</w:t>
      </w:r>
      <w:r w:rsidRPr="00A30BDC">
        <w:t xml:space="preserve"> applicants currently use to aggregate demand for </w:t>
      </w:r>
      <w:r>
        <w:t>E-rate</w:t>
      </w:r>
      <w:r w:rsidRPr="00A30BDC">
        <w:t xml:space="preserve"> supported services and request that commenters provide data on how effective such approaches are for driving down prices and creating administrative efficiencies for </w:t>
      </w:r>
      <w:r>
        <w:t>E-rate</w:t>
      </w:r>
      <w:r w:rsidRPr="00A30BDC">
        <w:t xml:space="preserve"> applicants.  We also invite applicants to identify and comment on other methods of bulk buying that exist outside the </w:t>
      </w:r>
      <w:r>
        <w:t>E-rate</w:t>
      </w:r>
      <w:r w:rsidRPr="00A30BDC">
        <w:t xml:space="preserve"> program and whether such methods could be successfully adapted to the </w:t>
      </w:r>
      <w:r>
        <w:t>E-rate</w:t>
      </w:r>
      <w:r w:rsidRPr="00A30BDC">
        <w:t xml:space="preserve"> program. </w:t>
      </w:r>
    </w:p>
    <w:p w14:paraId="3793BFDB" w14:textId="045FD930" w:rsidR="000627C7" w:rsidRDefault="000627C7" w:rsidP="007475B1">
      <w:pPr>
        <w:pStyle w:val="ParaNum"/>
      </w:pPr>
      <w:r w:rsidRPr="00A30BDC">
        <w:t xml:space="preserve">We also </w:t>
      </w:r>
      <w:r>
        <w:t>seek comment on</w:t>
      </w:r>
      <w:r w:rsidRPr="00A30BDC">
        <w:t xml:space="preserve"> whether the </w:t>
      </w:r>
      <w:r>
        <w:t>Commission</w:t>
      </w:r>
      <w:r w:rsidRPr="00A30BDC">
        <w:t xml:space="preserve">, working with USAC or some other entity, should create a formal bulk buying program for </w:t>
      </w:r>
      <w:r>
        <w:t>E-rate</w:t>
      </w:r>
      <w:r w:rsidRPr="00A30BDC">
        <w:t xml:space="preserve"> supported services.  If so, are there specific products or services that such a program should cover?  </w:t>
      </w:r>
      <w:r>
        <w:t xml:space="preserve">For example, are there certain products, like wireless routers, that are standard or common to school and library networks nationwide?  </w:t>
      </w:r>
      <w:r w:rsidRPr="00A30BDC">
        <w:t xml:space="preserve">Generally, how would such an initiative work within the structure of the current </w:t>
      </w:r>
      <w:r>
        <w:t>E-rate</w:t>
      </w:r>
      <w:r w:rsidRPr="00A30BDC">
        <w:t xml:space="preserve"> program?  How would such a program appeal to applicants?  </w:t>
      </w:r>
    </w:p>
    <w:p w14:paraId="3A3415E4" w14:textId="77777777" w:rsidR="000627C7" w:rsidRDefault="000627C7" w:rsidP="007475B1">
      <w:pPr>
        <w:pStyle w:val="ParaNum"/>
      </w:pPr>
      <w:r>
        <w:t xml:space="preserve">If we adopt a bulk buying program, should we amend our rules so that purchases made using the program would be exempt from our competitive bidding requirements?  </w:t>
      </w:r>
      <w:r w:rsidRPr="00A30BDC">
        <w:t xml:space="preserve">Would we incentivize participation by preempting all or some of the USAC review processes for applicants who purchase through the bulk buying program? </w:t>
      </w:r>
      <w:r>
        <w:t xml:space="preserve"> </w:t>
      </w:r>
      <w:r w:rsidRPr="00A30BDC" w:rsidDel="005A3757">
        <w:t>H</w:t>
      </w:r>
      <w:r w:rsidRPr="00A30BDC">
        <w:t>ow should we treat applicants who purchase products and services that are available through the bulk buying program</w:t>
      </w:r>
      <w:r>
        <w:t>, outside of the bulk buying program</w:t>
      </w:r>
      <w:r w:rsidRPr="00A30BDC">
        <w:t xml:space="preserve">?  Should we, for example, treat the prices available through such a bulk-buying as the maximum price for which an applicant can seek support?  </w:t>
      </w:r>
    </w:p>
    <w:p w14:paraId="7B38A3CA" w14:textId="77777777" w:rsidR="000627C7" w:rsidRDefault="000627C7" w:rsidP="007475B1">
      <w:pPr>
        <w:pStyle w:val="ParaNum"/>
      </w:pPr>
      <w:r w:rsidRPr="00A30BDC">
        <w:t xml:space="preserve">On the other hand, are there benefits to consortium membership or independent purchasing that could be lost if we were to encourage alternative bulk-purchasing arrangements?  By </w:t>
      </w:r>
      <w:r w:rsidRPr="00A30BDC">
        <w:lastRenderedPageBreak/>
        <w:t xml:space="preserve">suggesting one bulk buying option, we do not intend to foreclose others, and seek comment on other options. </w:t>
      </w:r>
    </w:p>
    <w:p w14:paraId="46F08607" w14:textId="4A8B6F18" w:rsidR="000627C7" w:rsidRPr="00A30BDC" w:rsidRDefault="000627C7" w:rsidP="007475B1">
      <w:pPr>
        <w:pStyle w:val="ParaNum"/>
      </w:pPr>
      <w:r>
        <w:t xml:space="preserve">We also seek comment on </w:t>
      </w:r>
      <w:r w:rsidR="00AC5402">
        <w:t xml:space="preserve">whether </w:t>
      </w:r>
      <w:r>
        <w:t xml:space="preserve">E-rate applicants can lower costs by aggregating </w:t>
      </w:r>
      <w:r w:rsidR="007F0C5B">
        <w:t xml:space="preserve">data </w:t>
      </w:r>
      <w:r>
        <w:t>traffic.  As we noted earlier, many schools and libraries use district-wide or regional WANs to provide broadband connectivity between buildings.</w:t>
      </w:r>
      <w:r>
        <w:rPr>
          <w:rStyle w:val="FootnoteReference"/>
        </w:rPr>
        <w:footnoteReference w:id="252"/>
      </w:r>
      <w:r>
        <w:t xml:space="preserve">  Similarly, state R&amp;E networks can provide high capacity routes from major locations within a state, relying on national networks for long-distance connections and local connections to reach smaller communities and buildings within a community.</w:t>
      </w:r>
      <w:r>
        <w:rPr>
          <w:rStyle w:val="FootnoteReference"/>
        </w:rPr>
        <w:footnoteReference w:id="253"/>
      </w:r>
      <w:r>
        <w:t xml:space="preserve">  By partnering with WANs or R&amp;E networks and aggregating Internet traffic, schools and libraries may be able to further drive down prices.  E-rate applicants may also work with WANs and R&amp;E networks to purchase circuits and network equipment in bulk and to take advantage of knowledge and relationships with commercial service providers.</w:t>
      </w:r>
      <w:r>
        <w:rPr>
          <w:rStyle w:val="FootnoteReference"/>
        </w:rPr>
        <w:footnoteReference w:id="254"/>
      </w:r>
      <w:r>
        <w:t xml:space="preserve">  We seek comment on policies that we can adopt to encourage E-rate applicants to leverage these other networks to lower prices. </w:t>
      </w:r>
      <w:r w:rsidRPr="00A30BDC">
        <w:t xml:space="preserve"> </w:t>
      </w:r>
    </w:p>
    <w:p w14:paraId="145287F2" w14:textId="284FC953" w:rsidR="000627C7" w:rsidRPr="00A30BDC" w:rsidRDefault="000627C7" w:rsidP="00B9652C">
      <w:pPr>
        <w:pStyle w:val="Heading2"/>
      </w:pPr>
      <w:bookmarkStart w:id="1827" w:name="_Toc362272560"/>
      <w:bookmarkStart w:id="1828" w:name="_Toc352064550"/>
      <w:bookmarkStart w:id="1829" w:name="_Toc352078331"/>
      <w:bookmarkStart w:id="1830" w:name="_Toc352078383"/>
      <w:bookmarkStart w:id="1831" w:name="_Toc352078445"/>
      <w:bookmarkStart w:id="1832" w:name="_Toc352079037"/>
      <w:bookmarkStart w:id="1833" w:name="_Toc352080398"/>
      <w:bookmarkStart w:id="1834" w:name="_Toc352139781"/>
      <w:bookmarkStart w:id="1835" w:name="_Toc354478084"/>
      <w:bookmarkStart w:id="1836" w:name="_Toc354478706"/>
      <w:bookmarkStart w:id="1837" w:name="_Toc354660722"/>
      <w:bookmarkStart w:id="1838" w:name="_Toc358208804"/>
      <w:bookmarkStart w:id="1839" w:name="_Toc358210303"/>
      <w:bookmarkStart w:id="1840" w:name="_Toc358210450"/>
      <w:bookmarkStart w:id="1841" w:name="_Toc358210628"/>
      <w:bookmarkStart w:id="1842" w:name="_Toc358210729"/>
      <w:bookmarkStart w:id="1843" w:name="_Toc358213663"/>
      <w:bookmarkStart w:id="1844" w:name="_Toc358213795"/>
      <w:bookmarkStart w:id="1845" w:name="_Toc358301289"/>
      <w:bookmarkStart w:id="1846" w:name="_Toc358720035"/>
      <w:bookmarkStart w:id="1847" w:name="_Toc358971261"/>
      <w:bookmarkStart w:id="1848" w:name="_Toc358974862"/>
      <w:bookmarkStart w:id="1849" w:name="_Toc358975760"/>
      <w:bookmarkStart w:id="1850" w:name="_Toc358975922"/>
      <w:bookmarkStart w:id="1851" w:name="_Toc358976163"/>
      <w:bookmarkStart w:id="1852" w:name="_Toc358981018"/>
      <w:bookmarkStart w:id="1853" w:name="_Toc358981134"/>
      <w:bookmarkStart w:id="1854" w:name="_Toc358982398"/>
      <w:bookmarkStart w:id="1855" w:name="_Toc358982488"/>
      <w:bookmarkStart w:id="1856" w:name="_Toc359239270"/>
      <w:bookmarkStart w:id="1857" w:name="_Toc359239327"/>
      <w:bookmarkStart w:id="1858" w:name="_Toc359252286"/>
      <w:bookmarkStart w:id="1859" w:name="_Toc359326035"/>
      <w:bookmarkStart w:id="1860" w:name="_Toc359333283"/>
      <w:bookmarkStart w:id="1861" w:name="_Toc359339937"/>
      <w:bookmarkStart w:id="1862" w:name="_Toc359343201"/>
      <w:bookmarkStart w:id="1863" w:name="_Toc359347010"/>
      <w:bookmarkStart w:id="1864" w:name="_Toc359598700"/>
      <w:bookmarkStart w:id="1865" w:name="_Toc359853180"/>
      <w:bookmarkStart w:id="1866" w:name="_Toc359853416"/>
      <w:bookmarkStart w:id="1867" w:name="_Toc359853679"/>
      <w:bookmarkStart w:id="1868" w:name="_Toc359858647"/>
      <w:bookmarkStart w:id="1869" w:name="_Toc359859609"/>
      <w:bookmarkStart w:id="1870" w:name="_Toc359940072"/>
      <w:bookmarkStart w:id="1871" w:name="_Toc360025448"/>
      <w:bookmarkStart w:id="1872" w:name="_Toc360107500"/>
      <w:bookmarkStart w:id="1873" w:name="_Toc360111624"/>
      <w:bookmarkStart w:id="1874" w:name="_Toc360172809"/>
      <w:bookmarkStart w:id="1875" w:name="_Toc360186146"/>
      <w:bookmarkStart w:id="1876" w:name="_Toc360186223"/>
      <w:bookmarkStart w:id="1877" w:name="_Toc360186427"/>
      <w:bookmarkStart w:id="1878" w:name="_Toc360186499"/>
      <w:bookmarkStart w:id="1879" w:name="_Toc360187300"/>
      <w:bookmarkStart w:id="1880" w:name="_Toc360187461"/>
      <w:bookmarkStart w:id="1881" w:name="_Toc360208910"/>
      <w:bookmarkStart w:id="1882" w:name="_Toc360212043"/>
      <w:bookmarkStart w:id="1883" w:name="_Toc361663113"/>
      <w:bookmarkStart w:id="1884" w:name="_Toc361857691"/>
      <w:bookmarkStart w:id="1885" w:name="_Toc361918783"/>
      <w:r>
        <w:t>Increas</w:t>
      </w:r>
      <w:r w:rsidR="00E4308D">
        <w:t>ing</w:t>
      </w:r>
      <w:r>
        <w:t xml:space="preserve"> Transparency</w:t>
      </w:r>
      <w:bookmarkEnd w:id="1827"/>
      <w:r>
        <w:t xml:space="preserve"> </w:t>
      </w:r>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p>
    <w:p w14:paraId="3D361ABE" w14:textId="5FA1FC38" w:rsidR="000627C7" w:rsidRDefault="000627C7" w:rsidP="00883DA1">
      <w:pPr>
        <w:pStyle w:val="ParaNum"/>
      </w:pPr>
      <w:r w:rsidRPr="00A30BDC">
        <w:t xml:space="preserve">We also propose to increase the transparency of </w:t>
      </w:r>
      <w:r w:rsidR="004938D8">
        <w:t>E-</w:t>
      </w:r>
      <w:r w:rsidR="00DC3997">
        <w:t>r</w:t>
      </w:r>
      <w:r w:rsidR="004938D8">
        <w:t>ate spending and specifically the prices E-</w:t>
      </w:r>
      <w:r w:rsidR="00DC3997">
        <w:t>r</w:t>
      </w:r>
      <w:r w:rsidR="004938D8">
        <w:t>ate applicants pay for service.  Increasing such transparency may aid oversight of the E-</w:t>
      </w:r>
      <w:r w:rsidR="00DC3997">
        <w:t>r</w:t>
      </w:r>
      <w:r w:rsidR="004938D8">
        <w:t xml:space="preserve">ate program and </w:t>
      </w:r>
      <w:r w:rsidR="004938D8" w:rsidRPr="00A30BDC">
        <w:t xml:space="preserve">drive down the prices of </w:t>
      </w:r>
      <w:r w:rsidR="004938D8">
        <w:t>E-rate</w:t>
      </w:r>
      <w:r w:rsidR="004938D8" w:rsidRPr="00A30BDC">
        <w:t xml:space="preserve"> supported services.  </w:t>
      </w:r>
      <w:r w:rsidR="004938D8">
        <w:t xml:space="preserve">We seek comment on directing USAC to publish more granular information about </w:t>
      </w:r>
      <w:r w:rsidR="00DC3997">
        <w:t>E-rate</w:t>
      </w:r>
      <w:r w:rsidR="004938D8">
        <w:t xml:space="preserve"> spending and on how to collect such information.  </w:t>
      </w:r>
      <w:r w:rsidRPr="00A30BDC">
        <w:t xml:space="preserve">We seek comment on whether increasing price transparency will result in schools and libraries paying less for </w:t>
      </w:r>
      <w:r>
        <w:t>E-rate</w:t>
      </w:r>
      <w:r w:rsidRPr="00A30BDC">
        <w:t xml:space="preserve"> supported services</w:t>
      </w:r>
      <w:r>
        <w:t xml:space="preserve"> and</w:t>
      </w:r>
      <w:r w:rsidRPr="00A30BDC">
        <w:t xml:space="preserve"> on ways we can assist in making prices for </w:t>
      </w:r>
      <w:r>
        <w:t>E-rate</w:t>
      </w:r>
      <w:r w:rsidRPr="00A30BDC">
        <w:t xml:space="preserve"> supported services more transparent.  More specifically, we propose options for informing schools and libraries about the prices</w:t>
      </w:r>
      <w:r>
        <w:t xml:space="preserve"> at which</w:t>
      </w:r>
      <w:r w:rsidRPr="00A30BDC">
        <w:t xml:space="preserve"> service providers are willing to offer for </w:t>
      </w:r>
      <w:r>
        <w:t>E-rate</w:t>
      </w:r>
      <w:r w:rsidRPr="00A30BDC">
        <w:t xml:space="preserve"> supported services.  We seek comment on the options we propose and invite commenters to offer other suggestions.</w:t>
      </w:r>
    </w:p>
    <w:p w14:paraId="301BD3DA" w14:textId="6455D712" w:rsidR="004938D8" w:rsidRDefault="004938D8" w:rsidP="004938D8">
      <w:pPr>
        <w:numPr>
          <w:ilvl w:val="0"/>
          <w:numId w:val="2"/>
        </w:numPr>
        <w:tabs>
          <w:tab w:val="clear" w:pos="1080"/>
          <w:tab w:val="num" w:pos="1440"/>
        </w:tabs>
        <w:spacing w:after="120"/>
      </w:pPr>
      <w:r w:rsidRPr="00644AF9">
        <w:rPr>
          <w:i/>
        </w:rPr>
        <w:t>Transparency of E-</w:t>
      </w:r>
      <w:r>
        <w:rPr>
          <w:i/>
        </w:rPr>
        <w:t>r</w:t>
      </w:r>
      <w:r w:rsidRPr="00644AF9">
        <w:rPr>
          <w:i/>
        </w:rPr>
        <w:t xml:space="preserve">ate </w:t>
      </w:r>
      <w:r>
        <w:rPr>
          <w:i/>
        </w:rPr>
        <w:t>s</w:t>
      </w:r>
      <w:r w:rsidRPr="00644AF9">
        <w:rPr>
          <w:i/>
        </w:rPr>
        <w:t>pending</w:t>
      </w:r>
      <w:r>
        <w:t>.  We seek ways to increase transparency with respect to how E-rate funds are allocated and spent.  The National Broadband Plan, for example, recommended that we “collect and publish more specific, quantifiable and standardized data about applicants’ use of E-rate funds.”</w:t>
      </w:r>
      <w:r>
        <w:rPr>
          <w:rStyle w:val="FootnoteReference"/>
        </w:rPr>
        <w:footnoteReference w:id="255"/>
      </w:r>
      <w:r>
        <w:t xml:space="preserve">  We accordingly seek comment on whether USAC </w:t>
      </w:r>
      <w:r>
        <w:lastRenderedPageBreak/>
        <w:t>should be required to create a website where any American could easily look up the details of how any participant in the E-rate program had used its funds in any given year.  How should such information be organized?  At what level of detail should it be reported?  Would such a website provide valuable information to parents?  Would it encourage officials to spend money more wisely?  How else can we increase the transparency of E-rate spending, including the access that local journalists, school boards, librarians, city governments, and parents have on how E-rate funds are allocated and on what they are spent?</w:t>
      </w:r>
    </w:p>
    <w:p w14:paraId="0021EA08" w14:textId="1FDEC31C" w:rsidR="004938D8" w:rsidRPr="00A30BDC" w:rsidRDefault="004938D8" w:rsidP="004938D8">
      <w:pPr>
        <w:pStyle w:val="ParaNum"/>
      </w:pPr>
      <w:r>
        <w:t>Below we seek comment on ways to streamline the E-rate application process.  In line with that discussion, how can we minimize the reporting burden on schools and libraries while maximizing the insight the American public has into the spending of E-rate funds?  For example, schools report certain characteristics such as the number of classrooms connected on the current Form 471, but that information must be reported before a school has completed a project and before a school has even received a commitment of funding.  Could we reduce this burden by instead requiring the disclosure of relevant information (such as capacity leased or wireless access points purchased) on the back-end as part of the invoicing/payment validation process (perhaps as part of Form 486)?  Should we require such reporting in a standard format or allow or encourage a fuller description?  In short, can we simultaneously increase the transparency of E-rate spending while reducing the burden on applicants?</w:t>
      </w:r>
    </w:p>
    <w:p w14:paraId="5FACBDF8" w14:textId="0E768C85" w:rsidR="000627C7" w:rsidRPr="00A30BDC" w:rsidRDefault="000627C7" w:rsidP="007475B1">
      <w:pPr>
        <w:pStyle w:val="ParaNum"/>
      </w:pPr>
      <w:r w:rsidRPr="00543A8C">
        <w:rPr>
          <w:i/>
        </w:rPr>
        <w:t>Transparency</w:t>
      </w:r>
      <w:r w:rsidRPr="00A30BDC">
        <w:rPr>
          <w:i/>
        </w:rPr>
        <w:t xml:space="preserve"> of prices available for </w:t>
      </w:r>
      <w:r>
        <w:rPr>
          <w:i/>
        </w:rPr>
        <w:t>E-rate</w:t>
      </w:r>
      <w:r w:rsidRPr="00A30BDC">
        <w:rPr>
          <w:i/>
        </w:rPr>
        <w:t xml:space="preserve"> supported services.</w:t>
      </w:r>
      <w:r w:rsidRPr="00A30BDC">
        <w:t xml:space="preserve">  We seek comment on how best to increase the transparency of prices for </w:t>
      </w:r>
      <w:r>
        <w:t>E-rate</w:t>
      </w:r>
      <w:r w:rsidRPr="00A30BDC">
        <w:t xml:space="preserve"> supported services.  Are there publicly</w:t>
      </w:r>
      <w:r>
        <w:t xml:space="preserve"> </w:t>
      </w:r>
      <w:r w:rsidRPr="00A30BDC">
        <w:t xml:space="preserve">available online forums, blogs or other media, where schools and libraries can share information about the best prices and deals for </w:t>
      </w:r>
      <w:r>
        <w:t>E-rate</w:t>
      </w:r>
      <w:r w:rsidRPr="00A30BDC">
        <w:t xml:space="preserve"> eligible services?  If not, or if currently available information is insufficient, we seek comment on what role, if any, the Commission or USAC should have in operating, hosting or endorsing websites or other ways of encouraging service providers to share pricing information with </w:t>
      </w:r>
      <w:r>
        <w:t>E-rate</w:t>
      </w:r>
      <w:r w:rsidRPr="00A30BDC">
        <w:t xml:space="preserve"> applicants, and facilitate price comparisons.  We invite commenters who have experience with other information exchanges to comment on examples of what does or does not work in other contexts, and whether there are models we should look to in unrelated markets or other countries. </w:t>
      </w:r>
      <w:r>
        <w:t xml:space="preserve"> </w:t>
      </w:r>
    </w:p>
    <w:p w14:paraId="0100AFDC" w14:textId="4C28A880" w:rsidR="000627C7" w:rsidRPr="00A30BDC" w:rsidRDefault="000627C7" w:rsidP="007475B1">
      <w:pPr>
        <w:pStyle w:val="ParaNum"/>
      </w:pPr>
      <w:r w:rsidRPr="00543A8C">
        <w:rPr>
          <w:i/>
        </w:rPr>
        <w:t>Transparency</w:t>
      </w:r>
      <w:r w:rsidRPr="00A30BDC">
        <w:rPr>
          <w:i/>
        </w:rPr>
        <w:t xml:space="preserve"> of prices being bid for </w:t>
      </w:r>
      <w:r>
        <w:rPr>
          <w:i/>
        </w:rPr>
        <w:t>E-rate</w:t>
      </w:r>
      <w:r w:rsidRPr="00A30BDC">
        <w:rPr>
          <w:i/>
        </w:rPr>
        <w:t xml:space="preserve"> supported services.  </w:t>
      </w:r>
      <w:r w:rsidRPr="00A30BDC">
        <w:t xml:space="preserve">Our competitive bidding rules require applicants to publicly seek bids for </w:t>
      </w:r>
      <w:r>
        <w:t>E-rate</w:t>
      </w:r>
      <w:r w:rsidRPr="00A30BDC">
        <w:t xml:space="preserve"> supported services, but our rules do not require applicants or service providers to make the responses to those bids public.  Should we consider making bid </w:t>
      </w:r>
      <w:r w:rsidRPr="00A30BDC">
        <w:lastRenderedPageBreak/>
        <w:t>responses public</w:t>
      </w:r>
      <w:r>
        <w:t xml:space="preserve"> or at least accessible to other E-rate applicants</w:t>
      </w:r>
      <w:r w:rsidRPr="00A30BDC">
        <w:t xml:space="preserve">?  </w:t>
      </w:r>
      <w:r>
        <w:t xml:space="preserve">Would it be advisable to release this information only after the applicant has selected a vendor for the requested services?  </w:t>
      </w:r>
      <w:r w:rsidRPr="00A30BDC">
        <w:t xml:space="preserve">Are there any state laws, court orders, or contracts </w:t>
      </w:r>
      <w:r>
        <w:t>expressly prohibiting such disclosure</w:t>
      </w:r>
      <w:r w:rsidRPr="00A30BDC">
        <w:t xml:space="preserve">?  If we do require public disclosure of bid responses, what is the best format </w:t>
      </w:r>
      <w:r>
        <w:t xml:space="preserve">and timing </w:t>
      </w:r>
      <w:r w:rsidRPr="00A30BDC">
        <w:t xml:space="preserve">for making such responses public in order to maximize the usefulness of such information to other </w:t>
      </w:r>
      <w:r>
        <w:t>E-rate</w:t>
      </w:r>
      <w:r w:rsidRPr="00A30BDC">
        <w:t xml:space="preserve"> applicants?  To what extent would publicizing such bids drive down prices, both with respect to specific applications and more generally?  On the other hand, </w:t>
      </w:r>
      <w:r>
        <w:t xml:space="preserve">is there a risk that </w:t>
      </w:r>
      <w:r w:rsidRPr="00A30BDC">
        <w:t xml:space="preserve">public bid responses inflate bid prices for </w:t>
      </w:r>
      <w:r>
        <w:t>E-rate</w:t>
      </w:r>
      <w:r w:rsidRPr="00A30BDC">
        <w:t xml:space="preserve"> supported services by, among other things, discouraging providers from bidding to provide </w:t>
      </w:r>
      <w:r>
        <w:t>E-rate</w:t>
      </w:r>
      <w:r w:rsidRPr="00A30BDC">
        <w:t xml:space="preserve"> supported services?  </w:t>
      </w:r>
      <w:r w:rsidR="000B0494">
        <w:t xml:space="preserve">Could </w:t>
      </w:r>
      <w:r>
        <w:t xml:space="preserve">such disclosure </w:t>
      </w:r>
      <w:r w:rsidR="00A614AB">
        <w:t>facilitate tacit collu</w:t>
      </w:r>
      <w:r w:rsidR="000B0494">
        <w:t>s</w:t>
      </w:r>
      <w:r w:rsidR="00A614AB">
        <w:t xml:space="preserve">ion </w:t>
      </w:r>
      <w:r>
        <w:t xml:space="preserve">to restrict competition through </w:t>
      </w:r>
      <w:r w:rsidR="00A614AB">
        <w:t xml:space="preserve">coordinated </w:t>
      </w:r>
      <w:r>
        <w:t>pric</w:t>
      </w:r>
      <w:r w:rsidR="00A614AB">
        <w:t>ing</w:t>
      </w:r>
      <w:r>
        <w:t>, market allocation or other approach</w:t>
      </w:r>
      <w:r w:rsidR="00A614AB">
        <w:t>es</w:t>
      </w:r>
      <w:r>
        <w:t xml:space="preserve"> that would inflate the price or reduce the quality of E-rate supported services?  </w:t>
      </w:r>
      <w:r w:rsidRPr="00A30BDC">
        <w:t>We</w:t>
      </w:r>
      <w:r>
        <w:t xml:space="preserve"> also</w:t>
      </w:r>
      <w:r w:rsidRPr="00A30BDC">
        <w:t xml:space="preserve"> seek comment on the degree to which state</w:t>
      </w:r>
      <w:r w:rsidR="00C63D4D">
        <w:t xml:space="preserve">, </w:t>
      </w:r>
      <w:r w:rsidRPr="00A30BDC">
        <w:t>local</w:t>
      </w:r>
      <w:r w:rsidR="002662A7">
        <w:t>,</w:t>
      </w:r>
      <w:r w:rsidRPr="00A30BDC">
        <w:t xml:space="preserve"> </w:t>
      </w:r>
      <w:r w:rsidR="00C63D4D">
        <w:t xml:space="preserve">and Tribal </w:t>
      </w:r>
      <w:r w:rsidRPr="00A30BDC">
        <w:t xml:space="preserve">laws </w:t>
      </w:r>
      <w:r>
        <w:t xml:space="preserve">currently </w:t>
      </w:r>
      <w:r w:rsidRPr="00A30BDC">
        <w:t xml:space="preserve">require the disclosure of bid responses for </w:t>
      </w:r>
      <w:r>
        <w:t>E-rate</w:t>
      </w:r>
      <w:r w:rsidRPr="00A30BDC">
        <w:t xml:space="preserve"> supported services, and whether service providers can and do limit any such public access.  </w:t>
      </w:r>
    </w:p>
    <w:p w14:paraId="12673975" w14:textId="014DB0AA" w:rsidR="000627C7" w:rsidRDefault="000627C7" w:rsidP="00F47042">
      <w:pPr>
        <w:pStyle w:val="ParaNum"/>
      </w:pPr>
      <w:bookmarkStart w:id="1886" w:name="_Ref360203061"/>
      <w:r w:rsidRPr="00543A8C">
        <w:rPr>
          <w:i/>
        </w:rPr>
        <w:t>Transparency</w:t>
      </w:r>
      <w:r w:rsidRPr="00A30BDC">
        <w:rPr>
          <w:i/>
        </w:rPr>
        <w:t xml:space="preserve"> of actual purchase prices</w:t>
      </w:r>
      <w:r w:rsidRPr="00A30BDC">
        <w:t xml:space="preserve">.  As an alternative to requiring public disclosure of all bids to provide </w:t>
      </w:r>
      <w:r>
        <w:t>E-rate</w:t>
      </w:r>
      <w:r w:rsidRPr="00A30BDC">
        <w:t xml:space="preserve"> services, we seek comment on making available the prices applicants are paying for </w:t>
      </w:r>
      <w:r>
        <w:t>E-rate</w:t>
      </w:r>
      <w:r w:rsidRPr="00A30BDC">
        <w:t xml:space="preserve"> supported services.  We note that applicants currently provide that information to USAC.</w:t>
      </w:r>
      <w:r w:rsidRPr="00A30BDC">
        <w:rPr>
          <w:vertAlign w:val="superscript"/>
        </w:rPr>
        <w:footnoteReference w:id="256"/>
      </w:r>
      <w:r>
        <w:t xml:space="preserve"> </w:t>
      </w:r>
      <w:r w:rsidRPr="00A30BDC">
        <w:t xml:space="preserve"> We seek comment on whether we should direct USAC to permit public access to </w:t>
      </w:r>
      <w:r>
        <w:t xml:space="preserve">FCC Form 471, </w:t>
      </w:r>
      <w:r w:rsidRPr="00A30BDC">
        <w:t xml:space="preserve">Item 21 information or any other information provided by either applicants or service providers participating in the </w:t>
      </w:r>
      <w:r>
        <w:t>E-rate</w:t>
      </w:r>
      <w:r w:rsidRPr="00A30BDC">
        <w:t xml:space="preserve"> program</w:t>
      </w:r>
      <w:r>
        <w:t xml:space="preserve">. </w:t>
      </w:r>
      <w:r w:rsidRPr="00A30BDC">
        <w:t xml:space="preserve"> Are there any state laws, court orders, or contracts that would prohibit such public disclosure?  </w:t>
      </w:r>
      <w:r>
        <w:t xml:space="preserve">Should we limit disclosure of pricing information to other E-rate applicants?  </w:t>
      </w:r>
      <w:r w:rsidRPr="00A30BDC">
        <w:t xml:space="preserve">We also seek comment on whether requiring public disclosure of the prices applicants actually pay for </w:t>
      </w:r>
      <w:r>
        <w:t>E-rate</w:t>
      </w:r>
      <w:r w:rsidRPr="00A30BDC">
        <w:t xml:space="preserve"> supported services create a more effective competitive marketplace for those services and products, or might service providers eschew participation to shield their prices from public view.  </w:t>
      </w:r>
      <w:r w:rsidR="000E31D1">
        <w:t xml:space="preserve">Could </w:t>
      </w:r>
      <w:r w:rsidR="00770516">
        <w:t xml:space="preserve">such disclosure facilitate tacit </w:t>
      </w:r>
      <w:r>
        <w:t xml:space="preserve">price fixing, bid rigging or market allocation schemes, thus inflating the price of E-rate supported services?  </w:t>
      </w:r>
      <w:r w:rsidRPr="00A30BDC">
        <w:t xml:space="preserve">In the alternative, do commenters believe that publicly displaying prices may encourage more service providers to </w:t>
      </w:r>
      <w:r w:rsidRPr="00A30BDC">
        <w:lastRenderedPageBreak/>
        <w:t xml:space="preserve">approach individual schools and libraries with lower prices and discourage participation in consortia or other aggregate buying groups?  </w:t>
      </w:r>
      <w:r>
        <w:t>Might transparency of pricing also help ensure that providers are complying with the Commission’s lowest corresponding price rule?</w:t>
      </w:r>
      <w:r>
        <w:rPr>
          <w:rStyle w:val="FootnoteReference"/>
        </w:rPr>
        <w:footnoteReference w:id="257"/>
      </w:r>
      <w:bookmarkEnd w:id="1886"/>
    </w:p>
    <w:p w14:paraId="1D13E944" w14:textId="3B9A426F" w:rsidR="000627C7" w:rsidRDefault="000627C7" w:rsidP="00F47042">
      <w:pPr>
        <w:pStyle w:val="ParaNum"/>
      </w:pPr>
      <w:r w:rsidRPr="00A30BDC">
        <w:t>Finally, we note that section 54.501(c)(3) of our rules requires service providers to “keep and retain records of rates charged to and discounts allowed for eligible schools and libraries – on their own or as part of a consortium.  Such records shall be available for public inspection.”</w:t>
      </w:r>
      <w:r w:rsidRPr="00A30BDC">
        <w:rPr>
          <w:vertAlign w:val="superscript"/>
        </w:rPr>
        <w:footnoteReference w:id="258"/>
      </w:r>
      <w:r w:rsidRPr="00A30BDC">
        <w:t xml:space="preserve">  We seek comment on the extent to which applicants can and have availed themselves of that provision of our rules to determine the prices paid by other applicants for </w:t>
      </w:r>
      <w:r>
        <w:t>E-rate</w:t>
      </w:r>
      <w:r w:rsidRPr="00A30BDC">
        <w:t xml:space="preserve"> supported services.  We also seek comment on the benefits and shortcomings of that provision of our rules and whether we can and should amend it to increase pricing transparency in order to drive down prices of </w:t>
      </w:r>
      <w:r>
        <w:t>E-rate</w:t>
      </w:r>
      <w:r w:rsidRPr="00A30BDC">
        <w:t xml:space="preserve"> supported services.</w:t>
      </w:r>
    </w:p>
    <w:p w14:paraId="637473AA" w14:textId="76A354C4" w:rsidR="00014C14" w:rsidRDefault="00A614AB" w:rsidP="00F47042">
      <w:pPr>
        <w:pStyle w:val="ParaNum"/>
      </w:pPr>
      <w:r>
        <w:rPr>
          <w:i/>
        </w:rPr>
        <w:t>Greater Assistance to Schools and Libraries.</w:t>
      </w:r>
      <w:r>
        <w:t xml:space="preserve"> </w:t>
      </w:r>
      <w:r w:rsidR="00770516">
        <w:t xml:space="preserve">We also </w:t>
      </w:r>
      <w:r w:rsidR="000627C7" w:rsidRPr="00A30BDC">
        <w:t>seek comment on whether the Commission</w:t>
      </w:r>
      <w:r>
        <w:t>,</w:t>
      </w:r>
      <w:r w:rsidR="000627C7" w:rsidRPr="00A30BDC">
        <w:t xml:space="preserve"> USAC</w:t>
      </w:r>
      <w:r>
        <w:t>, or other entities</w:t>
      </w:r>
      <w:r w:rsidR="000627C7" w:rsidRPr="00A30BDC">
        <w:t xml:space="preserve"> should take a more active role in assisting applicants in identifying cost-effective purchasing options.  </w:t>
      </w:r>
      <w:r w:rsidR="000627C7">
        <w:t>T</w:t>
      </w:r>
      <w:r w:rsidR="000627C7" w:rsidRPr="00A30BDC">
        <w:t>he Commission previously directed USAC to develop a pilot program testing an online list of internal connections equipment eligible for discounts.</w:t>
      </w:r>
      <w:r w:rsidR="000627C7" w:rsidRPr="00A30BDC">
        <w:rPr>
          <w:vertAlign w:val="superscript"/>
        </w:rPr>
        <w:footnoteReference w:id="259"/>
      </w:r>
      <w:r w:rsidR="000627C7" w:rsidRPr="00A30BDC">
        <w:t xml:space="preserve">  USAC has not updated the database </w:t>
      </w:r>
      <w:r w:rsidR="000627C7">
        <w:t>in some time</w:t>
      </w:r>
      <w:r w:rsidR="000627C7" w:rsidRPr="00A30BDC">
        <w:t xml:space="preserve"> in part because keeping the list current imposed significant administrative burdens on both USAC and vendors.  We propose to terminate that pilot program and we invite participants to comment on how the Commission can transition to a more effective system to provide more transparent price information for applicants.  For example, should we direct USAC to establish an office to help applicants identify the best prices for </w:t>
      </w:r>
      <w:r w:rsidR="000627C7">
        <w:t>E-rate</w:t>
      </w:r>
      <w:r w:rsidR="000627C7" w:rsidRPr="00A30BDC">
        <w:t xml:space="preserve"> eligible services and products?  Such an office could be staffed by consultants with expertise in configurations of educational technologies and the best prices and service providers, and </w:t>
      </w:r>
      <w:r w:rsidR="000627C7">
        <w:t>c</w:t>
      </w:r>
      <w:r w:rsidR="000627C7" w:rsidRPr="00A30BDC">
        <w:t xml:space="preserve">ould mine the USAC </w:t>
      </w:r>
      <w:r w:rsidR="000627C7">
        <w:t>E-rate</w:t>
      </w:r>
      <w:r w:rsidR="000627C7" w:rsidRPr="00A30BDC">
        <w:t xml:space="preserve"> databases to identify and </w:t>
      </w:r>
      <w:r w:rsidR="000627C7">
        <w:t>publicly disclose</w:t>
      </w:r>
      <w:r w:rsidR="000627C7" w:rsidRPr="00A30BDC">
        <w:t xml:space="preserve"> attractive prices, terms and conditions for the products and services.  </w:t>
      </w:r>
      <w:r w:rsidR="000627C7">
        <w:t xml:space="preserve">We seek comment on the likely cost of providing that sort of expert assistance and whether the benefits of such an undertaking would outweigh its costs.  We also ask whether we can, or should, limit access to this pricing data to participants in the E-rate program.   </w:t>
      </w:r>
    </w:p>
    <w:p w14:paraId="1FE897AE" w14:textId="0831B7BE" w:rsidR="000627C7" w:rsidRDefault="000627C7" w:rsidP="00F47042">
      <w:pPr>
        <w:pStyle w:val="ParaNum"/>
      </w:pPr>
      <w:r w:rsidRPr="00A30BDC">
        <w:lastRenderedPageBreak/>
        <w:t xml:space="preserve">If we adopt such an approach, should we amend our rules so that applicants who chose a product or service at the price posted on the website would be exempt from any additional competitive bidding requirements for such purchases? </w:t>
      </w:r>
      <w:r>
        <w:t xml:space="preserve"> </w:t>
      </w:r>
      <w:r w:rsidRPr="00A30BDC">
        <w:t xml:space="preserve">We seek comment on ways to implement such a proposal.  How should the office identify best terms? </w:t>
      </w:r>
      <w:r w:rsidR="00C441B5">
        <w:t xml:space="preserve"> </w:t>
      </w:r>
      <w:r w:rsidRPr="00A30BDC">
        <w:t xml:space="preserve">What criteria should the office use to filter the information?  </w:t>
      </w:r>
    </w:p>
    <w:p w14:paraId="08ADE39B" w14:textId="380B32A0" w:rsidR="00014C14" w:rsidRDefault="00014C14" w:rsidP="00F47042">
      <w:pPr>
        <w:pStyle w:val="ParaNum"/>
      </w:pPr>
      <w:r>
        <w:t>We also seek comment on whether we should direct USAC to employ a team of technical experts who could assist applicants in planning and designing cost-effective networks?  Is there a need for such assistance?  What are the costs and benefits of housing a team of technical experts at USAC?  How should such a team prioritize its work to be most beneficial to schools and libraries and help drive efficiencies in E-rate purchasing?</w:t>
      </w:r>
    </w:p>
    <w:p w14:paraId="1DED08B1" w14:textId="4ED523F8" w:rsidR="00A614AB" w:rsidRPr="00A30BDC" w:rsidDel="00341C2F" w:rsidRDefault="00A614AB" w:rsidP="00F47042">
      <w:pPr>
        <w:pStyle w:val="ParaNum"/>
      </w:pPr>
      <w:r>
        <w:t xml:space="preserve">Are there entities other than the Commission or USAC that could perform this function?  For example, could USAC or the Commission assemble a list of school </w:t>
      </w:r>
      <w:r w:rsidR="00D232C0">
        <w:t xml:space="preserve">chief information officers  </w:t>
      </w:r>
      <w:r>
        <w:t>or other officials from better-resourced districts that could serve as advisors to smaller or lower-resourced districts?</w:t>
      </w:r>
      <w:r w:rsidR="00B11EEB">
        <w:t xml:space="preserve">  Are there other approaches the Commission should take to ensure schools are planning to efficiently and effectively meet their needs?</w:t>
      </w:r>
    </w:p>
    <w:p w14:paraId="390FB25C" w14:textId="4827FB89" w:rsidR="000627C7" w:rsidRPr="00A30BDC" w:rsidRDefault="00420C01" w:rsidP="00B9652C">
      <w:pPr>
        <w:pStyle w:val="Heading2"/>
      </w:pPr>
      <w:bookmarkStart w:id="1887" w:name="_Toc352064551"/>
      <w:bookmarkStart w:id="1888" w:name="_Toc352078332"/>
      <w:bookmarkStart w:id="1889" w:name="_Toc352078384"/>
      <w:bookmarkStart w:id="1890" w:name="_Toc352078446"/>
      <w:bookmarkStart w:id="1891" w:name="_Toc352079038"/>
      <w:bookmarkStart w:id="1892" w:name="_Toc352080399"/>
      <w:bookmarkStart w:id="1893" w:name="_Toc352139782"/>
      <w:bookmarkStart w:id="1894" w:name="_Toc354478085"/>
      <w:bookmarkStart w:id="1895" w:name="_Toc354478707"/>
      <w:bookmarkStart w:id="1896" w:name="_Toc354660723"/>
      <w:bookmarkStart w:id="1897" w:name="_Toc358208805"/>
      <w:bookmarkStart w:id="1898" w:name="_Toc358210304"/>
      <w:bookmarkStart w:id="1899" w:name="_Toc358210451"/>
      <w:bookmarkStart w:id="1900" w:name="_Toc358210629"/>
      <w:bookmarkStart w:id="1901" w:name="_Toc358210730"/>
      <w:bookmarkStart w:id="1902" w:name="_Toc358213664"/>
      <w:bookmarkStart w:id="1903" w:name="_Toc358213796"/>
      <w:bookmarkStart w:id="1904" w:name="_Toc358301290"/>
      <w:bookmarkStart w:id="1905" w:name="_Toc358720036"/>
      <w:bookmarkStart w:id="1906" w:name="_Toc358971262"/>
      <w:bookmarkStart w:id="1907" w:name="_Toc358974863"/>
      <w:bookmarkStart w:id="1908" w:name="_Toc358975761"/>
      <w:bookmarkStart w:id="1909" w:name="_Toc358975923"/>
      <w:bookmarkStart w:id="1910" w:name="_Toc358976164"/>
      <w:bookmarkStart w:id="1911" w:name="_Toc358981019"/>
      <w:bookmarkStart w:id="1912" w:name="_Toc358981135"/>
      <w:bookmarkStart w:id="1913" w:name="_Toc358982399"/>
      <w:bookmarkStart w:id="1914" w:name="_Toc358982489"/>
      <w:bookmarkStart w:id="1915" w:name="_Toc359239271"/>
      <w:bookmarkStart w:id="1916" w:name="_Toc359239328"/>
      <w:bookmarkStart w:id="1917" w:name="_Toc359252287"/>
      <w:bookmarkStart w:id="1918" w:name="_Toc359326036"/>
      <w:bookmarkStart w:id="1919" w:name="_Toc359333284"/>
      <w:bookmarkStart w:id="1920" w:name="_Toc359339938"/>
      <w:bookmarkStart w:id="1921" w:name="_Toc359343202"/>
      <w:bookmarkStart w:id="1922" w:name="_Toc359347011"/>
      <w:bookmarkStart w:id="1923" w:name="_Toc359598701"/>
      <w:bookmarkStart w:id="1924" w:name="_Toc359853181"/>
      <w:bookmarkStart w:id="1925" w:name="_Toc359853417"/>
      <w:bookmarkStart w:id="1926" w:name="_Toc359853680"/>
      <w:bookmarkStart w:id="1927" w:name="_Toc359858648"/>
      <w:bookmarkStart w:id="1928" w:name="_Toc359859610"/>
      <w:bookmarkStart w:id="1929" w:name="_Toc359940073"/>
      <w:bookmarkStart w:id="1930" w:name="_Toc360025449"/>
      <w:bookmarkStart w:id="1931" w:name="_Toc360107501"/>
      <w:bookmarkStart w:id="1932" w:name="_Toc360111625"/>
      <w:bookmarkStart w:id="1933" w:name="_Toc360172810"/>
      <w:bookmarkStart w:id="1934" w:name="_Toc360186147"/>
      <w:bookmarkStart w:id="1935" w:name="_Toc360186224"/>
      <w:bookmarkStart w:id="1936" w:name="_Toc360186428"/>
      <w:bookmarkStart w:id="1937" w:name="_Toc360186500"/>
      <w:bookmarkStart w:id="1938" w:name="_Toc360187301"/>
      <w:bookmarkStart w:id="1939" w:name="_Toc360187462"/>
      <w:bookmarkStart w:id="1940" w:name="_Toc360208911"/>
      <w:bookmarkStart w:id="1941" w:name="_Toc360212044"/>
      <w:bookmarkStart w:id="1942" w:name="_Toc361663114"/>
      <w:bookmarkStart w:id="1943" w:name="_Toc361857692"/>
      <w:bookmarkStart w:id="1944" w:name="_Toc361918784"/>
      <w:bookmarkStart w:id="1945" w:name="_Toc362272561"/>
      <w:r>
        <w:t xml:space="preserve">Improving </w:t>
      </w:r>
      <w:r w:rsidR="000627C7" w:rsidRPr="00A30BDC">
        <w:t>the Competitive Bidding Process</w:t>
      </w:r>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r w:rsidR="000627C7" w:rsidRPr="00A30BDC">
        <w:t xml:space="preserve"> </w:t>
      </w:r>
    </w:p>
    <w:p w14:paraId="2A3A41D6" w14:textId="7FFFC8EF" w:rsidR="000627C7" w:rsidRPr="00A30BDC" w:rsidRDefault="000627C7" w:rsidP="00F47042">
      <w:pPr>
        <w:pStyle w:val="ParaNum"/>
      </w:pPr>
      <w:r>
        <w:t>T</w:t>
      </w:r>
      <w:r w:rsidRPr="00A30BDC">
        <w:t xml:space="preserve">o maximize the cost-effectiveness of purchases made using </w:t>
      </w:r>
      <w:r>
        <w:t>E-rate</w:t>
      </w:r>
      <w:r w:rsidRPr="00A30BDC">
        <w:t xml:space="preserve"> funds, we seek comment on the current competitive bidding process, and ask how the Commission can reduce the number of </w:t>
      </w:r>
      <w:r>
        <w:t>E-rate</w:t>
      </w:r>
      <w:r w:rsidRPr="00A30BDC">
        <w:t xml:space="preserve"> recipients that do not receive multiple bids, and whether the lowest corresponding price rule helps ensure that </w:t>
      </w:r>
      <w:r>
        <w:t>E-rate</w:t>
      </w:r>
      <w:r w:rsidRPr="00A30BDC">
        <w:t xml:space="preserve"> recipients receive cost-effective prices.  While USAC does not collect comprehensive information about the quantity or quality of the bids received, there is anecdotal evidence that a substantial number of </w:t>
      </w:r>
      <w:r>
        <w:t>E-rate</w:t>
      </w:r>
      <w:r w:rsidRPr="00A30BDC">
        <w:t xml:space="preserve"> applications receive one or no viable competitive bids.</w:t>
      </w:r>
      <w:r w:rsidRPr="00A30BDC">
        <w:rPr>
          <w:vertAlign w:val="superscript"/>
        </w:rPr>
        <w:footnoteReference w:id="260"/>
      </w:r>
      <w:r w:rsidRPr="00A30BDC">
        <w:t xml:space="preserve">  We seek comment on whether the current competitive bidding process typically results in multiple competitive bids, and ask commenters to elaborate on the characteristics of recipients that do not ordinarily receive multiple bids.  We also seek comment on whether the current competitive bidding process continues to address the needs of the schools and libraries program, or if a different application process would better suit applicants’ needs.  We specifically request that commenters discuss how the </w:t>
      </w:r>
      <w:r w:rsidRPr="00A30BDC">
        <w:lastRenderedPageBreak/>
        <w:t>current competitive bidding process and any proposed processes ensure that schools and libraries are selecting the most cost-effective services to meet their unique needs, that service providers are offering the lowest prices available, and that we continue to minimize waste, fraud, and abuse in the program.</w:t>
      </w:r>
    </w:p>
    <w:p w14:paraId="17FC78C6" w14:textId="0110BB14" w:rsidR="000627C7" w:rsidRDefault="000627C7" w:rsidP="00F47042">
      <w:pPr>
        <w:pStyle w:val="ParaNum"/>
      </w:pPr>
      <w:r w:rsidRPr="00543A8C">
        <w:rPr>
          <w:i/>
        </w:rPr>
        <w:t>FCC</w:t>
      </w:r>
      <w:r w:rsidRPr="00A30BDC">
        <w:rPr>
          <w:i/>
        </w:rPr>
        <w:t xml:space="preserve"> Form 470</w:t>
      </w:r>
      <w:r w:rsidRPr="00A30BDC">
        <w:t>. We also seek comment on how we can ensure that applicants select cost</w:t>
      </w:r>
      <w:r>
        <w:t>-</w:t>
      </w:r>
      <w:r w:rsidRPr="00A30BDC">
        <w:t xml:space="preserve">effective services in situations in which no entity, or only one entity, responds to a </w:t>
      </w:r>
      <w:r>
        <w:t xml:space="preserve">FCC </w:t>
      </w:r>
      <w:r w:rsidRPr="00A30BDC">
        <w:t xml:space="preserve">Form 470 posting.  Under the competitive bidding requirements, eligible schools and libraries that wish to receive support for discounted services must submit </w:t>
      </w:r>
      <w:r>
        <w:t xml:space="preserve">an </w:t>
      </w:r>
      <w:r w:rsidRPr="00A30BDC">
        <w:t>FCC Form 470 to USAC.</w:t>
      </w:r>
      <w:r>
        <w:rPr>
          <w:rStyle w:val="FootnoteReference"/>
        </w:rPr>
        <w:footnoteReference w:id="261"/>
      </w:r>
      <w:r w:rsidRPr="00A30BDC">
        <w:t xml:space="preserve">  The FCC Form 470 describes the applicant’s needs and notifies service providers of the applicant’s intent to contract for eligible services.  After the FCC Form 470 has been posted to the Administrator’s website for 28 days, the applicant may contract for the provision of services and file an FCC Form 471, requesting discounts for the services.</w:t>
      </w:r>
      <w:r>
        <w:rPr>
          <w:rStyle w:val="FootnoteReference"/>
        </w:rPr>
        <w:footnoteReference w:id="262"/>
      </w:r>
      <w:r w:rsidRPr="00A30BDC">
        <w:t xml:space="preserve">  In some situations, however, there may be only one service provider capable of, or willing to, provide the requested service.  How can we ensure that the prices for such services are reasonable, and do not waste scarce universal service funds?  Should we adopt bright line rules that would impose limits on the amount of discounts available in such situations, or would that unfairly penalize applicants in areas where there are limited numbers of service providers</w:t>
      </w:r>
      <w:r w:rsidR="00C63D4D">
        <w:t xml:space="preserve"> (</w:t>
      </w:r>
      <w:r w:rsidR="00C63D4D">
        <w:rPr>
          <w:i/>
        </w:rPr>
        <w:t xml:space="preserve">e.g. </w:t>
      </w:r>
      <w:r w:rsidR="00C63D4D">
        <w:t>on Tribal lands)</w:t>
      </w:r>
      <w:r w:rsidRPr="00A30BDC">
        <w:t xml:space="preserve">?  </w:t>
      </w:r>
    </w:p>
    <w:p w14:paraId="4BB20917" w14:textId="40E99A6D" w:rsidR="000627C7" w:rsidRPr="0003107C" w:rsidRDefault="000627C7" w:rsidP="00F47042">
      <w:pPr>
        <w:pStyle w:val="ParaNum"/>
      </w:pPr>
      <w:r w:rsidRPr="00A30BDC">
        <w:t>Currently, if an FCC Form 470 filer receives no bids, the applicant is allowed to solicit bids from service providers.</w:t>
      </w:r>
      <w:r w:rsidRPr="00A30BDC">
        <w:rPr>
          <w:vertAlign w:val="superscript"/>
        </w:rPr>
        <w:footnoteReference w:id="263"/>
      </w:r>
      <w:r w:rsidRPr="00A30BDC">
        <w:t xml:space="preserve">  Should the Commission create separate requirements for </w:t>
      </w:r>
      <w:r>
        <w:t>E-rate</w:t>
      </w:r>
      <w:r w:rsidRPr="00A30BDC">
        <w:t xml:space="preserve"> applicants that receive no bids from service providers to ensure that services are procured at reasonable prices?  </w:t>
      </w:r>
      <w:r w:rsidR="00C63D4D">
        <w:t xml:space="preserve">Are there steps we should take to avoid imposing additional administrative burdens on schools and libraries located in areas in which there is no competition for supported services, such as some Tribal lands?  </w:t>
      </w:r>
      <w:r w:rsidRPr="00A30BDC">
        <w:t xml:space="preserve">Are there resources available at the state or regional level that could assist these filers in finding vendors to provide </w:t>
      </w:r>
      <w:r>
        <w:t>E-rate</w:t>
      </w:r>
      <w:r w:rsidRPr="00A30BDC">
        <w:t xml:space="preserve">-supported services at reasonable rates?  For instance, </w:t>
      </w:r>
      <w:r>
        <w:t xml:space="preserve">we have anecdotal evidence that E-rate applicants maybe unaware of </w:t>
      </w:r>
      <w:r w:rsidRPr="00A30BDC">
        <w:t xml:space="preserve">state master contracts or cooperative purchasing organizations, such as the Western States Contracting Alliance, that </w:t>
      </w:r>
      <w:r>
        <w:t>could be beneficial to them.  S</w:t>
      </w:r>
      <w:r w:rsidRPr="00A30BDC">
        <w:t xml:space="preserve">hould USAC </w:t>
      </w:r>
      <w:r>
        <w:t xml:space="preserve">post guidance on its website or take other steps to </w:t>
      </w:r>
      <w:r w:rsidRPr="00A30BDC">
        <w:lastRenderedPageBreak/>
        <w:t xml:space="preserve">assist </w:t>
      </w:r>
      <w:r>
        <w:t>E-rate</w:t>
      </w:r>
      <w:r w:rsidRPr="00A30BDC">
        <w:t xml:space="preserve"> applicants in finding these resources?</w:t>
      </w:r>
      <w:r>
        <w:t xml:space="preserve">  Should applicants be required to certify that they have reviewed state master contracts before selecting a vendor?</w:t>
      </w:r>
    </w:p>
    <w:p w14:paraId="081383F0" w14:textId="2C2266A1" w:rsidR="000627C7" w:rsidRPr="00563CD6" w:rsidRDefault="000627C7" w:rsidP="00F47042">
      <w:pPr>
        <w:pStyle w:val="ParaNum"/>
      </w:pPr>
      <w:r w:rsidRPr="00A30BDC">
        <w:t xml:space="preserve">We also seek comment on whether the current system of applying for discounted </w:t>
      </w:r>
      <w:r>
        <w:t>E-rate</w:t>
      </w:r>
      <w:r w:rsidRPr="00A30BDC">
        <w:t xml:space="preserve"> services </w:t>
      </w:r>
      <w:r>
        <w:t xml:space="preserve">provides </w:t>
      </w:r>
      <w:r w:rsidRPr="00A30BDC">
        <w:t xml:space="preserve">potential </w:t>
      </w:r>
      <w:r>
        <w:t xml:space="preserve">vendors </w:t>
      </w:r>
      <w:r w:rsidRPr="00A30BDC">
        <w:t xml:space="preserve">enough information to formulate bids.  We seek comment on whether the FCC Form 470 is the proper tool for adequately informing vendors of the services schools and libraries are seeking through the </w:t>
      </w:r>
      <w:r>
        <w:t>E-rate</w:t>
      </w:r>
      <w:r w:rsidRPr="00A30BDC">
        <w:t xml:space="preserve"> program.  Does the format of the FCC Form 470 limit the pool of service providers seeking new business?  Is the information provided on the FCC Form 470 sometimes so broad or narrow as to limit the number of vendors that could reasonably respond to the posting?  The Commission has previously found that an overly broad </w:t>
      </w:r>
      <w:r>
        <w:t xml:space="preserve">or generic </w:t>
      </w:r>
      <w:r w:rsidRPr="00A30BDC">
        <w:t>FCC Form 470 posting may stifle competition among service providers.</w:t>
      </w:r>
      <w:r>
        <w:rPr>
          <w:rStyle w:val="FootnoteReference"/>
        </w:rPr>
        <w:footnoteReference w:id="264"/>
      </w:r>
      <w:r w:rsidRPr="00A30BDC">
        <w:t xml:space="preserve">  In the </w:t>
      </w:r>
      <w:r w:rsidRPr="00A30BDC">
        <w:rPr>
          <w:i/>
          <w:iCs/>
        </w:rPr>
        <w:t>Ysleta Order</w:t>
      </w:r>
      <w:r w:rsidRPr="00A30BDC">
        <w:t>, the Commission clarified that such broad FCC Forms 470 are not consistent with our rules and that the FCC Forms 470 should mirror the level of complexity of the services and products for which discounts are being sought.</w:t>
      </w:r>
      <w:r>
        <w:rPr>
          <w:rStyle w:val="FootnoteReference"/>
        </w:rPr>
        <w:footnoteReference w:id="265"/>
      </w:r>
    </w:p>
    <w:p w14:paraId="6FB933B9" w14:textId="63BC39CA" w:rsidR="005D26F1" w:rsidRPr="00F47042" w:rsidRDefault="00781553" w:rsidP="00DA25DB">
      <w:pPr>
        <w:pStyle w:val="ParaNum"/>
      </w:pPr>
      <w:r>
        <w:t>Our rules require E-rate applicants to “conduct a fair and open competitive bidding process,” as spelled out in our rules.</w:t>
      </w:r>
      <w:r w:rsidR="005D26F1">
        <w:rPr>
          <w:rStyle w:val="FootnoteReference"/>
        </w:rPr>
        <w:footnoteReference w:id="266"/>
      </w:r>
      <w:r w:rsidR="005D26F1">
        <w:t xml:space="preserve">  O</w:t>
      </w:r>
      <w:r>
        <w:t>ur rules also require E-rate applicants to comply with state and local competitive bidding requirements.</w:t>
      </w:r>
      <w:r>
        <w:rPr>
          <w:rStyle w:val="FootnoteReference"/>
        </w:rPr>
        <w:footnoteReference w:id="267"/>
      </w:r>
      <w:r>
        <w:t xml:space="preserve">  </w:t>
      </w:r>
      <w:r w:rsidR="000627C7" w:rsidRPr="0003107C">
        <w:t xml:space="preserve">We seek comment on whether </w:t>
      </w:r>
      <w:r>
        <w:t xml:space="preserve">we should exempt </w:t>
      </w:r>
      <w:r w:rsidR="000627C7">
        <w:t>certain applications or applicants from the E-rate</w:t>
      </w:r>
      <w:r w:rsidR="000627C7" w:rsidRPr="0003107C">
        <w:t xml:space="preserve"> competitive bidding rules</w:t>
      </w:r>
      <w:r w:rsidR="005D26F1">
        <w:t xml:space="preserve"> on the basis that they are complying with state and local competitive bidding requirements.  Commenters should identify the criteria they recommend using for selecting which applications or applicants should be exempt from our competitive bidding requirements, and how we can assure that such an exemption does not increase </w:t>
      </w:r>
      <w:r w:rsidR="000627C7">
        <w:t>the opportunity for waste, fraud, and abuse, and, if so, what criteria should be used for any exemptions</w:t>
      </w:r>
      <w:r w:rsidR="000627C7" w:rsidRPr="0003107C">
        <w:t xml:space="preserve">.  If we adopt this exemption, should we limit it to purchases below some threshold?  What should that threshold be? </w:t>
      </w:r>
      <w:r w:rsidR="000627C7">
        <w:t xml:space="preserve"> </w:t>
      </w:r>
      <w:r w:rsidR="000627C7" w:rsidRPr="0003107C">
        <w:t xml:space="preserve">We seek guidance on providing USAC a practical, reliable, and minimally burdensome way to confirm that the applicants claiming such an exemption had actually complied with these procurement processes.  We </w:t>
      </w:r>
      <w:r w:rsidR="005D26F1">
        <w:t>also s</w:t>
      </w:r>
      <w:r w:rsidR="000627C7" w:rsidRPr="0003107C">
        <w:t xml:space="preserve">eek comment on what USAC should consider as sufficient documentation of compliance with state or local procurement </w:t>
      </w:r>
      <w:r w:rsidR="000627C7" w:rsidRPr="0003107C">
        <w:lastRenderedPageBreak/>
        <w:t xml:space="preserve">rules.  </w:t>
      </w:r>
      <w:r w:rsidR="005D26F1">
        <w:t>Further</w:t>
      </w:r>
      <w:r w:rsidR="00761C95">
        <w:t>, we</w:t>
      </w:r>
      <w:r w:rsidR="000627C7" w:rsidRPr="0003107C">
        <w:t xml:space="preserve"> seek comment on whether we might consider a </w:t>
      </w:r>
      <w:r w:rsidR="000627C7" w:rsidRPr="0003107C">
        <w:rPr>
          <w:i/>
          <w:iCs/>
        </w:rPr>
        <w:t xml:space="preserve">de </w:t>
      </w:r>
      <w:r w:rsidR="000627C7">
        <w:rPr>
          <w:i/>
          <w:iCs/>
        </w:rPr>
        <w:t>minimi</w:t>
      </w:r>
      <w:r w:rsidR="000627C7" w:rsidRPr="0003107C">
        <w:rPr>
          <w:i/>
          <w:iCs/>
        </w:rPr>
        <w:t xml:space="preserve">s </w:t>
      </w:r>
      <w:r w:rsidR="000627C7" w:rsidRPr="0003107C">
        <w:t xml:space="preserve">exemption.  For example, if an applicant’s total annual </w:t>
      </w:r>
      <w:r w:rsidR="000627C7">
        <w:t>E-rate</w:t>
      </w:r>
      <w:r w:rsidR="000627C7" w:rsidRPr="0003107C">
        <w:t xml:space="preserve"> purchases fall below some minimal threshold, should that applicant be exempt from the competitive bidding requirements?  What should that threshold be?</w:t>
      </w:r>
      <w:r w:rsidR="005D26F1" w:rsidRPr="00AB168E">
        <w:t xml:space="preserve"> </w:t>
      </w:r>
      <w:r w:rsidR="005D26F1">
        <w:t xml:space="preserve"> </w:t>
      </w:r>
    </w:p>
    <w:p w14:paraId="2F02407C" w14:textId="5CD61167" w:rsidR="000627C7" w:rsidRPr="00CB0CB1" w:rsidRDefault="00E11476" w:rsidP="00434A8B">
      <w:pPr>
        <w:pStyle w:val="ParaNum"/>
      </w:pPr>
      <w:r>
        <w:t xml:space="preserve">Many </w:t>
      </w:r>
      <w:r w:rsidR="00B603D6">
        <w:t>s</w:t>
      </w:r>
      <w:r w:rsidR="005D26F1">
        <w:t xml:space="preserve">tates </w:t>
      </w:r>
      <w:r w:rsidR="008E19E2">
        <w:t>negotiate state master services</w:t>
      </w:r>
      <w:r w:rsidR="005D26F1">
        <w:t xml:space="preserve"> </w:t>
      </w:r>
      <w:r w:rsidR="008E19E2">
        <w:t xml:space="preserve">agreements (State MSAs) </w:t>
      </w:r>
      <w:r w:rsidR="005D26F1">
        <w:t xml:space="preserve">for services eligible for E-rate support.  Should we allow applicants to purchase off a </w:t>
      </w:r>
      <w:r w:rsidR="008E19E2">
        <w:t xml:space="preserve">State MSA </w:t>
      </w:r>
      <w:r w:rsidR="005D26F1">
        <w:t xml:space="preserve">without the applicant </w:t>
      </w:r>
      <w:r w:rsidR="008E19E2">
        <w:t>or the S</w:t>
      </w:r>
      <w:r w:rsidR="005D26F1">
        <w:t xml:space="preserve">tate </w:t>
      </w:r>
      <w:r w:rsidR="008E19E2">
        <w:t>MSA</w:t>
      </w:r>
      <w:r w:rsidR="005D26F1">
        <w:t xml:space="preserve"> having gone through our competitive bidding process?  </w:t>
      </w:r>
      <w:r w:rsidR="00CB0CB1">
        <w:t xml:space="preserve">What are the benefits and burdens of such an approach?  </w:t>
      </w:r>
      <w:r w:rsidR="005D26F1">
        <w:t xml:space="preserve">If a </w:t>
      </w:r>
      <w:r w:rsidR="008E19E2">
        <w:t xml:space="preserve">State MSA </w:t>
      </w:r>
      <w:r w:rsidR="005D26F1">
        <w:t xml:space="preserve">offers </w:t>
      </w:r>
      <w:r w:rsidR="008E19E2">
        <w:t xml:space="preserve">purchasing options </w:t>
      </w:r>
      <w:r w:rsidR="005D26F1">
        <w:t>for the same or functionally equivalent products or services at differe</w:t>
      </w:r>
      <w:r w:rsidR="008E19E2">
        <w:t>nt prices, should we require an</w:t>
      </w:r>
      <w:r w:rsidR="005D26F1">
        <w:t xml:space="preserve"> applicant select the lowest price offering if it wants to </w:t>
      </w:r>
      <w:r w:rsidR="008E19E2">
        <w:t xml:space="preserve">select off the State MSA and </w:t>
      </w:r>
      <w:r w:rsidR="005D26F1">
        <w:t>be exempt from our competitive bidding rules?</w:t>
      </w:r>
      <w:r w:rsidR="00CB0CB1">
        <w:t xml:space="preserve">  In the alternative, under such circumstances should we require applicants to follow currently required process and evaluate all the options on the State MSA using price as the primary factor in selecting a vendor?  We note that some State MSAs do not contain specific prices for goods and services, under those circumstances we would not be inclined to provide E-rate support for goods and services purchased off a State MSA, and </w:t>
      </w:r>
      <w:r w:rsidR="00BC2E08">
        <w:t xml:space="preserve">we </w:t>
      </w:r>
      <w:r w:rsidR="00CB0CB1">
        <w:t>seek comment on that issue.</w:t>
      </w:r>
    </w:p>
    <w:p w14:paraId="6C14B199" w14:textId="27FD323A" w:rsidR="00CB0CB1" w:rsidRPr="008707E2" w:rsidRDefault="00CB0CB1" w:rsidP="00F47042">
      <w:pPr>
        <w:pStyle w:val="ParaNum"/>
      </w:pPr>
      <w:r>
        <w:t>Finally we seek comment on whether to revise the deadline for applicants to sign a contract with their service provider.  We note that sometimes applicants have difficulty obtaining signatures or final board approvals prior to their submission of their FCC Forms 471, as is currently required by the E-rate rules.</w:t>
      </w:r>
      <w:r>
        <w:rPr>
          <w:rStyle w:val="FootnoteReference"/>
        </w:rPr>
        <w:footnoteReference w:id="268"/>
      </w:r>
      <w:r w:rsidR="00793E5C">
        <w:t xml:space="preserve">  Commenters are invited to offer specific examples of difficulty they have had obtaining a signed contract in a timely fashion, and propose alternatives to the current deadline for obtaining a signed contract.  We also seek comment on whether modifying this requirement would lead to waste, fraud</w:t>
      </w:r>
      <w:r w:rsidR="00B603D6">
        <w:t>,</w:t>
      </w:r>
      <w:r w:rsidR="00793E5C">
        <w:t xml:space="preserve"> and abuse and we invite comments on how to minimize that risk. </w:t>
      </w:r>
    </w:p>
    <w:p w14:paraId="619FEFC1" w14:textId="1B66730A" w:rsidR="005D347D" w:rsidRDefault="00976809">
      <w:pPr>
        <w:pStyle w:val="ParaNum"/>
      </w:pPr>
      <w:bookmarkStart w:id="1946" w:name="_Ref360205813"/>
      <w:r w:rsidRPr="001A4A05">
        <w:rPr>
          <w:i/>
        </w:rPr>
        <w:t xml:space="preserve">Lowest Corresponding Price (LCP).  </w:t>
      </w:r>
      <w:r w:rsidRPr="00A30BDC">
        <w:t xml:space="preserve">We also seek comment on the extent to which the LCP rule helps ensure that service providers </w:t>
      </w:r>
      <w:r>
        <w:t xml:space="preserve">charge </w:t>
      </w:r>
      <w:r w:rsidRPr="00A30BDC">
        <w:t xml:space="preserve">cost-effective prices.  </w:t>
      </w:r>
      <w:r>
        <w:t xml:space="preserve">In section </w:t>
      </w:r>
      <w:r>
        <w:fldChar w:fldCharType="begin"/>
      </w:r>
      <w:r>
        <w:instrText xml:space="preserve"> REF _Ref359325703 \w \h </w:instrText>
      </w:r>
      <w:r>
        <w:fldChar w:fldCharType="separate"/>
      </w:r>
      <w:r w:rsidR="00A0395D">
        <w:t>II.B.2</w:t>
      </w:r>
      <w:r>
        <w:fldChar w:fldCharType="end"/>
      </w:r>
      <w:r>
        <w:t xml:space="preserve">, we sought comment on using the LCP rule to measure progress towards our proposed goal of ensuring applicants have affordable access to broadband.  </w:t>
      </w:r>
      <w:r w:rsidRPr="00A30BDC">
        <w:t xml:space="preserve">The LCP rule requires service providers to charge the lowest price that a service provider charges to non-residential customers that are similarly situated to a particular </w:t>
      </w:r>
      <w:r>
        <w:t>E-rate</w:t>
      </w:r>
      <w:r w:rsidRPr="00A30BDC">
        <w:t xml:space="preserve"> applicant for similar services.</w:t>
      </w:r>
      <w:r w:rsidRPr="00A30BDC">
        <w:rPr>
          <w:vertAlign w:val="superscript"/>
        </w:rPr>
        <w:footnoteReference w:id="269"/>
      </w:r>
      <w:r w:rsidRPr="00A30BDC">
        <w:t xml:space="preserve">  We </w:t>
      </w:r>
      <w:r w:rsidRPr="00A30BDC">
        <w:lastRenderedPageBreak/>
        <w:t xml:space="preserve">specifically seek comment on </w:t>
      </w:r>
      <w:r>
        <w:t xml:space="preserve">the </w:t>
      </w:r>
      <w:r w:rsidRPr="00A30BDC">
        <w:t>role</w:t>
      </w:r>
      <w:r>
        <w:t xml:space="preserve"> of </w:t>
      </w:r>
      <w:r w:rsidRPr="00A30BDC">
        <w:t xml:space="preserve">the lowest corresponding price rule </w:t>
      </w:r>
      <w:r>
        <w:t xml:space="preserve">for competitive bidding.  </w:t>
      </w:r>
      <w:r w:rsidRPr="00A30BDC">
        <w:t xml:space="preserve">If an applicant receives only one bid or no bid for services should the applicant be required to report that fact to USAC?  If </w:t>
      </w:r>
      <w:r w:rsidR="00F95B5E">
        <w:t xml:space="preserve">an applicant receives </w:t>
      </w:r>
      <w:r w:rsidRPr="00A30BDC">
        <w:t>only one bid</w:t>
      </w:r>
      <w:r w:rsidR="00F95B5E">
        <w:t xml:space="preserve"> or no bids</w:t>
      </w:r>
      <w:r w:rsidRPr="00A30BDC">
        <w:t xml:space="preserve">, should USAC </w:t>
      </w:r>
      <w:r w:rsidR="00F95B5E">
        <w:t xml:space="preserve">automatically </w:t>
      </w:r>
      <w:r w:rsidRPr="00A30BDC">
        <w:t>engage in additional review of the application to determine whether the service provider has offered the lowest corresponding price?  Or, should USAC only do additional review under those circumstances if the price for the service at issue is flagged as high</w:t>
      </w:r>
      <w:r>
        <w:t>er than similar services</w:t>
      </w:r>
      <w:r w:rsidRPr="00A30BDC">
        <w:t xml:space="preserve">? </w:t>
      </w:r>
      <w:r>
        <w:t xml:space="preserve"> </w:t>
      </w:r>
      <w:r w:rsidRPr="00A30BDC">
        <w:t xml:space="preserve">If </w:t>
      </w:r>
      <w:r w:rsidRPr="001A4A05">
        <w:t>USAC</w:t>
      </w:r>
      <w:r w:rsidRPr="00A30BDC">
        <w:t xml:space="preserve"> should conduct further </w:t>
      </w:r>
      <w:r>
        <w:t xml:space="preserve">pre-commitment </w:t>
      </w:r>
      <w:r w:rsidRPr="00A30BDC">
        <w:t xml:space="preserve">review for compliance with the LCP rule, what </w:t>
      </w:r>
      <w:r w:rsidR="00F95B5E">
        <w:t xml:space="preserve">is the least burdensome but effective method for determining </w:t>
      </w:r>
      <w:r w:rsidRPr="00A30BDC">
        <w:t>whether the service provider is offering the LCP?</w:t>
      </w:r>
      <w:bookmarkEnd w:id="1946"/>
      <w:r w:rsidRPr="00A30BDC">
        <w:t xml:space="preserve">  </w:t>
      </w:r>
    </w:p>
    <w:p w14:paraId="4FBDA5C4" w14:textId="34CB3BCA" w:rsidR="005D347D" w:rsidRPr="000D6D9E" w:rsidRDefault="005D347D" w:rsidP="005D347D">
      <w:pPr>
        <w:pStyle w:val="ParaNum"/>
      </w:pPr>
      <w:bookmarkStart w:id="1947" w:name="_Ref360205818"/>
      <w:r>
        <w:t xml:space="preserve">We also seek comment on the clarity of the LCP rule.  In 2010, </w:t>
      </w:r>
      <w:r w:rsidRPr="00866145">
        <w:rPr>
          <w:szCs w:val="22"/>
        </w:rPr>
        <w:t>U</w:t>
      </w:r>
      <w:r>
        <w:rPr>
          <w:szCs w:val="22"/>
        </w:rPr>
        <w:t xml:space="preserve">S </w:t>
      </w:r>
      <w:r w:rsidRPr="00866145">
        <w:rPr>
          <w:szCs w:val="22"/>
        </w:rPr>
        <w:t xml:space="preserve">Telecom and CTIA (together Petitioners) petitioned the Commission to issue a declaratory ruling to clarify the scope and meaning of the Commission’s </w:t>
      </w:r>
      <w:r w:rsidR="00BD6FA7">
        <w:rPr>
          <w:szCs w:val="22"/>
        </w:rPr>
        <w:t xml:space="preserve">LCP </w:t>
      </w:r>
      <w:r w:rsidRPr="00866145">
        <w:rPr>
          <w:szCs w:val="22"/>
        </w:rPr>
        <w:t>rule.</w:t>
      </w:r>
      <w:r>
        <w:rPr>
          <w:rStyle w:val="FootnoteReference"/>
          <w:szCs w:val="22"/>
        </w:rPr>
        <w:footnoteReference w:id="270"/>
      </w:r>
      <w:r w:rsidRPr="00866145">
        <w:rPr>
          <w:szCs w:val="22"/>
        </w:rPr>
        <w:t xml:space="preserve">  More specifically, Petitioners request</w:t>
      </w:r>
      <w:r w:rsidR="00BD6FA7">
        <w:rPr>
          <w:szCs w:val="22"/>
        </w:rPr>
        <w:t>ed</w:t>
      </w:r>
      <w:r w:rsidRPr="00866145">
        <w:rPr>
          <w:szCs w:val="22"/>
        </w:rPr>
        <w:t xml:space="preserve"> that the Commission clarify that: </w:t>
      </w:r>
      <w:r>
        <w:rPr>
          <w:szCs w:val="22"/>
        </w:rPr>
        <w:t xml:space="preserve"> </w:t>
      </w:r>
      <w:r w:rsidRPr="00866145">
        <w:rPr>
          <w:szCs w:val="22"/>
        </w:rPr>
        <w:t>(1) the lowest corresponding price obligation applies only to competitive bids submitted by a provider in response to a Form 470; (2) the lowest corresponding price obligation is not a continuing obligation that entitles</w:t>
      </w:r>
      <w:r w:rsidRPr="00750387">
        <w:rPr>
          <w:rFonts w:ascii="Book Antiqua" w:hAnsi="Book Antiqua"/>
          <w:color w:val="000000"/>
        </w:rPr>
        <w:t xml:space="preserve"> </w:t>
      </w:r>
      <w:r>
        <w:rPr>
          <w:rFonts w:ascii="Book Antiqua" w:hAnsi="Book Antiqua"/>
          <w:color w:val="000000"/>
        </w:rPr>
        <w:t xml:space="preserve">a </w:t>
      </w:r>
      <w:r w:rsidRPr="00750387">
        <w:t xml:space="preserve">school or library to constantly recalculate </w:t>
      </w:r>
      <w:r>
        <w:t xml:space="preserve">the </w:t>
      </w:r>
      <w:r w:rsidRPr="00866145">
        <w:rPr>
          <w:szCs w:val="22"/>
        </w:rPr>
        <w:t xml:space="preserve">lowest corresponding price during the term of a contract; (3) there are no specific procedures that a service provider must use to ensure compliance with the lowest corresponding price obligation; (4) in determining whether a service bundle complies with the lowest corresponding price obligation, discrete elements in such bundles need not be individually compared and priced; and (5) in a challenge regarding whether a provider’s bid satisfies the lowest corresponding price obligation, the initial burden falls on the challenger </w:t>
      </w:r>
      <w:r w:rsidRPr="00DD487C">
        <w:rPr>
          <w:szCs w:val="22"/>
        </w:rPr>
        <w:t>(</w:t>
      </w:r>
      <w:r w:rsidRPr="00DD487C">
        <w:rPr>
          <w:i/>
          <w:szCs w:val="22"/>
        </w:rPr>
        <w:t>i.e.</w:t>
      </w:r>
      <w:r w:rsidRPr="007D1A3F">
        <w:rPr>
          <w:szCs w:val="22"/>
        </w:rPr>
        <w:t xml:space="preserve">, a school or library) to demonstrate a </w:t>
      </w:r>
      <w:r w:rsidRPr="007D1A3F">
        <w:rPr>
          <w:i/>
          <w:szCs w:val="22"/>
        </w:rPr>
        <w:t>prima facie</w:t>
      </w:r>
      <w:r w:rsidRPr="007D1A3F">
        <w:rPr>
          <w:szCs w:val="22"/>
        </w:rPr>
        <w:t xml:space="preserve"> case that the bid is not the lowest corresponding price.</w:t>
      </w:r>
      <w:r w:rsidRPr="007D1A3F">
        <w:rPr>
          <w:rStyle w:val="FootnoteReference"/>
          <w:szCs w:val="22"/>
        </w:rPr>
        <w:footnoteReference w:id="271"/>
      </w:r>
      <w:r w:rsidRPr="007D1A3F">
        <w:rPr>
          <w:szCs w:val="22"/>
        </w:rPr>
        <w:t xml:space="preserve">  The Commission sought comment on that petition</w:t>
      </w:r>
      <w:r w:rsidRPr="00DD487C">
        <w:rPr>
          <w:szCs w:val="22"/>
        </w:rPr>
        <w:t>,</w:t>
      </w:r>
      <w:r w:rsidRPr="00DD487C">
        <w:rPr>
          <w:rStyle w:val="FootnoteReference"/>
          <w:szCs w:val="22"/>
        </w:rPr>
        <w:footnoteReference w:id="272"/>
      </w:r>
      <w:r w:rsidRPr="00DD487C">
        <w:rPr>
          <w:szCs w:val="22"/>
        </w:rPr>
        <w:t xml:space="preserve"> and </w:t>
      </w:r>
      <w:r>
        <w:rPr>
          <w:szCs w:val="22"/>
        </w:rPr>
        <w:t xml:space="preserve">we </w:t>
      </w:r>
      <w:r w:rsidRPr="007D1A3F">
        <w:rPr>
          <w:szCs w:val="22"/>
        </w:rPr>
        <w:t xml:space="preserve">now invite commenters to </w:t>
      </w:r>
      <w:r w:rsidRPr="00DD487C">
        <w:rPr>
          <w:color w:val="000000"/>
        </w:rPr>
        <w:t xml:space="preserve">refresh the record on whether it is necessary to </w:t>
      </w:r>
      <w:r w:rsidRPr="00DD487C">
        <w:t xml:space="preserve">clarify the scope and meaning of the </w:t>
      </w:r>
      <w:r w:rsidR="00BD6FA7">
        <w:t xml:space="preserve">LCP </w:t>
      </w:r>
      <w:r w:rsidRPr="00DD487C">
        <w:t>rule</w:t>
      </w:r>
      <w:r w:rsidRPr="00C40F28">
        <w:t>.</w:t>
      </w:r>
      <w:bookmarkEnd w:id="1947"/>
      <w:r>
        <w:t xml:space="preserve">  </w:t>
      </w:r>
      <w:r w:rsidRPr="00866145">
        <w:rPr>
          <w:szCs w:val="22"/>
        </w:rPr>
        <w:t xml:space="preserve"> </w:t>
      </w:r>
      <w:r>
        <w:t xml:space="preserve">  </w:t>
      </w:r>
      <w:r w:rsidRPr="00866145">
        <w:rPr>
          <w:szCs w:val="22"/>
        </w:rPr>
        <w:t xml:space="preserve"> </w:t>
      </w:r>
    </w:p>
    <w:p w14:paraId="0961D5DB" w14:textId="1C7F2DA5" w:rsidR="000627C7" w:rsidRPr="00A30BDC" w:rsidRDefault="000E31D1" w:rsidP="00B9652C">
      <w:pPr>
        <w:pStyle w:val="Heading2"/>
      </w:pPr>
      <w:bookmarkStart w:id="1948" w:name="_Toc359853182"/>
      <w:bookmarkStart w:id="1949" w:name="_Toc359853418"/>
      <w:bookmarkStart w:id="1950" w:name="_Toc359853681"/>
      <w:bookmarkStart w:id="1951" w:name="_Toc359858649"/>
      <w:bookmarkStart w:id="1952" w:name="_Toc359853183"/>
      <w:bookmarkStart w:id="1953" w:name="_Toc359853419"/>
      <w:bookmarkStart w:id="1954" w:name="_Toc359853682"/>
      <w:bookmarkStart w:id="1955" w:name="_Toc359858650"/>
      <w:bookmarkStart w:id="1956" w:name="_Toc360172811"/>
      <w:bookmarkStart w:id="1957" w:name="_Toc360186148"/>
      <w:bookmarkStart w:id="1958" w:name="_Toc360186225"/>
      <w:bookmarkStart w:id="1959" w:name="_Toc360186429"/>
      <w:bookmarkStart w:id="1960" w:name="_Toc360186501"/>
      <w:bookmarkStart w:id="1961" w:name="_Toc360187302"/>
      <w:bookmarkStart w:id="1962" w:name="_Toc360187463"/>
      <w:bookmarkStart w:id="1963" w:name="_Toc360208912"/>
      <w:bookmarkStart w:id="1964" w:name="_Toc360212045"/>
      <w:bookmarkStart w:id="1965" w:name="_Toc361663115"/>
      <w:bookmarkStart w:id="1966" w:name="_Toc361857693"/>
      <w:bookmarkStart w:id="1967" w:name="_Toc361918785"/>
      <w:bookmarkStart w:id="1968" w:name="_Toc362272562"/>
      <w:bookmarkEnd w:id="1948"/>
      <w:bookmarkEnd w:id="1949"/>
      <w:bookmarkEnd w:id="1950"/>
      <w:bookmarkEnd w:id="1951"/>
      <w:bookmarkEnd w:id="1952"/>
      <w:bookmarkEnd w:id="1953"/>
      <w:bookmarkEnd w:id="1954"/>
      <w:bookmarkEnd w:id="1955"/>
      <w:r>
        <w:t>Efficient Use of Funding</w:t>
      </w:r>
      <w:bookmarkEnd w:id="1956"/>
      <w:bookmarkEnd w:id="1957"/>
      <w:bookmarkEnd w:id="1958"/>
      <w:bookmarkEnd w:id="1959"/>
      <w:bookmarkEnd w:id="1960"/>
      <w:bookmarkEnd w:id="1961"/>
      <w:bookmarkEnd w:id="1962"/>
      <w:bookmarkEnd w:id="1963"/>
      <w:bookmarkEnd w:id="1964"/>
      <w:bookmarkEnd w:id="1965"/>
      <w:bookmarkEnd w:id="1966"/>
      <w:bookmarkEnd w:id="1967"/>
      <w:bookmarkEnd w:id="1968"/>
    </w:p>
    <w:p w14:paraId="0955FADE" w14:textId="73C18B12" w:rsidR="000627C7" w:rsidRDefault="00770516" w:rsidP="00434A8B">
      <w:pPr>
        <w:pStyle w:val="ParaNum"/>
      </w:pPr>
      <w:r>
        <w:t>W</w:t>
      </w:r>
      <w:r w:rsidR="000627C7" w:rsidRPr="00A30BDC">
        <w:t xml:space="preserve">e seek comment on how best to ensure that any given </w:t>
      </w:r>
      <w:r w:rsidR="000627C7">
        <w:t>E-rate</w:t>
      </w:r>
      <w:r w:rsidR="000627C7" w:rsidRPr="00A30BDC">
        <w:t xml:space="preserve"> application reflects a cost-effective approach to filling the applicant’s need for </w:t>
      </w:r>
      <w:r w:rsidR="000627C7">
        <w:t>E-rate</w:t>
      </w:r>
      <w:r w:rsidR="000627C7" w:rsidRPr="00A30BDC">
        <w:t xml:space="preserve"> supported services.  Our </w:t>
      </w:r>
      <w:r w:rsidR="000627C7" w:rsidRPr="00A30BDC">
        <w:lastRenderedPageBreak/>
        <w:t>competitive bidding rules require that price must be the primary factor when selecting a winning bid and that applicants must select cost-effective service offerings.</w:t>
      </w:r>
      <w:r w:rsidR="000627C7" w:rsidRPr="00A30BDC">
        <w:rPr>
          <w:vertAlign w:val="superscript"/>
        </w:rPr>
        <w:footnoteReference w:id="273"/>
      </w:r>
      <w:r w:rsidR="000627C7" w:rsidRPr="00A30BDC">
        <w:t xml:space="preserve">  We seek comment, however, on whether our rules and our enforcement mechanisms are sufficient to ensure cost</w:t>
      </w:r>
      <w:r w:rsidR="000627C7">
        <w:t>-</w:t>
      </w:r>
      <w:r w:rsidR="000627C7" w:rsidRPr="00A30BDC">
        <w:t xml:space="preserve">effective purchasing on an application-by-application basis.  </w:t>
      </w:r>
    </w:p>
    <w:p w14:paraId="4285D4FD" w14:textId="630137CF" w:rsidR="000627C7" w:rsidRPr="00A30BDC" w:rsidRDefault="000627C7" w:rsidP="00F47042">
      <w:pPr>
        <w:pStyle w:val="ParaNum"/>
      </w:pPr>
      <w:r w:rsidRPr="008707E2">
        <w:t>This</w:t>
      </w:r>
      <w:r w:rsidRPr="00A30BDC">
        <w:t xml:space="preserve"> is not the first time the Commission has sought comment on this issue.  In the 2003 </w:t>
      </w:r>
      <w:r w:rsidRPr="00A30BDC">
        <w:rPr>
          <w:i/>
        </w:rPr>
        <w:t>Schools and Libraries Third Report and Order</w:t>
      </w:r>
      <w:r w:rsidRPr="00A30BDC">
        <w:t>, the Commission sought comment on whether to codify additional rules to ensure that applicants make informed and reasonable decisions in deciding which services they will seek discounts.</w:t>
      </w:r>
      <w:r w:rsidRPr="00A30BDC">
        <w:rPr>
          <w:vertAlign w:val="superscript"/>
        </w:rPr>
        <w:footnoteReference w:id="274"/>
      </w:r>
      <w:r w:rsidRPr="00A30BDC">
        <w:t xml:space="preserve">  Given that demand for </w:t>
      </w:r>
      <w:r>
        <w:t>E-rate</w:t>
      </w:r>
      <w:r w:rsidRPr="00A30BDC">
        <w:t xml:space="preserve"> funding greatly exceeds the cap and that there is a wide disparity in the amount of funds on a per</w:t>
      </w:r>
      <w:r w:rsidR="00BD6FA7">
        <w:t>-</w:t>
      </w:r>
      <w:r w:rsidRPr="00A30BDC">
        <w:t xml:space="preserve">student basis that applicants seek, it is time to refresh the record on this issue.  Specifically, we seek comment on how to ensure that applicants are not receiving support for expensive services that provide functionality that they do not need and will not use and that applicants are not selecting expensive priority one services simply because they are supported services, when less expensive services would fill the same need. </w:t>
      </w:r>
    </w:p>
    <w:p w14:paraId="2348CC8C" w14:textId="40C6ED38" w:rsidR="000627C7" w:rsidRDefault="000627C7" w:rsidP="00F47042">
      <w:pPr>
        <w:pStyle w:val="ParaNum"/>
      </w:pPr>
      <w:r w:rsidRPr="00A30BDC">
        <w:t>As part of our effort to ensure that applicants are making cost-effective purchasing decisions, we seek to refresh the record on whether we should adopt bright line test</w:t>
      </w:r>
      <w:r>
        <w:t>s</w:t>
      </w:r>
      <w:r w:rsidRPr="00A30BDC">
        <w:t>, benchmark or formula for determining the most cost</w:t>
      </w:r>
      <w:r>
        <w:t>-</w:t>
      </w:r>
      <w:r w:rsidRPr="00A30BDC">
        <w:t xml:space="preserve">effective means of meeting an applicant’s technology needs.  </w:t>
      </w:r>
      <w:r>
        <w:t xml:space="preserve">For example, should we establish limits or guidelines on purchases of certain kinds of equipment based on reasonable per-classroom, per-teacher, or per-library technology needs? </w:t>
      </w:r>
      <w:r w:rsidR="00C63D4D">
        <w:t xml:space="preserve"> </w:t>
      </w:r>
      <w:r w:rsidRPr="00A30BDC">
        <w:t xml:space="preserve">If so, what </w:t>
      </w:r>
      <w:r>
        <w:t>are appropriate</w:t>
      </w:r>
      <w:r w:rsidRPr="00A30BDC">
        <w:t xml:space="preserve"> bright line test</w:t>
      </w:r>
      <w:r>
        <w:t>s</w:t>
      </w:r>
      <w:r w:rsidRPr="00A30BDC">
        <w:t>, benchmark</w:t>
      </w:r>
      <w:r>
        <w:t>s</w:t>
      </w:r>
      <w:r w:rsidRPr="00A30BDC">
        <w:t xml:space="preserve"> or formula</w:t>
      </w:r>
      <w:r>
        <w:t>s</w:t>
      </w:r>
      <w:r w:rsidRPr="00A30BDC">
        <w:t>?</w:t>
      </w:r>
      <w:r>
        <w:t xml:space="preserve">  Would we need a process for granting exceptions, and if so, how should it work?</w:t>
      </w:r>
      <w:r w:rsidRPr="00A30BDC">
        <w:t xml:space="preserve"> </w:t>
      </w:r>
      <w:r w:rsidR="00BD6FA7">
        <w:t xml:space="preserve"> </w:t>
      </w:r>
      <w:r w:rsidR="00A614AB">
        <w:t>As an alternative to setting hard limits, should we make purchases of equipment above per-classroom, per-teacher, per</w:t>
      </w:r>
      <w:r w:rsidR="00BD6FA7">
        <w:t>-</w:t>
      </w:r>
      <w:r w:rsidR="00A614AB">
        <w:t>student, or other limits a lower priority?</w:t>
      </w:r>
    </w:p>
    <w:p w14:paraId="3ADBDA25" w14:textId="574E229D" w:rsidR="000627C7" w:rsidRPr="00A30BDC" w:rsidRDefault="000627C7" w:rsidP="00F47042">
      <w:pPr>
        <w:pStyle w:val="ParaNum"/>
      </w:pPr>
      <w:r w:rsidRPr="00A30BDC">
        <w:lastRenderedPageBreak/>
        <w:t>Our rules require that an applicant establish that equipment and services are installed and in use.</w:t>
      </w:r>
      <w:r w:rsidRPr="00A30BDC">
        <w:rPr>
          <w:vertAlign w:val="superscript"/>
        </w:rPr>
        <w:footnoteReference w:id="275"/>
      </w:r>
      <w:r w:rsidRPr="00A30BDC">
        <w:t xml:space="preserve">  Should we require that an applicant regularly use all of the functions provided by an </w:t>
      </w:r>
      <w:r>
        <w:t>E-rate</w:t>
      </w:r>
      <w:r w:rsidRPr="00A30BDC">
        <w:t xml:space="preserve"> supported service?  If an applicant has requested and installed an </w:t>
      </w:r>
      <w:r>
        <w:t>E-rate</w:t>
      </w:r>
      <w:r w:rsidRPr="00A30BDC">
        <w:t xml:space="preserve"> supported service, but does not use all of the functionality of the service, has the applicant violated the requirement to engage in cost-effective purchasing?  Does it matter if no other vendor services more closely matched the needs of the applicant? </w:t>
      </w:r>
    </w:p>
    <w:p w14:paraId="1F4C9BA1" w14:textId="55CFE7B6" w:rsidR="000627C7" w:rsidRDefault="000627C7" w:rsidP="00F47042">
      <w:pPr>
        <w:pStyle w:val="ParaNum"/>
      </w:pPr>
      <w:r w:rsidRPr="00A30BDC">
        <w:t>We seek comment on whether applicants seek support for priority one services because they know they will receive support for those services, when in reality the services they need or are seeking are unsupported services, or priority two services that are often not funded.</w:t>
      </w:r>
      <w:r w:rsidRPr="00A30BDC">
        <w:rPr>
          <w:vertAlign w:val="superscript"/>
        </w:rPr>
        <w:footnoteReference w:id="276"/>
      </w:r>
      <w:r w:rsidRPr="00A30BDC">
        <w:t xml:space="preserve">  </w:t>
      </w:r>
      <w:r>
        <w:t xml:space="preserve">We noted above that many applicants purchase expensive </w:t>
      </w:r>
      <w:r w:rsidRPr="00A27954">
        <w:t>cellular data plans and air cards</w:t>
      </w:r>
      <w:r>
        <w:t xml:space="preserve"> that are funded as priority one services,</w:t>
      </w:r>
      <w:r w:rsidRPr="00A27954">
        <w:t xml:space="preserve"> </w:t>
      </w:r>
      <w:r>
        <w:t xml:space="preserve">instead of using less expensive </w:t>
      </w:r>
      <w:r w:rsidR="00BA429A">
        <w:t>l</w:t>
      </w:r>
      <w:r>
        <w:t xml:space="preserve">ocal area network (LAN) services, which are priority two services.  Is this an example of applicants seeking support for priority one services because they do not expect to qualify for priority two services, given the E-rate program’s funding cap?  Are there other </w:t>
      </w:r>
      <w:r w:rsidRPr="00A30BDC">
        <w:t>examples of such practices</w:t>
      </w:r>
      <w:r>
        <w:t>?</w:t>
      </w:r>
      <w:r w:rsidRPr="00A30BDC">
        <w:t xml:space="preserve"> </w:t>
      </w:r>
      <w:r>
        <w:t xml:space="preserve"> How can the Commission discourage these practices and</w:t>
      </w:r>
      <w:r w:rsidRPr="00A30BDC">
        <w:t xml:space="preserve"> encourag</w:t>
      </w:r>
      <w:r>
        <w:t>e</w:t>
      </w:r>
      <w:r w:rsidRPr="00A30BDC">
        <w:t xml:space="preserve"> participants to select the less expensive services</w:t>
      </w:r>
      <w:r>
        <w:t>?  Would the</w:t>
      </w:r>
      <w:r w:rsidRPr="00A30BDC">
        <w:t xml:space="preserve"> proposals</w:t>
      </w:r>
      <w:r>
        <w:t xml:space="preserve"> discussed above to reprioritize</w:t>
      </w:r>
      <w:r w:rsidRPr="00A30BDC">
        <w:t xml:space="preserve"> </w:t>
      </w:r>
      <w:r>
        <w:t xml:space="preserve">the E-rate </w:t>
      </w:r>
      <w:r w:rsidRPr="00A30BDC">
        <w:t>supported services help address this issue</w:t>
      </w:r>
      <w:r>
        <w:t>?</w:t>
      </w:r>
      <w:r w:rsidRPr="00A30BDC">
        <w:rPr>
          <w:vertAlign w:val="superscript"/>
        </w:rPr>
        <w:footnoteReference w:id="277"/>
      </w:r>
    </w:p>
    <w:p w14:paraId="67F3199B" w14:textId="2A876233" w:rsidR="00D96910" w:rsidRDefault="00D96910" w:rsidP="00D96910">
      <w:pPr>
        <w:pStyle w:val="ParaNum"/>
      </w:pPr>
      <w:r>
        <w:t>We seek comment on how our cost-effectiveness rules should apply to multi-year contracts and to purchases of ongoing services.  Should we encourage or require schools and libraries to take a long-term view of cost-effectiveness?  How can we provide E-rate applicants assurance that significant investments which raise costs in the short term but significantly lower recurring costs will not run</w:t>
      </w:r>
      <w:r w:rsidR="00BD6FA7">
        <w:t xml:space="preserve"> </w:t>
      </w:r>
      <w:r>
        <w:t>afoul of our rules, while continuing to protect against wasteful or inefficient purchases?  We are particularly interested in this question as it relates to the deployment of new broadband connections to schools and libraries.</w:t>
      </w:r>
    </w:p>
    <w:p w14:paraId="0D49A2BF" w14:textId="453E3524" w:rsidR="00C15816" w:rsidRPr="00C15816" w:rsidRDefault="00C63D4D" w:rsidP="00B9652C">
      <w:pPr>
        <w:pStyle w:val="Heading2"/>
      </w:pPr>
      <w:bookmarkStart w:id="1969" w:name="_Toc360186149"/>
      <w:bookmarkStart w:id="1970" w:name="_Toc360186226"/>
      <w:bookmarkStart w:id="1971" w:name="_Toc360186430"/>
      <w:bookmarkStart w:id="1972" w:name="_Toc360186502"/>
      <w:bookmarkStart w:id="1973" w:name="_Toc360187303"/>
      <w:bookmarkStart w:id="1974" w:name="_Toc360187464"/>
      <w:bookmarkStart w:id="1975" w:name="_Toc360025452"/>
      <w:bookmarkStart w:id="1976" w:name="_Toc360107503"/>
      <w:bookmarkStart w:id="1977" w:name="_Toc360111627"/>
      <w:bookmarkStart w:id="1978" w:name="_Toc360172812"/>
      <w:bookmarkStart w:id="1979" w:name="_Toc360208913"/>
      <w:bookmarkStart w:id="1980" w:name="_Toc360212046"/>
      <w:bookmarkStart w:id="1981" w:name="_Toc361663116"/>
      <w:bookmarkStart w:id="1982" w:name="_Toc361857694"/>
      <w:bookmarkStart w:id="1983" w:name="_Toc361918786"/>
      <w:bookmarkStart w:id="1984" w:name="_Toc362272563"/>
      <w:r>
        <w:t xml:space="preserve">Broadband </w:t>
      </w:r>
      <w:r w:rsidR="00FA74D5">
        <w:t>Planning and Use</w:t>
      </w:r>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p>
    <w:p w14:paraId="4F0B46EA" w14:textId="52FCA09A" w:rsidR="00EB42BD" w:rsidRPr="00EB42BD" w:rsidRDefault="00FA74D5" w:rsidP="00EB42BD">
      <w:pPr>
        <w:pStyle w:val="ParaNum"/>
      </w:pPr>
      <w:r w:rsidRPr="00FA74D5">
        <w:t xml:space="preserve"> </w:t>
      </w:r>
      <w:r w:rsidRPr="00EB42BD">
        <w:t xml:space="preserve">We next seek comment on measures E-rate applicants should take in order to ensure they are carefully assessing their need for and readiness to use high-capacity broadband.  </w:t>
      </w:r>
      <w:r w:rsidRPr="00EB42BD">
        <w:lastRenderedPageBreak/>
        <w:t xml:space="preserve">Should we require schools and libraries seeking support for high-capacity broadband to undertake a formal review and assessment of their broadband needs – both to the premises and within the premises?  Such an assessment </w:t>
      </w:r>
      <w:r>
        <w:t>c</w:t>
      </w:r>
      <w:r w:rsidRPr="00EB42BD">
        <w:t>ould not only help applicants determine their broadband connectivity needs but also encourage efficient and cost-effective purchasing decisions</w:t>
      </w:r>
      <w:r>
        <w:t xml:space="preserve">. </w:t>
      </w:r>
      <w:r w:rsidRPr="00EB42BD">
        <w:t xml:space="preserve"> Should we condition receipt of E-rate funds on certain criteria for the broadband assessments and if so, what should those criteria be?  For example, should we require schools to plan for providing a device to every student or for a device to a small group of students?  Should we require schools and libraries to conduct professional development sufficient to ensure that their staffs have the knowledge and skills to take advantage of high-capacity broadband as well as the devices and applications?  Should applicants be required to demonstrate that they have specific plans for using the bandwidth?  Who is in the best position to evaluate and, if necessary, approve these assessments</w:t>
      </w:r>
      <w:r>
        <w:t>, and help schools close any gaps</w:t>
      </w:r>
      <w:r w:rsidRPr="00EB42BD">
        <w:t xml:space="preserve">?  What should be the consequences be if an applicant </w:t>
      </w:r>
      <w:r>
        <w:t>conducts</w:t>
      </w:r>
      <w:r w:rsidRPr="00EB42BD">
        <w:t xml:space="preserve"> inadequate </w:t>
      </w:r>
      <w:r>
        <w:t xml:space="preserve">needs </w:t>
      </w:r>
      <w:r w:rsidRPr="00EB42BD">
        <w:t>assessment</w:t>
      </w:r>
      <w:r>
        <w:t xml:space="preserve"> and planning, and what resources could be made available to help them improve</w:t>
      </w:r>
      <w:r w:rsidRPr="00EB42BD">
        <w:t>?</w:t>
      </w:r>
      <w:r w:rsidR="00EB42BD" w:rsidRPr="00EB42BD">
        <w:t xml:space="preserve"> </w:t>
      </w:r>
    </w:p>
    <w:p w14:paraId="4F5D53BC" w14:textId="0664D081" w:rsidR="00C15816" w:rsidRDefault="00A22B72" w:rsidP="00B9652C">
      <w:pPr>
        <w:numPr>
          <w:ilvl w:val="0"/>
          <w:numId w:val="2"/>
        </w:numPr>
        <w:tabs>
          <w:tab w:val="clear" w:pos="1080"/>
          <w:tab w:val="num" w:pos="1440"/>
        </w:tabs>
        <w:spacing w:after="120"/>
      </w:pPr>
      <w:r w:rsidRPr="00EB42BD">
        <w:t xml:space="preserve">In the </w:t>
      </w:r>
      <w:r w:rsidR="00227056" w:rsidRPr="00227056">
        <w:rPr>
          <w:i/>
        </w:rPr>
        <w:t>Schools and Libraries Sixth Report and Order</w:t>
      </w:r>
      <w:r w:rsidR="00014B7E">
        <w:t>,</w:t>
      </w:r>
      <w:r w:rsidRPr="00EB42BD">
        <w:t xml:space="preserve"> the Commission eliminated technology plan requirements for E-rate applicants seeking only support for priority one services</w:t>
      </w:r>
      <w:r>
        <w:t xml:space="preserve"> in order to simplify the application process for those schools and libraries</w:t>
      </w:r>
      <w:r w:rsidRPr="00EB42BD">
        <w:t>.</w:t>
      </w:r>
      <w:r w:rsidRPr="00EB42BD">
        <w:rPr>
          <w:vertAlign w:val="superscript"/>
        </w:rPr>
        <w:footnoteReference w:id="278"/>
      </w:r>
      <w:r w:rsidRPr="00EB42BD">
        <w:t xml:space="preserve"> </w:t>
      </w:r>
      <w:r w:rsidR="00014B7E">
        <w:t xml:space="preserve"> </w:t>
      </w:r>
      <w:r w:rsidRPr="00EB42BD">
        <w:t xml:space="preserve">We </w:t>
      </w:r>
      <w:r>
        <w:t>seek comment</w:t>
      </w:r>
      <w:r w:rsidR="00E01107">
        <w:t xml:space="preserve"> on</w:t>
      </w:r>
      <w:r w:rsidRPr="00EB42BD">
        <w:t xml:space="preserve"> lessons learned from our current and previous technology plan requirements and whether we should consider any elements of those requirements if we implement a broadband assessment requirement.  </w:t>
      </w:r>
      <w:r>
        <w:t>In particular, how can we make such assessment as simple and objective as possible?  Is an objective checklist or scorecard approach for school planning and readiness feasible?</w:t>
      </w:r>
      <w:r w:rsidR="00EB42BD" w:rsidRPr="00EB42BD">
        <w:t xml:space="preserve">  </w:t>
      </w:r>
    </w:p>
    <w:p w14:paraId="1789538D" w14:textId="2828D02A" w:rsidR="00877E1C" w:rsidRPr="0003107C" w:rsidRDefault="00877E1C" w:rsidP="00DA25DB">
      <w:pPr>
        <w:numPr>
          <w:ilvl w:val="0"/>
          <w:numId w:val="2"/>
        </w:numPr>
        <w:tabs>
          <w:tab w:val="clear" w:pos="1080"/>
          <w:tab w:val="num" w:pos="1440"/>
        </w:tabs>
        <w:spacing w:after="120"/>
      </w:pPr>
      <w:r>
        <w:t>We seek comment on quantifying the burdens schools and libraries face when completing current technology plans in compliance with federal requirements and the approval process?  If we eliminate the technology plan requirement, and do not otherwise require E-rate applicants to assess their broadband needs, would schools and libraries continue to develop technology plans, or their equivalents, and if so how might they differ from current plans developed in order to access priority two funding?</w:t>
      </w:r>
    </w:p>
    <w:p w14:paraId="58FB2F53" w14:textId="67D78237" w:rsidR="000627C7" w:rsidRPr="00A30BDC" w:rsidRDefault="00FA74D5" w:rsidP="00B9652C">
      <w:pPr>
        <w:pStyle w:val="Heading2"/>
      </w:pPr>
      <w:bookmarkStart w:id="1985" w:name="_Toc360172813"/>
      <w:bookmarkStart w:id="1986" w:name="_Toc360186150"/>
      <w:bookmarkStart w:id="1987" w:name="_Toc360186227"/>
      <w:bookmarkStart w:id="1988" w:name="_Toc360186431"/>
      <w:bookmarkStart w:id="1989" w:name="_Toc360186503"/>
      <w:bookmarkStart w:id="1990" w:name="_Toc360187304"/>
      <w:bookmarkStart w:id="1991" w:name="_Toc360187465"/>
      <w:bookmarkStart w:id="1992" w:name="_Toc360208914"/>
      <w:bookmarkStart w:id="1993" w:name="_Toc360212047"/>
      <w:bookmarkStart w:id="1994" w:name="_Toc361663117"/>
      <w:bookmarkStart w:id="1995" w:name="_Toc361857695"/>
      <w:bookmarkStart w:id="1996" w:name="_Toc361918787"/>
      <w:bookmarkStart w:id="1997" w:name="_Toc362272564"/>
      <w:r>
        <w:lastRenderedPageBreak/>
        <w:t xml:space="preserve">Innovative Approaches to </w:t>
      </w:r>
      <w:r w:rsidR="004B5DF8">
        <w:t>Encouraging Maximum Efficiency</w:t>
      </w:r>
      <w:bookmarkEnd w:id="1985"/>
      <w:bookmarkEnd w:id="1986"/>
      <w:bookmarkEnd w:id="1987"/>
      <w:bookmarkEnd w:id="1988"/>
      <w:bookmarkEnd w:id="1989"/>
      <w:bookmarkEnd w:id="1990"/>
      <w:bookmarkEnd w:id="1991"/>
      <w:bookmarkEnd w:id="1992"/>
      <w:bookmarkEnd w:id="1993"/>
      <w:bookmarkEnd w:id="1994"/>
      <w:bookmarkEnd w:id="1995"/>
      <w:bookmarkEnd w:id="1996"/>
      <w:bookmarkEnd w:id="1997"/>
    </w:p>
    <w:p w14:paraId="0723D2A9" w14:textId="3EB7DFD7" w:rsidR="00A614AB" w:rsidRDefault="00A614AB" w:rsidP="00A614AB">
      <w:pPr>
        <w:pStyle w:val="ParaNum"/>
      </w:pPr>
      <w:bookmarkStart w:id="1998" w:name="_Ref360205409"/>
      <w:r w:rsidRPr="00A30BDC">
        <w:t xml:space="preserve">Finally, </w:t>
      </w:r>
      <w:r>
        <w:t xml:space="preserve">as we consider various ways to maximize cost-effective purchasing in the E-rate program, </w:t>
      </w:r>
      <w:r w:rsidRPr="00A30BDC">
        <w:t xml:space="preserve">we seek comment on whether </w:t>
      </w:r>
      <w:r>
        <w:t xml:space="preserve">utilizing scaled down testing of various approaches to purchasing would help identify the most successful practices as well as less effective ideas.  Towards that end, we seek comment on whether </w:t>
      </w:r>
      <w:r w:rsidRPr="00A30BDC">
        <w:t xml:space="preserve">we should establish </w:t>
      </w:r>
      <w:r>
        <w:t>one or more</w:t>
      </w:r>
      <w:r w:rsidRPr="00A30BDC">
        <w:t xml:space="preserve"> program</w:t>
      </w:r>
      <w:r>
        <w:t>s</w:t>
      </w:r>
      <w:r w:rsidRPr="00A30BDC">
        <w:t xml:space="preserve"> to foster innovation and highlight specific, scalable best practices </w:t>
      </w:r>
      <w:r>
        <w:t xml:space="preserve">for purchasing E-rate supported services </w:t>
      </w:r>
      <w:r w:rsidRPr="00A30BDC">
        <w:t xml:space="preserve">that eligible schools and libraries can use to drive down the cost of </w:t>
      </w:r>
      <w:r>
        <w:t>E-rate</w:t>
      </w:r>
      <w:r w:rsidRPr="00A30BDC">
        <w:t xml:space="preserve"> supported services.</w:t>
      </w:r>
      <w:bookmarkEnd w:id="1998"/>
      <w:r w:rsidRPr="00A30BDC">
        <w:t xml:space="preserve">  </w:t>
      </w:r>
    </w:p>
    <w:p w14:paraId="04555572" w14:textId="2F1321D5" w:rsidR="00A614AB" w:rsidRDefault="004B5DF8" w:rsidP="00A614AB">
      <w:pPr>
        <w:pStyle w:val="ParaNum"/>
      </w:pPr>
      <w:bookmarkStart w:id="1999" w:name="_Ref360205415"/>
      <w:r>
        <w:t xml:space="preserve">Such a </w:t>
      </w:r>
      <w:r w:rsidR="00A614AB" w:rsidRPr="00A30BDC">
        <w:t xml:space="preserve">program could, </w:t>
      </w:r>
      <w:r w:rsidR="00A614AB">
        <w:t>for example</w:t>
      </w:r>
      <w:r w:rsidR="00A614AB" w:rsidRPr="00A30BDC">
        <w:t xml:space="preserve">, </w:t>
      </w:r>
      <w:r w:rsidR="00A614AB">
        <w:t>allow</w:t>
      </w:r>
      <w:r w:rsidR="00A614AB" w:rsidRPr="00A30BDC">
        <w:t xml:space="preserve"> experimentation </w:t>
      </w:r>
      <w:r w:rsidR="00A614AB">
        <w:t>use of</w:t>
      </w:r>
      <w:r w:rsidR="00A614AB" w:rsidRPr="00A30BDC">
        <w:t xml:space="preserve"> consortia, establish novel bulk buying opportunities, and</w:t>
      </w:r>
      <w:r w:rsidR="00A614AB">
        <w:t>/or test ways to streamline</w:t>
      </w:r>
      <w:r w:rsidR="00A614AB" w:rsidRPr="00A30BDC">
        <w:t xml:space="preserve"> procurement for eligible schools and libraries.  A pilot program </w:t>
      </w:r>
      <w:r w:rsidR="00A614AB">
        <w:t>c</w:t>
      </w:r>
      <w:r w:rsidR="00A614AB" w:rsidRPr="00A30BDC">
        <w:t xml:space="preserve">ould also provide an opportunity for the Commission and USAC to gather data about </w:t>
      </w:r>
      <w:r w:rsidR="00A614AB">
        <w:t>other innovative approaches</w:t>
      </w:r>
      <w:r w:rsidR="00A614AB" w:rsidRPr="00A30BDC">
        <w:t xml:space="preserve"> to lower</w:t>
      </w:r>
      <w:r w:rsidR="00A614AB">
        <w:t>ing</w:t>
      </w:r>
      <w:r w:rsidR="00A614AB" w:rsidRPr="00A30BDC">
        <w:t xml:space="preserve"> costs</w:t>
      </w:r>
      <w:r w:rsidR="00A614AB">
        <w:t xml:space="preserve"> by incenting cost-reducing measures</w:t>
      </w:r>
      <w:r w:rsidR="00A614AB" w:rsidRPr="00A30BDC">
        <w:t>.</w:t>
      </w:r>
      <w:r w:rsidR="00A614AB">
        <w:t xml:space="preserve">  Pilots could, for example, offer greater discounts for participants that are able to significantly decrease the pre-discount costs of the services they purchase.  This would allow participants to realize a greater share of the savings from cost-reductions.  Alternatively, we could allow pilot participants to use savings from reduced spending on priority one services toward priority two services, outside the otherwise applicable prioritization system.</w:t>
      </w:r>
      <w:bookmarkEnd w:id="1999"/>
      <w:r w:rsidR="00A614AB">
        <w:t xml:space="preserve">  </w:t>
      </w:r>
    </w:p>
    <w:p w14:paraId="58BBA4CB" w14:textId="719E08F1" w:rsidR="00A614AB" w:rsidRDefault="00A614AB" w:rsidP="00A614AB">
      <w:pPr>
        <w:pStyle w:val="ParaNum"/>
      </w:pPr>
      <w:r w:rsidRPr="00A30BDC">
        <w:t>We seek comment on the</w:t>
      </w:r>
      <w:r>
        <w:t xml:space="preserve">se options for pilot programs, and </w:t>
      </w:r>
      <w:r w:rsidRPr="00A30BDC">
        <w:t xml:space="preserve">whether </w:t>
      </w:r>
      <w:r>
        <w:t xml:space="preserve">such programs </w:t>
      </w:r>
      <w:r w:rsidRPr="00A30BDC">
        <w:t xml:space="preserve">would be an efficient use of </w:t>
      </w:r>
      <w:r>
        <w:t>E-rate</w:t>
      </w:r>
      <w:r w:rsidRPr="00A30BDC">
        <w:t xml:space="preserve"> funds.  </w:t>
      </w:r>
      <w:r w:rsidDel="00EE4FB2">
        <w:t xml:space="preserve">We also seek comment on </w:t>
      </w:r>
      <w:r>
        <w:t xml:space="preserve">other potential pilot designs, and other potential </w:t>
      </w:r>
      <w:r w:rsidDel="00EE4FB2">
        <w:t>financial and administrative incentives for participati</w:t>
      </w:r>
      <w:r>
        <w:t>on</w:t>
      </w:r>
      <w:r w:rsidDel="00EE4FB2">
        <w:t xml:space="preserve"> in </w:t>
      </w:r>
      <w:r>
        <w:t>purchasing</w:t>
      </w:r>
      <w:r w:rsidDel="00EE4FB2">
        <w:t xml:space="preserve"> pilot program</w:t>
      </w:r>
      <w:r>
        <w:t>s</w:t>
      </w:r>
      <w:r w:rsidDel="00EE4FB2">
        <w:t>.</w:t>
      </w:r>
      <w:r>
        <w:t xml:space="preserve"> </w:t>
      </w:r>
      <w:r w:rsidR="00104952">
        <w:t xml:space="preserve"> </w:t>
      </w:r>
      <w:r w:rsidDel="00EE4FB2">
        <w:t xml:space="preserve">How can we set up these incentives to account for the fact that some short-term investments may result in long-term cost savings?  </w:t>
      </w:r>
      <w:r w:rsidRPr="00A30BDC">
        <w:t xml:space="preserve">Are there other approaches we should consider to incentivize eligible schools and libraries to find the lowest price?  </w:t>
      </w:r>
      <w:r>
        <w:t>Should we consider adopting any of the pilot program proposals discussed above for the E-rate program as a whole, without first conducting a pilot?</w:t>
      </w:r>
    </w:p>
    <w:p w14:paraId="31ADEA4C" w14:textId="0C05C358" w:rsidR="00A614AB" w:rsidRDefault="00A614AB" w:rsidP="00A614AB">
      <w:pPr>
        <w:pStyle w:val="ParaNum"/>
      </w:pPr>
      <w:bookmarkStart w:id="2000" w:name="_Ref360203730"/>
      <w:r>
        <w:t xml:space="preserve">We also seek comment on what data we should collect as part of a pilot program, and to measure the effectiveness of the program.  </w:t>
      </w:r>
      <w:r w:rsidRPr="00A30BDC">
        <w:t xml:space="preserve">In evaluating the results of </w:t>
      </w:r>
      <w:r>
        <w:t>any</w:t>
      </w:r>
      <w:r w:rsidRPr="00A30BDC">
        <w:t xml:space="preserve"> pilot program, we would </w:t>
      </w:r>
      <w:r>
        <w:t xml:space="preserve">propose to </w:t>
      </w:r>
      <w:r w:rsidRPr="00A30BDC">
        <w:t xml:space="preserve">consider, among other things, the quantity of services supplied, the prices per component, the expenses </w:t>
      </w:r>
      <w:r w:rsidR="003D5731">
        <w:t>per-student</w:t>
      </w:r>
      <w:r w:rsidRPr="00A30BDC">
        <w:t>, and the distribution of cost across districts of varying incomes.  Are the other factors we should consider?</w:t>
      </w:r>
      <w:r w:rsidRPr="008E6782">
        <w:t xml:space="preserve"> </w:t>
      </w:r>
      <w:r>
        <w:t xml:space="preserve"> What would be the most appropriate mechanism for sharing this </w:t>
      </w:r>
      <w:r>
        <w:lastRenderedPageBreak/>
        <w:t>data?  How would we maximize the likelihood that</w:t>
      </w:r>
      <w:r w:rsidRPr="00A30BDC">
        <w:t xml:space="preserve"> any innovations</w:t>
      </w:r>
      <w:r>
        <w:t xml:space="preserve"> developed in a pilot program </w:t>
      </w:r>
      <w:r w:rsidRPr="00A30BDC">
        <w:t>could be repeated throughout the country</w:t>
      </w:r>
      <w:r>
        <w:t>?</w:t>
      </w:r>
      <w:bookmarkEnd w:id="2000"/>
    </w:p>
    <w:p w14:paraId="18780B3D" w14:textId="77A679BB" w:rsidR="000627C7" w:rsidRPr="00A30BDC" w:rsidRDefault="002B7D6B" w:rsidP="008B687A">
      <w:pPr>
        <w:pStyle w:val="Heading1"/>
        <w:keepNext w:val="0"/>
      </w:pPr>
      <w:bookmarkStart w:id="2001" w:name="_Toc359940077"/>
      <w:bookmarkStart w:id="2002" w:name="_Toc359940078"/>
      <w:bookmarkStart w:id="2003" w:name="_Toc359940079"/>
      <w:bookmarkStart w:id="2004" w:name="_Toc360111629"/>
      <w:bookmarkStart w:id="2005" w:name="_Toc360172814"/>
      <w:bookmarkStart w:id="2006" w:name="_Toc360186151"/>
      <w:bookmarkStart w:id="2007" w:name="_Toc360186228"/>
      <w:bookmarkStart w:id="2008" w:name="_Toc360186432"/>
      <w:bookmarkStart w:id="2009" w:name="_Toc360186504"/>
      <w:bookmarkStart w:id="2010" w:name="_Toc360187305"/>
      <w:bookmarkStart w:id="2011" w:name="_Toc360187466"/>
      <w:bookmarkStart w:id="2012" w:name="_Toc360208915"/>
      <w:bookmarkStart w:id="2013" w:name="_Toc360212048"/>
      <w:bookmarkStart w:id="2014" w:name="_Toc361663118"/>
      <w:bookmarkStart w:id="2015" w:name="_Toc361857696"/>
      <w:bookmarkStart w:id="2016" w:name="_Toc361918788"/>
      <w:bookmarkStart w:id="2017" w:name="_Toc362272565"/>
      <w:bookmarkEnd w:id="2001"/>
      <w:bookmarkEnd w:id="2002"/>
      <w:bookmarkEnd w:id="2003"/>
      <w:r>
        <w:t>Streamlining the administration of the E-rate program</w:t>
      </w:r>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p>
    <w:p w14:paraId="524FC291" w14:textId="49B5F17B" w:rsidR="00A614AB" w:rsidRDefault="000627C7" w:rsidP="00F47042">
      <w:pPr>
        <w:pStyle w:val="ParaNum"/>
      </w:pPr>
      <w:bookmarkStart w:id="2018" w:name="_Ref360206708"/>
      <w:bookmarkStart w:id="2019" w:name="_Toc352064559"/>
      <w:r w:rsidRPr="00A30BDC">
        <w:t xml:space="preserve">We propose that </w:t>
      </w:r>
      <w:r w:rsidR="00F14FC8">
        <w:t xml:space="preserve">streamlining </w:t>
      </w:r>
      <w:r w:rsidRPr="00A30BDC">
        <w:t>the administrat</w:t>
      </w:r>
      <w:r w:rsidR="00F14FC8">
        <w:t>ion</w:t>
      </w:r>
      <w:r w:rsidRPr="00A30BDC">
        <w:t xml:space="preserve"> of the </w:t>
      </w:r>
      <w:r>
        <w:t>E-rate</w:t>
      </w:r>
      <w:r w:rsidRPr="00A30BDC">
        <w:t xml:space="preserve"> program should be the third goal of the program</w:t>
      </w:r>
      <w:r w:rsidR="00942CCE">
        <w:t xml:space="preserve"> </w:t>
      </w:r>
      <w:r>
        <w:t xml:space="preserve">to address concerns about </w:t>
      </w:r>
      <w:r w:rsidRPr="00A30BDC">
        <w:t xml:space="preserve">the complexity </w:t>
      </w:r>
      <w:r>
        <w:t xml:space="preserve">and associated burdens </w:t>
      </w:r>
      <w:r w:rsidRPr="00A30BDC">
        <w:t xml:space="preserve">of the current </w:t>
      </w:r>
      <w:r>
        <w:t xml:space="preserve">E-rate </w:t>
      </w:r>
      <w:r w:rsidRPr="00A30BDC">
        <w:t>application and associated review process</w:t>
      </w:r>
      <w:r>
        <w:t>.</w:t>
      </w:r>
      <w:r w:rsidRPr="008707E2">
        <w:t xml:space="preserve">  </w:t>
      </w:r>
      <w:r w:rsidRPr="00A30BDC">
        <w:t xml:space="preserve">Applicants for </w:t>
      </w:r>
      <w:r>
        <w:t>E-rate</w:t>
      </w:r>
      <w:r w:rsidRPr="00A30BDC">
        <w:t xml:space="preserve"> funds are required to complete approximately six FCC forms over the course of a funding year</w:t>
      </w:r>
      <w:r>
        <w:t>.</w:t>
      </w:r>
      <w:r w:rsidRPr="00A30BDC">
        <w:rPr>
          <w:vertAlign w:val="superscript"/>
        </w:rPr>
        <w:footnoteReference w:id="279"/>
      </w:r>
      <w:r w:rsidRPr="008707E2">
        <w:t xml:space="preserve">  </w:t>
      </w:r>
      <w:r w:rsidRPr="00A30BDC">
        <w:t>Some applicants spend many hours not only filling out FCC forms and gathering required data, but also responding to questions from USAC and requests for additional information, including documentation.</w:t>
      </w:r>
      <w:r w:rsidRPr="00A30BDC">
        <w:rPr>
          <w:vertAlign w:val="superscript"/>
        </w:rPr>
        <w:footnoteReference w:id="280"/>
      </w:r>
      <w:r w:rsidRPr="00A30BDC">
        <w:t xml:space="preserve">  As a result, many applicants feel the need to hire consultants to handle these tasks. </w:t>
      </w:r>
      <w:r w:rsidR="00A614AB">
        <w:t xml:space="preserve"> While consultant fees cannot be paid using E-rate funds, they are a cost to program participants, and therefore may reduce the net benefits that schools and libraries realize from participation in the E-rate program.</w:t>
      </w:r>
      <w:bookmarkEnd w:id="2018"/>
    </w:p>
    <w:p w14:paraId="5053D73C" w14:textId="40C69C4C" w:rsidR="000627C7" w:rsidRPr="00DE6CAF" w:rsidRDefault="000627C7" w:rsidP="00F47042">
      <w:pPr>
        <w:pStyle w:val="ParaNum"/>
      </w:pPr>
      <w:r w:rsidRPr="00A30BDC">
        <w:t xml:space="preserve"> </w:t>
      </w:r>
      <w:bookmarkStart w:id="2020" w:name="_Ref360206718"/>
      <w:r w:rsidRPr="00A30BDC">
        <w:t xml:space="preserve">Moreover, funding review decisions can be delayed while USAC seeks to resolve issues that arise during USAC’s application review process, such as ensuring that: </w:t>
      </w:r>
      <w:r w:rsidR="00BD6FA7">
        <w:t xml:space="preserve"> </w:t>
      </w:r>
      <w:r w:rsidRPr="00A30BDC">
        <w:t xml:space="preserve">only eligible entities receive funding for eligible services; the competitive bidding process was fair and open; the applicant has the necessary resources to make use of the requested services; and there are no discrepancies between the information on the funding request and the associated </w:t>
      </w:r>
      <w:r>
        <w:t xml:space="preserve">FCC Form 471 </w:t>
      </w:r>
      <w:r w:rsidRPr="00A30BDC">
        <w:t xml:space="preserve">Item 21 attachment.  When that happens, applicants find themselves pressed to make purchase decisions with imperfect information about </w:t>
      </w:r>
      <w:r w:rsidR="00942CCE">
        <w:t xml:space="preserve">the status of </w:t>
      </w:r>
      <w:r w:rsidRPr="00A30BDC">
        <w:t xml:space="preserve">their applications </w:t>
      </w:r>
      <w:r w:rsidR="00942CCE">
        <w:t xml:space="preserve">or their prospects for receiving E-rate funding.  </w:t>
      </w:r>
      <w:r w:rsidRPr="00A30BDC">
        <w:t>Further, because USAC must still enter some applicants</w:t>
      </w:r>
      <w:r w:rsidR="00BD6FA7">
        <w:t>’</w:t>
      </w:r>
      <w:r w:rsidRPr="00A30BDC">
        <w:t xml:space="preserve"> paper filings in electronic form in order to process them, USAC’s efforts to expeditiously process applications and other forms </w:t>
      </w:r>
      <w:r>
        <w:t xml:space="preserve">can be </w:t>
      </w:r>
      <w:r w:rsidRPr="00A30BDC">
        <w:t>handicapped.</w:t>
      </w:r>
      <w:r>
        <w:t xml:space="preserve">  </w:t>
      </w:r>
      <w:r w:rsidRPr="00A30BDC">
        <w:t xml:space="preserve">At the same time, </w:t>
      </w:r>
      <w:r w:rsidRPr="00BF43BC">
        <w:t xml:space="preserve">the </w:t>
      </w:r>
      <w:r>
        <w:t>Commission</w:t>
      </w:r>
      <w:r w:rsidRPr="008707E2">
        <w:t xml:space="preserve"> </w:t>
      </w:r>
      <w:r w:rsidRPr="00BF43BC">
        <w:t xml:space="preserve">and USAC are responsible for protecting the </w:t>
      </w:r>
      <w:r>
        <w:t>E-rate f</w:t>
      </w:r>
      <w:r w:rsidRPr="004E2D50">
        <w:t xml:space="preserve">und </w:t>
      </w:r>
      <w:r w:rsidRPr="00BF43BC">
        <w:t xml:space="preserve">from waste, fraud and abuse.  </w:t>
      </w:r>
      <w:r w:rsidRPr="00A30BDC">
        <w:t>Many</w:t>
      </w:r>
      <w:r>
        <w:t xml:space="preserve"> of the </w:t>
      </w:r>
      <w:r w:rsidRPr="00A30BDC">
        <w:t>burden</w:t>
      </w:r>
      <w:r>
        <w:t>s</w:t>
      </w:r>
      <w:r w:rsidRPr="00A30BDC">
        <w:t xml:space="preserve"> imposed on applicants </w:t>
      </w:r>
      <w:r>
        <w:t>are</w:t>
      </w:r>
      <w:r w:rsidRPr="00A30BDC">
        <w:t xml:space="preserve"> rooted in preventing such problems with the program.</w:t>
      </w:r>
      <w:bookmarkEnd w:id="2020"/>
      <w:r w:rsidRPr="00A30BDC">
        <w:t xml:space="preserve">  </w:t>
      </w:r>
    </w:p>
    <w:p w14:paraId="3B74FBDA" w14:textId="61EB3799" w:rsidR="000627C7" w:rsidRPr="00A30BDC" w:rsidRDefault="000627C7" w:rsidP="00F47042">
      <w:pPr>
        <w:pStyle w:val="ParaNum"/>
      </w:pPr>
      <w:r w:rsidRPr="00A30BDC">
        <w:t xml:space="preserve">We therefore propose several options for </w:t>
      </w:r>
      <w:r w:rsidR="006B66CD">
        <w:t xml:space="preserve">streamlining </w:t>
      </w:r>
      <w:r w:rsidRPr="00A30BDC">
        <w:t xml:space="preserve">the </w:t>
      </w:r>
      <w:r w:rsidR="006B66CD">
        <w:t xml:space="preserve">administration </w:t>
      </w:r>
      <w:r w:rsidRPr="00A30BDC">
        <w:t xml:space="preserve">of the </w:t>
      </w:r>
      <w:r>
        <w:t>E-rate</w:t>
      </w:r>
      <w:r w:rsidRPr="00A30BDC">
        <w:t xml:space="preserve"> program</w:t>
      </w:r>
      <w:r>
        <w:t xml:space="preserve"> while preserving critical safeguards.  These options include:</w:t>
      </w:r>
      <w:r w:rsidR="00BD6FA7">
        <w:t xml:space="preserve"> </w:t>
      </w:r>
      <w:r w:rsidRPr="00A30BDC">
        <w:t xml:space="preserve"> moving to </w:t>
      </w:r>
      <w:r w:rsidRPr="00A30BDC">
        <w:lastRenderedPageBreak/>
        <w:t xml:space="preserve">electronic filing of all FCC forms and correspondence with USAC; increasing transparency throughout the application process; speeding review of applications and issuance of commitment decisions; simplifying the eligible services list (ESL) to focus on the service provided rather than the regulatory classification of the service; </w:t>
      </w:r>
      <w:r w:rsidR="00B16924">
        <w:t xml:space="preserve">recovery considerations when seeking reimbursement of previously disbursed E-rate funding; </w:t>
      </w:r>
      <w:r w:rsidRPr="00A30BDC">
        <w:t>more effective disbursement of unused funds</w:t>
      </w:r>
      <w:r w:rsidR="00B16924">
        <w:t>;</w:t>
      </w:r>
      <w:r w:rsidR="006D3FA7">
        <w:t xml:space="preserve"> improve invoicing and disbursement; </w:t>
      </w:r>
      <w:r w:rsidR="00B16924">
        <w:t>and streamlining the E-rate appeals review process</w:t>
      </w:r>
      <w:r w:rsidRPr="00A30BDC">
        <w:t xml:space="preserve">.  We seek comment on our proposals below and any other ways in which we can further streamline the administrative processes, including the program integrity assurance (PIA) review process and the commitment and disbursement processes, to maximize the efficiency of the </w:t>
      </w:r>
      <w:r>
        <w:t>E-rate</w:t>
      </w:r>
      <w:r w:rsidR="008024C5">
        <w:t xml:space="preserve"> program.</w:t>
      </w:r>
      <w:r w:rsidRPr="00A30BDC">
        <w:rPr>
          <w:vertAlign w:val="superscript"/>
        </w:rPr>
        <w:footnoteReference w:id="281"/>
      </w:r>
    </w:p>
    <w:p w14:paraId="11EEB8FC" w14:textId="77777777" w:rsidR="000627C7" w:rsidRPr="00A30BDC" w:rsidRDefault="000627C7" w:rsidP="00B9652C">
      <w:pPr>
        <w:pStyle w:val="Heading2"/>
      </w:pPr>
      <w:bookmarkStart w:id="2021" w:name="_Toc358210308"/>
      <w:bookmarkStart w:id="2022" w:name="_Toc358210455"/>
      <w:bookmarkStart w:id="2023" w:name="_Toc358210633"/>
      <w:bookmarkStart w:id="2024" w:name="_Toc358210734"/>
      <w:bookmarkStart w:id="2025" w:name="_Toc358213668"/>
      <w:bookmarkStart w:id="2026" w:name="_Toc358213800"/>
      <w:bookmarkStart w:id="2027" w:name="_Toc358301294"/>
      <w:bookmarkStart w:id="2028" w:name="_Toc358720040"/>
      <w:bookmarkStart w:id="2029" w:name="_Toc358971266"/>
      <w:bookmarkStart w:id="2030" w:name="_Toc358974867"/>
      <w:bookmarkStart w:id="2031" w:name="_Toc358975765"/>
      <w:bookmarkStart w:id="2032" w:name="_Toc358975927"/>
      <w:bookmarkStart w:id="2033" w:name="_Toc358976168"/>
      <w:bookmarkStart w:id="2034" w:name="_Toc358981023"/>
      <w:bookmarkStart w:id="2035" w:name="_Toc358981139"/>
      <w:bookmarkStart w:id="2036" w:name="_Toc358982403"/>
      <w:bookmarkStart w:id="2037" w:name="_Toc358982493"/>
      <w:bookmarkStart w:id="2038" w:name="_Toc359239275"/>
      <w:bookmarkStart w:id="2039" w:name="_Toc359239332"/>
      <w:bookmarkStart w:id="2040" w:name="_Toc359252291"/>
      <w:bookmarkStart w:id="2041" w:name="_Toc359326040"/>
      <w:bookmarkStart w:id="2042" w:name="_Toc359333288"/>
      <w:bookmarkStart w:id="2043" w:name="_Toc359339942"/>
      <w:bookmarkStart w:id="2044" w:name="_Toc359343206"/>
      <w:bookmarkStart w:id="2045" w:name="_Toc359347015"/>
      <w:bookmarkStart w:id="2046" w:name="_Toc359598705"/>
      <w:bookmarkStart w:id="2047" w:name="_Toc359853188"/>
      <w:bookmarkStart w:id="2048" w:name="_Toc359853424"/>
      <w:bookmarkStart w:id="2049" w:name="_Toc359853687"/>
      <w:bookmarkStart w:id="2050" w:name="_Toc359858655"/>
      <w:bookmarkStart w:id="2051" w:name="_Toc359859615"/>
      <w:bookmarkStart w:id="2052" w:name="_Toc359940081"/>
      <w:bookmarkStart w:id="2053" w:name="_Toc360025455"/>
      <w:bookmarkStart w:id="2054" w:name="_Toc360107506"/>
      <w:bookmarkStart w:id="2055" w:name="_Toc360111630"/>
      <w:bookmarkStart w:id="2056" w:name="_Toc360172815"/>
      <w:bookmarkStart w:id="2057" w:name="_Toc360186152"/>
      <w:bookmarkStart w:id="2058" w:name="_Toc360186229"/>
      <w:bookmarkStart w:id="2059" w:name="_Toc360186433"/>
      <w:bookmarkStart w:id="2060" w:name="_Toc360186505"/>
      <w:bookmarkStart w:id="2061" w:name="_Toc360187306"/>
      <w:bookmarkStart w:id="2062" w:name="_Toc360187467"/>
      <w:bookmarkStart w:id="2063" w:name="_Ref360202341"/>
      <w:bookmarkStart w:id="2064" w:name="_Toc360208916"/>
      <w:bookmarkStart w:id="2065" w:name="_Toc360212049"/>
      <w:bookmarkStart w:id="2066" w:name="_Toc361663119"/>
      <w:bookmarkStart w:id="2067" w:name="_Toc361857697"/>
      <w:bookmarkStart w:id="2068" w:name="_Toc361918789"/>
      <w:bookmarkStart w:id="2069" w:name="_Toc362272566"/>
      <w:r w:rsidRPr="00A30BDC">
        <w:t>Electronic Filing of FCC Forms and Correspondence</w:t>
      </w:r>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r w:rsidRPr="00A30BDC">
        <w:t xml:space="preserve"> </w:t>
      </w:r>
    </w:p>
    <w:p w14:paraId="0E3B4669" w14:textId="1E66DC90" w:rsidR="000627C7" w:rsidRPr="00DE6CAF" w:rsidRDefault="000627C7" w:rsidP="00F47042">
      <w:pPr>
        <w:pStyle w:val="ParaNum"/>
      </w:pPr>
      <w:r w:rsidRPr="00A30BDC">
        <w:t xml:space="preserve">To enable USAC to manage applications more quickly and efficiently, we first propose to require all </w:t>
      </w:r>
      <w:r>
        <w:t>E-rate</w:t>
      </w:r>
      <w:r w:rsidRPr="00A30BDC">
        <w:t xml:space="preserve"> applicants and service providers to file all documents, including the FCC Form 500, with USAC electronically and</w:t>
      </w:r>
      <w:r w:rsidR="00BD6FA7">
        <w:t xml:space="preserve"> to require</w:t>
      </w:r>
      <w:r w:rsidRPr="00A30BDC">
        <w:t xml:space="preserve"> USAC to make all notifications electronically.  We </w:t>
      </w:r>
      <w:r>
        <w:t xml:space="preserve">seek </w:t>
      </w:r>
      <w:r w:rsidRPr="00A30BDC">
        <w:t xml:space="preserve">comment on this proposal.  </w:t>
      </w:r>
    </w:p>
    <w:p w14:paraId="1308D9BA" w14:textId="6B14C00B" w:rsidR="000627C7" w:rsidRDefault="000627C7" w:rsidP="00F47042">
      <w:pPr>
        <w:pStyle w:val="ParaNum"/>
      </w:pPr>
      <w:r w:rsidRPr="00561C98">
        <w:t xml:space="preserve">While many applicants file a majority of the forms online, many other </w:t>
      </w:r>
      <w:r>
        <w:t>E-rate</w:t>
      </w:r>
      <w:r w:rsidRPr="00561C98">
        <w:t xml:space="preserve"> program procedures</w:t>
      </w:r>
      <w:r w:rsidRPr="00A30BDC">
        <w:t>,</w:t>
      </w:r>
      <w:r w:rsidRPr="00561C98">
        <w:t xml:space="preserve"> such as service provider identification number (SPIN) changes, invoice and service delivery deadline extension requests, as well as the FCC Form 500</w:t>
      </w:r>
      <w:r w:rsidRPr="00A30BDC">
        <w:t xml:space="preserve">, require paper submissions, some of which </w:t>
      </w:r>
      <w:r w:rsidRPr="00561C98">
        <w:t>must be filled out by hand.</w:t>
      </w:r>
      <w:r w:rsidRPr="00A30BDC">
        <w:rPr>
          <w:vertAlign w:val="superscript"/>
        </w:rPr>
        <w:footnoteReference w:id="282"/>
      </w:r>
      <w:r w:rsidRPr="00561C98">
        <w:t xml:space="preserve">  </w:t>
      </w:r>
      <w:r w:rsidRPr="00A30BDC">
        <w:t xml:space="preserve">When the </w:t>
      </w:r>
      <w:r>
        <w:t>E-rate</w:t>
      </w:r>
      <w:r w:rsidRPr="00A30BDC">
        <w:t xml:space="preserve"> program began, some schools and libraries did not have Internet access, thus many applicants did not have the resources to file electronically.</w:t>
      </w:r>
      <w:r w:rsidRPr="00A30BDC">
        <w:rPr>
          <w:vertAlign w:val="superscript"/>
        </w:rPr>
        <w:footnoteReference w:id="283"/>
      </w:r>
      <w:r w:rsidRPr="00A30BDC">
        <w:t xml:space="preserve">  Today, however, </w:t>
      </w:r>
      <w:r>
        <w:t>the vast majority of</w:t>
      </w:r>
      <w:r w:rsidRPr="00A30BDC">
        <w:t xml:space="preserve"> schools and libraries have Internet access, and </w:t>
      </w:r>
      <w:r w:rsidR="00BD6FA7">
        <w:t xml:space="preserve">– </w:t>
      </w:r>
      <w:r w:rsidRPr="00A30BDC">
        <w:t xml:space="preserve">just as we now require </w:t>
      </w:r>
      <w:r>
        <w:t>E-rate</w:t>
      </w:r>
      <w:r w:rsidRPr="00A30BDC">
        <w:t xml:space="preserve"> </w:t>
      </w:r>
      <w:r w:rsidR="003578F1">
        <w:t xml:space="preserve">service providers receiving disbursements </w:t>
      </w:r>
      <w:r w:rsidRPr="00A30BDC">
        <w:t>to use electronic payment systems</w:t>
      </w:r>
      <w:r w:rsidRPr="00A30BDC">
        <w:rPr>
          <w:vertAlign w:val="superscript"/>
        </w:rPr>
        <w:footnoteReference w:id="284"/>
      </w:r>
      <w:r w:rsidRPr="00A30BDC">
        <w:t xml:space="preserve"> </w:t>
      </w:r>
      <w:r w:rsidR="00BD6FA7">
        <w:t xml:space="preserve">– </w:t>
      </w:r>
      <w:r w:rsidRPr="00A30BDC">
        <w:t xml:space="preserve">we propose to require electronic filing and notification of the receipt of </w:t>
      </w:r>
      <w:r>
        <w:t>E-rate</w:t>
      </w:r>
      <w:r w:rsidRPr="00A30BDC">
        <w:t xml:space="preserve"> forms.  </w:t>
      </w:r>
      <w:r w:rsidRPr="00561C98">
        <w:t xml:space="preserve">As the Commission previously concluded, the electronic submission of the FCC forms will improve the efficiency of submitting and processing applications, thereby resulting in faster commitments and disbursements of </w:t>
      </w:r>
      <w:r>
        <w:t>E-rate</w:t>
      </w:r>
      <w:r w:rsidRPr="00561C98">
        <w:t xml:space="preserve"> funding as well as the return of any </w:t>
      </w:r>
      <w:r w:rsidRPr="00561C98">
        <w:lastRenderedPageBreak/>
        <w:t>unused funds to USAC.</w:t>
      </w:r>
      <w:r w:rsidRPr="00A30BDC">
        <w:rPr>
          <w:vertAlign w:val="superscript"/>
        </w:rPr>
        <w:footnoteReference w:id="285"/>
      </w:r>
      <w:r w:rsidRPr="00561C98">
        <w:t xml:space="preserve">  It will also </w:t>
      </w:r>
      <w:r>
        <w:t>reduce USAC’s</w:t>
      </w:r>
      <w:r w:rsidRPr="00561C98">
        <w:t xml:space="preserve"> administrative costs </w:t>
      </w:r>
      <w:r>
        <w:t xml:space="preserve">because </w:t>
      </w:r>
      <w:r w:rsidRPr="00561C98">
        <w:t xml:space="preserve">USAC will not have to </w:t>
      </w:r>
      <w:r w:rsidRPr="00A30BDC">
        <w:t xml:space="preserve">manually </w:t>
      </w:r>
      <w:r w:rsidRPr="00561C98">
        <w:t>enter data into its electronic system from paper submissions.</w:t>
      </w:r>
      <w:r w:rsidRPr="00A30BDC">
        <w:rPr>
          <w:vertAlign w:val="superscript"/>
        </w:rPr>
        <w:footnoteReference w:id="286"/>
      </w:r>
      <w:r w:rsidRPr="00561C98">
        <w:t xml:space="preserve">  Additionally, electronic completion, submission, and notification will likely result in fewer errors on the forms and other communication with USAC and to applicants.</w:t>
      </w:r>
      <w:r w:rsidRPr="00A30BDC">
        <w:rPr>
          <w:vertAlign w:val="superscript"/>
        </w:rPr>
        <w:footnoteReference w:id="287"/>
      </w:r>
      <w:r>
        <w:t xml:space="preserve">  </w:t>
      </w:r>
      <w:r w:rsidRPr="00561C98">
        <w:t xml:space="preserve">In proposing to make all forms and correspondence filed with and received by USAC electronic, we recognize that there may be </w:t>
      </w:r>
      <w:r w:rsidRPr="00A30BDC">
        <w:t xml:space="preserve">rare </w:t>
      </w:r>
      <w:r w:rsidRPr="00561C98">
        <w:t xml:space="preserve">instances in which some applicants may still need to </w:t>
      </w:r>
      <w:r w:rsidRPr="00A30BDC">
        <w:t>file</w:t>
      </w:r>
      <w:r w:rsidRPr="00561C98">
        <w:t xml:space="preserve"> and receive paper forms due to unreliable Internet access or emergency situations</w:t>
      </w:r>
      <w:r w:rsidRPr="00A30BDC">
        <w:t xml:space="preserve">.  We </w:t>
      </w:r>
      <w:r w:rsidRPr="00561C98">
        <w:t xml:space="preserve">therefore seek comment on whether we should </w:t>
      </w:r>
      <w:r w:rsidRPr="00A30BDC">
        <w:t>impose a minimal fee for applicants who seek to file their forms and correspondence in paper form</w:t>
      </w:r>
      <w:r>
        <w:t>.</w:t>
      </w:r>
      <w:r w:rsidRPr="00A30BDC">
        <w:t xml:space="preserve"> </w:t>
      </w:r>
    </w:p>
    <w:p w14:paraId="7A0EF9B5" w14:textId="18D3D1A6" w:rsidR="00730264" w:rsidRDefault="001109B4" w:rsidP="0048025B">
      <w:pPr>
        <w:pStyle w:val="ParaNum"/>
      </w:pPr>
      <w:r w:rsidRPr="001109B4">
        <w:t>SECA suggests that all of an applicant’s forms and correspondence with USAC should be available from a centralized portal so the applicant can retrieve current and prior years’ information to use as a starting point for new form submissions.</w:t>
      </w:r>
      <w:r w:rsidRPr="001109B4">
        <w:rPr>
          <w:vertAlign w:val="superscript"/>
        </w:rPr>
        <w:footnoteReference w:id="288"/>
      </w:r>
      <w:r w:rsidRPr="001109B4">
        <w:t xml:space="preserve">  SECA states that online functionality will conserve on data entry and problem resolution resources that USAC currently must utilize as well as customer service bureau inquiries.</w:t>
      </w:r>
      <w:r w:rsidRPr="001109B4">
        <w:rPr>
          <w:vertAlign w:val="superscript"/>
        </w:rPr>
        <w:footnoteReference w:id="289"/>
      </w:r>
      <w:r w:rsidRPr="001109B4">
        <w:t xml:space="preserve">  Facilitating access to previous applications will also make it easier for applicants to file forms that are similar to those of previous years and eliminate the duplicative requests for information during PIA review since all the requested information would be available online and available for review.</w:t>
      </w:r>
      <w:r w:rsidRPr="001109B4">
        <w:rPr>
          <w:vertAlign w:val="superscript"/>
        </w:rPr>
        <w:footnoteReference w:id="290"/>
      </w:r>
      <w:r w:rsidRPr="001109B4">
        <w:t xml:space="preserve">  We seek comment on SECA’s proposal and any alternative ways to simplify the submission and receipt of FCC forms and other correspondence to USAC.  Another way to increase E-rate program efficiencies is automate more of the processes for the program.  In addition to requiring online filing, we seek comment on whether there are administrative processes in the program that could be automated and would also result in cost savings and efficiencies.  What could be gained by increasing the amount of automated processes at USAC and how could this be best achieved?  For example, would increased automation in the application process result in quicker commitment decisions?  What aspects of this process lend themselves to automation?  What are the ways that increased </w:t>
      </w:r>
      <w:r w:rsidRPr="001109B4">
        <w:lastRenderedPageBreak/>
        <w:t xml:space="preserve">automation can lead to efficiencies and cost savings?  What are the ways automation could reduce or eliminate improper payments? </w:t>
      </w:r>
      <w:r w:rsidR="0055394E">
        <w:t xml:space="preserve"> </w:t>
      </w:r>
      <w:r w:rsidRPr="001109B4">
        <w:t>Commenters should be as specific as possible in their proposals.</w:t>
      </w:r>
      <w:r w:rsidR="00730264">
        <w:t xml:space="preserve"> </w:t>
      </w:r>
    </w:p>
    <w:p w14:paraId="61BC6F66" w14:textId="38D82B47" w:rsidR="000627C7" w:rsidRDefault="00E4308D" w:rsidP="00F47042">
      <w:pPr>
        <w:pStyle w:val="ParaNum"/>
      </w:pPr>
      <w:r>
        <w:t>R</w:t>
      </w:r>
      <w:r w:rsidR="001109B4" w:rsidRPr="007B434C">
        <w:t xml:space="preserve">equiring all forms and correspondence to be available electronically may require USAC to upgrade its internal technology systems in order to accommodate additional electronic submissions and increased automation which could result in initial increased expenditures for the E-rate program.  We seek comment on whether the administrative and economic benefits that would result from these changes outweigh any initial upfront costs that would be required for the technological upgrades proposed herein.  </w:t>
      </w:r>
      <w:r w:rsidR="004074F4">
        <w:t>We note that</w:t>
      </w:r>
      <w:r w:rsidR="001109B4" w:rsidRPr="007B434C">
        <w:t xml:space="preserve"> USAC has already sought public comment on measures to update its internal informal technology systems to improve operational efficiencies and enhance the customer experience.</w:t>
      </w:r>
      <w:r w:rsidR="001109B4" w:rsidRPr="007B434C">
        <w:rPr>
          <w:vertAlign w:val="superscript"/>
        </w:rPr>
        <w:footnoteReference w:id="291"/>
      </w:r>
      <w:r w:rsidR="001109B4" w:rsidRPr="007B434C">
        <w:t xml:space="preserve">  We therefore direct USAC to incorporate into its consideration this proposal as it adopts measures to improve operational efficiencies.</w:t>
      </w:r>
    </w:p>
    <w:p w14:paraId="74CB482D" w14:textId="2B1855F6" w:rsidR="00A40491" w:rsidRDefault="001109B4" w:rsidP="00434A8B">
      <w:pPr>
        <w:pStyle w:val="ParaNum"/>
      </w:pPr>
      <w:r w:rsidRPr="007B434C">
        <w:t xml:space="preserve">Other than time and resource efficiencies gained for both applicants and USAC, we estimate that several of these proposals will result in actual cost savings for the E-rate program.  </w:t>
      </w:r>
      <w:r w:rsidR="001033E7">
        <w:t>While it is difficult to quantify the aggregate total savings to the E-rate program as result of these proposals, according to USAC’s annual report for 2012, USAC spent approximately $70 million on E-rate prog</w:t>
      </w:r>
      <w:r w:rsidR="0014730F">
        <w:t>ram operating expenses in 2012.</w:t>
      </w:r>
      <w:r w:rsidRPr="007B434C">
        <w:rPr>
          <w:rStyle w:val="FootnoteReference"/>
        </w:rPr>
        <w:footnoteReference w:id="292"/>
      </w:r>
      <w:r w:rsidRPr="007B434C">
        <w:t xml:space="preserve">  Any reduction in these costs as a result of changes such as electronic filing and increased automation of </w:t>
      </w:r>
      <w:r>
        <w:t xml:space="preserve">program processes </w:t>
      </w:r>
      <w:r w:rsidRPr="007B434C">
        <w:t>would result in increased funding availability for applicants, especially when considered in combination with the other changes proposed herein such as elimination of funding for certain services.</w:t>
      </w:r>
    </w:p>
    <w:p w14:paraId="4E707751" w14:textId="090001AE" w:rsidR="000627C7" w:rsidRPr="00A30BDC" w:rsidRDefault="00E4308D" w:rsidP="00B9652C">
      <w:pPr>
        <w:pStyle w:val="Heading2"/>
      </w:pPr>
      <w:bookmarkStart w:id="2073" w:name="_Toc359853189"/>
      <w:bookmarkStart w:id="2074" w:name="_Toc359853425"/>
      <w:bookmarkStart w:id="2075" w:name="_Toc359853688"/>
      <w:bookmarkStart w:id="2076" w:name="_Toc359858656"/>
      <w:bookmarkStart w:id="2077" w:name="_Toc358210309"/>
      <w:bookmarkStart w:id="2078" w:name="_Toc358210456"/>
      <w:bookmarkStart w:id="2079" w:name="_Toc358210634"/>
      <w:bookmarkStart w:id="2080" w:name="_Toc358210735"/>
      <w:bookmarkStart w:id="2081" w:name="_Toc358213669"/>
      <w:bookmarkStart w:id="2082" w:name="_Toc358213801"/>
      <w:bookmarkStart w:id="2083" w:name="_Toc358301295"/>
      <w:bookmarkStart w:id="2084" w:name="_Toc358720041"/>
      <w:bookmarkStart w:id="2085" w:name="_Toc358971267"/>
      <w:bookmarkStart w:id="2086" w:name="_Toc358974868"/>
      <w:bookmarkStart w:id="2087" w:name="_Toc358975766"/>
      <w:bookmarkStart w:id="2088" w:name="_Toc358975928"/>
      <w:bookmarkStart w:id="2089" w:name="_Toc358976169"/>
      <w:bookmarkStart w:id="2090" w:name="_Toc358981024"/>
      <w:bookmarkStart w:id="2091" w:name="_Toc358981140"/>
      <w:bookmarkStart w:id="2092" w:name="_Toc358982404"/>
      <w:bookmarkStart w:id="2093" w:name="_Toc358982494"/>
      <w:bookmarkStart w:id="2094" w:name="_Toc359239276"/>
      <w:bookmarkStart w:id="2095" w:name="_Toc359239333"/>
      <w:bookmarkStart w:id="2096" w:name="_Toc359252292"/>
      <w:bookmarkStart w:id="2097" w:name="_Toc359326041"/>
      <w:bookmarkStart w:id="2098" w:name="_Toc359333289"/>
      <w:bookmarkStart w:id="2099" w:name="_Toc359339943"/>
      <w:bookmarkStart w:id="2100" w:name="_Toc359343207"/>
      <w:bookmarkStart w:id="2101" w:name="_Toc359347016"/>
      <w:bookmarkStart w:id="2102" w:name="_Toc359598706"/>
      <w:bookmarkStart w:id="2103" w:name="_Toc359853190"/>
      <w:bookmarkStart w:id="2104" w:name="_Toc359853426"/>
      <w:bookmarkStart w:id="2105" w:name="_Toc359853689"/>
      <w:bookmarkStart w:id="2106" w:name="_Toc359858657"/>
      <w:bookmarkStart w:id="2107" w:name="_Toc359859616"/>
      <w:bookmarkStart w:id="2108" w:name="_Toc359940082"/>
      <w:bookmarkStart w:id="2109" w:name="_Toc360025456"/>
      <w:bookmarkStart w:id="2110" w:name="_Toc360107507"/>
      <w:bookmarkStart w:id="2111" w:name="_Toc360111631"/>
      <w:bookmarkStart w:id="2112" w:name="_Toc360172816"/>
      <w:bookmarkStart w:id="2113" w:name="_Toc360186153"/>
      <w:bookmarkStart w:id="2114" w:name="_Toc360186230"/>
      <w:bookmarkStart w:id="2115" w:name="_Toc360186434"/>
      <w:bookmarkStart w:id="2116" w:name="_Toc360186506"/>
      <w:bookmarkStart w:id="2117" w:name="_Toc360187307"/>
      <w:bookmarkStart w:id="2118" w:name="_Toc360187468"/>
      <w:bookmarkStart w:id="2119" w:name="_Toc360208917"/>
      <w:bookmarkStart w:id="2120" w:name="_Toc360212050"/>
      <w:bookmarkStart w:id="2121" w:name="_Toc361663120"/>
      <w:bookmarkStart w:id="2122" w:name="_Toc361857698"/>
      <w:bookmarkStart w:id="2123" w:name="_Toc361918790"/>
      <w:bookmarkStart w:id="2124" w:name="_Toc362272567"/>
      <w:bookmarkEnd w:id="2073"/>
      <w:bookmarkEnd w:id="2074"/>
      <w:bookmarkEnd w:id="2075"/>
      <w:bookmarkEnd w:id="2076"/>
      <w:r w:rsidRPr="00A30BDC">
        <w:t>Increas</w:t>
      </w:r>
      <w:r>
        <w:t>ing</w:t>
      </w:r>
      <w:r w:rsidRPr="00A30BDC">
        <w:t xml:space="preserve"> </w:t>
      </w:r>
      <w:r>
        <w:t xml:space="preserve">the </w:t>
      </w:r>
      <w:r w:rsidR="000627C7" w:rsidRPr="00A30BDC">
        <w:t xml:space="preserve">Transparency </w:t>
      </w:r>
      <w:r>
        <w:t>of</w:t>
      </w:r>
      <w:r w:rsidRPr="00A30BDC">
        <w:t xml:space="preserve"> </w:t>
      </w:r>
      <w:r w:rsidR="000627C7" w:rsidRPr="00A30BDC">
        <w:t>USAC’s Processes</w:t>
      </w:r>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p>
    <w:p w14:paraId="4B9E4E12" w14:textId="77777777" w:rsidR="000627C7" w:rsidRDefault="000627C7" w:rsidP="00F47042">
      <w:pPr>
        <w:pStyle w:val="ParaNum"/>
      </w:pPr>
      <w:r w:rsidRPr="00452571">
        <w:t xml:space="preserve">We seek comment on ways to increase transparency throughout the application, commitment and disbursement processes, so that applicants have a better understanding of the status of their funding requests.  SECA suggests, among other things, that the longer a decision is pending, the more status update information should be made available on USAC’s website to </w:t>
      </w:r>
      <w:r w:rsidRPr="00452571">
        <w:lastRenderedPageBreak/>
        <w:t>the affected parties.</w:t>
      </w:r>
      <w:r w:rsidRPr="00D716EA">
        <w:rPr>
          <w:vertAlign w:val="superscript"/>
        </w:rPr>
        <w:footnoteReference w:id="293"/>
      </w:r>
      <w:r w:rsidRPr="00452571">
        <w:t xml:space="preserve">  SECA therefore proposes that USAC should provide additional levels of detail in its “Application Status” tool on its website to provide applicants with a better understanding of where their application is in the review process.</w:t>
      </w:r>
      <w:r w:rsidRPr="00D716EA">
        <w:rPr>
          <w:vertAlign w:val="superscript"/>
        </w:rPr>
        <w:footnoteReference w:id="294"/>
      </w:r>
      <w:r w:rsidRPr="00452571">
        <w:t xml:space="preserve">  For</w:t>
      </w:r>
      <w:r w:rsidRPr="00A30BDC">
        <w:t xml:space="preserve"> example, SECA suggests additional designations, such as “Normal Review,” “Selective Review,” “Policy Review,” “Investigative Review,” and “Pending Program Decision on Available Internal Connection Funding.”</w:t>
      </w:r>
      <w:r w:rsidRPr="00A30BDC">
        <w:rPr>
          <w:vertAlign w:val="superscript"/>
        </w:rPr>
        <w:footnoteReference w:id="295"/>
      </w:r>
      <w:r w:rsidRPr="00A30BDC">
        <w:t xml:space="preserve">  Additionally, in cases where USAC is waiting for an applicant submission, it could indicate as part of the application status that it is “awaiting applicant’s response to USAC’s request on [date].”  We seek comment on SECA’s proposal and other ways in which to increase transparency of the review process for applicants.      </w:t>
      </w:r>
    </w:p>
    <w:p w14:paraId="1325D4BF" w14:textId="424CB6AD" w:rsidR="000627C7" w:rsidRDefault="000627C7" w:rsidP="00B9652C">
      <w:pPr>
        <w:pStyle w:val="Heading2"/>
      </w:pPr>
      <w:bookmarkStart w:id="2125" w:name="_Toc358210310"/>
      <w:bookmarkStart w:id="2126" w:name="_Toc358210457"/>
      <w:bookmarkStart w:id="2127" w:name="_Toc358210635"/>
      <w:bookmarkStart w:id="2128" w:name="_Toc358210736"/>
      <w:bookmarkStart w:id="2129" w:name="_Toc358213670"/>
      <w:bookmarkStart w:id="2130" w:name="_Toc358213802"/>
      <w:bookmarkStart w:id="2131" w:name="_Toc358301296"/>
      <w:bookmarkStart w:id="2132" w:name="_Toc358720042"/>
      <w:bookmarkStart w:id="2133" w:name="_Toc358971268"/>
      <w:bookmarkStart w:id="2134" w:name="_Toc358974869"/>
      <w:bookmarkStart w:id="2135" w:name="_Toc358975767"/>
      <w:bookmarkStart w:id="2136" w:name="_Toc358975929"/>
      <w:bookmarkStart w:id="2137" w:name="_Toc358976170"/>
      <w:bookmarkStart w:id="2138" w:name="_Toc358981025"/>
      <w:bookmarkStart w:id="2139" w:name="_Toc358981141"/>
      <w:bookmarkStart w:id="2140" w:name="_Toc358982405"/>
      <w:bookmarkStart w:id="2141" w:name="_Toc358982495"/>
      <w:bookmarkStart w:id="2142" w:name="_Toc359239277"/>
      <w:bookmarkStart w:id="2143" w:name="_Toc359239334"/>
      <w:bookmarkStart w:id="2144" w:name="_Toc359252293"/>
      <w:bookmarkStart w:id="2145" w:name="_Toc359326042"/>
      <w:bookmarkStart w:id="2146" w:name="_Toc359333290"/>
      <w:bookmarkStart w:id="2147" w:name="_Toc359339944"/>
      <w:bookmarkStart w:id="2148" w:name="_Toc359343208"/>
      <w:bookmarkStart w:id="2149" w:name="_Toc359347017"/>
      <w:bookmarkStart w:id="2150" w:name="_Toc359598707"/>
      <w:bookmarkStart w:id="2151" w:name="_Toc359853191"/>
      <w:bookmarkStart w:id="2152" w:name="_Toc359853427"/>
      <w:bookmarkStart w:id="2153" w:name="_Toc359853690"/>
      <w:bookmarkStart w:id="2154" w:name="_Toc359858658"/>
      <w:bookmarkStart w:id="2155" w:name="_Toc359859617"/>
      <w:bookmarkStart w:id="2156" w:name="_Toc359940083"/>
      <w:bookmarkStart w:id="2157" w:name="_Toc360025457"/>
      <w:bookmarkStart w:id="2158" w:name="_Toc360107508"/>
      <w:bookmarkStart w:id="2159" w:name="_Toc360111632"/>
      <w:bookmarkStart w:id="2160" w:name="_Toc360172817"/>
      <w:bookmarkStart w:id="2161" w:name="_Toc360186154"/>
      <w:bookmarkStart w:id="2162" w:name="_Toc360186231"/>
      <w:bookmarkStart w:id="2163" w:name="_Toc360186435"/>
      <w:bookmarkStart w:id="2164" w:name="_Toc360186507"/>
      <w:bookmarkStart w:id="2165" w:name="_Toc360187308"/>
      <w:bookmarkStart w:id="2166" w:name="_Toc360187469"/>
      <w:bookmarkStart w:id="2167" w:name="_Toc360208918"/>
      <w:bookmarkStart w:id="2168" w:name="_Toc360212051"/>
      <w:bookmarkStart w:id="2169" w:name="_Toc361663121"/>
      <w:bookmarkStart w:id="2170" w:name="_Toc361857699"/>
      <w:bookmarkStart w:id="2171" w:name="_Toc361918791"/>
      <w:bookmarkStart w:id="2172" w:name="_Toc362272568"/>
      <w:r w:rsidRPr="00A30BDC">
        <w:t>Speeding Review of Applications</w:t>
      </w:r>
      <w:r w:rsidR="00942CCE">
        <w:t>,</w:t>
      </w:r>
      <w:r w:rsidRPr="00A30BDC">
        <w:t xml:space="preserve"> Commitment Decisions</w:t>
      </w:r>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r w:rsidR="00942CCE">
        <w:t>, and Funding Disbursement</w:t>
      </w:r>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p>
    <w:p w14:paraId="2D5F4C73" w14:textId="3ECDFE74" w:rsidR="000F7310" w:rsidRPr="000F7310" w:rsidRDefault="000627C7" w:rsidP="00434A8B">
      <w:pPr>
        <w:pStyle w:val="ParaNum"/>
      </w:pPr>
      <w:r w:rsidRPr="00A911CA">
        <w:t xml:space="preserve">We </w:t>
      </w:r>
      <w:r w:rsidRPr="00A30BDC">
        <w:t xml:space="preserve">next </w:t>
      </w:r>
      <w:r w:rsidRPr="00A911CA">
        <w:t xml:space="preserve">seek comment on ways to </w:t>
      </w:r>
      <w:r>
        <w:t>reduce the time it takes</w:t>
      </w:r>
      <w:r w:rsidRPr="00A911CA">
        <w:t xml:space="preserve"> USAC</w:t>
      </w:r>
      <w:r>
        <w:t xml:space="preserve"> to</w:t>
      </w:r>
      <w:r w:rsidRPr="00A911CA">
        <w:t xml:space="preserve"> review applications for </w:t>
      </w:r>
      <w:r>
        <w:t>E-rate</w:t>
      </w:r>
      <w:r w:rsidRPr="00A911CA">
        <w:t xml:space="preserve"> support in order to more quickly release funding commitment decisions.  Currently, applications can undergo a number of levels of review prior to release of funding commitment decisions.</w:t>
      </w:r>
      <w:bookmarkStart w:id="2173" w:name="_Ref360206593"/>
      <w:r w:rsidRPr="00A30BDC">
        <w:rPr>
          <w:vertAlign w:val="superscript"/>
        </w:rPr>
        <w:footnoteReference w:id="296"/>
      </w:r>
      <w:bookmarkEnd w:id="2173"/>
      <w:r w:rsidRPr="00A911CA">
        <w:t xml:space="preserve">  </w:t>
      </w:r>
      <w:r w:rsidR="008D7B9F">
        <w:t>We note that, in a recent report, GAO recommended that the Commission undertake a risk assessment of the E-rate program.</w:t>
      </w:r>
      <w:r w:rsidR="008D7B9F">
        <w:rPr>
          <w:rStyle w:val="FootnoteReference"/>
        </w:rPr>
        <w:footnoteReference w:id="297"/>
      </w:r>
      <w:r w:rsidR="008D7B9F">
        <w:t xml:space="preserve">  GAO noted that a risk assessment involving a critical examination of the program could help determine whether modifications to USAC’s business practices and internal control structure are needed to appropriately address the risks identified and better align program resources to risks.</w:t>
      </w:r>
      <w:r w:rsidR="008D7B9F">
        <w:rPr>
          <w:rStyle w:val="FootnoteReference"/>
        </w:rPr>
        <w:footnoteReference w:id="298"/>
      </w:r>
      <w:r w:rsidR="008D7B9F">
        <w:t xml:space="preserve">  In addition, a</w:t>
      </w:r>
      <w:r w:rsidR="008D7B9F" w:rsidRPr="00A911CA">
        <w:t xml:space="preserve">pplicants have found that </w:t>
      </w:r>
      <w:r w:rsidR="008D7B9F">
        <w:t xml:space="preserve">USAC’s </w:t>
      </w:r>
      <w:r w:rsidRPr="00A911CA">
        <w:t xml:space="preserve">review process can become time-consuming and can </w:t>
      </w:r>
      <w:r w:rsidRPr="00A911CA">
        <w:lastRenderedPageBreak/>
        <w:t xml:space="preserve">significantly delay funding commitment decisions, particularly for state networks and consortia that may file numerous funding requests per funding year.  </w:t>
      </w:r>
      <w:r w:rsidR="000F7310" w:rsidRPr="000F7310">
        <w:t xml:space="preserve">At the same time, the Commission has directed USAC to ensure that funding is disbursed to eligible recipients for eligible services.  For all the suggestions below, given that we must </w:t>
      </w:r>
      <w:r w:rsidR="00942CCE">
        <w:t xml:space="preserve">balance </w:t>
      </w:r>
      <w:r w:rsidR="000F7310" w:rsidRPr="000F7310">
        <w:t xml:space="preserve">administrative efficiency </w:t>
      </w:r>
      <w:r w:rsidR="00942CCE">
        <w:t xml:space="preserve">with </w:t>
      </w:r>
      <w:r w:rsidR="00195446">
        <w:t xml:space="preserve">protecting against </w:t>
      </w:r>
      <w:r w:rsidR="000F7310" w:rsidRPr="000F7310">
        <w:t>waste, fraud</w:t>
      </w:r>
      <w:r w:rsidR="0072222E">
        <w:t>,</w:t>
      </w:r>
      <w:r w:rsidR="000F7310" w:rsidRPr="000F7310">
        <w:t xml:space="preserve"> and abuse, we also seek comment on how we should ensure that streamlining the application and disbursement process does not then result in an increase in improper payments.  </w:t>
      </w:r>
    </w:p>
    <w:p w14:paraId="3C049FEF" w14:textId="5D174AD9" w:rsidR="000F7310" w:rsidRPr="000F7310" w:rsidRDefault="00B90576" w:rsidP="00F47042">
      <w:pPr>
        <w:pStyle w:val="ParaNum"/>
      </w:pPr>
      <w:r>
        <w:t>W</w:t>
      </w:r>
      <w:r w:rsidR="000F7310" w:rsidRPr="000F7310">
        <w:t>e seek comment on whether we should establish deadlines for USAC to issue funding decisions or complete its other processing tasks.  We describe above the reporting requirements in which USAC must detail performance related to commitments, disbursements, and appeals.</w:t>
      </w:r>
      <w:r w:rsidR="000F7310" w:rsidRPr="000F7310">
        <w:rPr>
          <w:vertAlign w:val="superscript"/>
        </w:rPr>
        <w:footnoteReference w:id="299"/>
      </w:r>
      <w:r w:rsidR="000F7310" w:rsidRPr="000F7310">
        <w:t xml:space="preserve">  If commenters support deadlines, what should those deadlines be?  If so, how should we balance speeding the review with protecting against improper payments and waste, fraud and abuse?  Commenters should specifically address how the deadlines might improve or harm the application and invoicing processes.  What should happen if USAC cannot meet the established deadlines?     </w:t>
      </w:r>
    </w:p>
    <w:p w14:paraId="18786A98" w14:textId="5704796F" w:rsidR="000627C7" w:rsidRDefault="000F7310" w:rsidP="00F47042">
      <w:pPr>
        <w:pStyle w:val="ParaNum"/>
      </w:pPr>
      <w:r>
        <w:t xml:space="preserve">In addition, we </w:t>
      </w:r>
      <w:r w:rsidR="000627C7" w:rsidRPr="00A911CA">
        <w:t xml:space="preserve">seek comment on ways to </w:t>
      </w:r>
      <w:r w:rsidR="00B90576">
        <w:t>expedite</w:t>
      </w:r>
      <w:r w:rsidR="000627C7" w:rsidRPr="00A911CA">
        <w:t xml:space="preserve"> the application review process.</w:t>
      </w:r>
      <w:r w:rsidR="000627C7">
        <w:t xml:space="preserve">  </w:t>
      </w:r>
      <w:r w:rsidR="000627C7" w:rsidRPr="00A911CA">
        <w:t xml:space="preserve">Are there ways in which USAC can streamline the </w:t>
      </w:r>
      <w:r w:rsidR="000627C7" w:rsidRPr="00A911CA">
        <w:rPr>
          <w:bCs/>
        </w:rPr>
        <w:t xml:space="preserve">PIA review process so that applicants are not asked duplicative questions or asked for the same documentation for different applications or funding requests where previous responses or documentation are applicable?  Commenters should provide specific examples of the problems they encounter during the application review process, including identifying specific duplicative requests made in the routine review process.  </w:t>
      </w:r>
    </w:p>
    <w:p w14:paraId="5E9E09BB" w14:textId="79DE483C" w:rsidR="000627C7" w:rsidRPr="00927BED" w:rsidRDefault="000627C7" w:rsidP="00F47042">
      <w:pPr>
        <w:pStyle w:val="ParaNum"/>
        <w:rPr>
          <w:szCs w:val="22"/>
        </w:rPr>
      </w:pPr>
      <w:r>
        <w:rPr>
          <w:bCs/>
        </w:rPr>
        <w:t>Additionally, a</w:t>
      </w:r>
      <w:r w:rsidRPr="000A208C">
        <w:rPr>
          <w:bCs/>
        </w:rPr>
        <w:t xml:space="preserve">t times, </w:t>
      </w:r>
      <w:r w:rsidRPr="000A208C">
        <w:t xml:space="preserve">an entire application or groups of applications involving funding requests for </w:t>
      </w:r>
      <w:r>
        <w:t xml:space="preserve">different service providers may be </w:t>
      </w:r>
      <w:r w:rsidRPr="000A208C">
        <w:t>held up pending resolution</w:t>
      </w:r>
      <w:r w:rsidR="0085497F">
        <w:t xml:space="preserve"> of one FRN</w:t>
      </w:r>
      <w:r w:rsidRPr="000A208C">
        <w:t xml:space="preserve"> for one provider</w:t>
      </w:r>
      <w:r>
        <w:t xml:space="preserve">.  Are there changes that </w:t>
      </w:r>
      <w:r w:rsidRPr="000A208C">
        <w:t>should be put in place so that other unrelated funding requests are not held up pending the resolution of a</w:t>
      </w:r>
      <w:r>
        <w:t xml:space="preserve">n issue involving another FRN?  </w:t>
      </w:r>
      <w:r w:rsidRPr="000A208C">
        <w:t>SECA proposes that, absent an active criminal investigation in which the party is the subject, within 90 days of the lack of activity on an FCC Form 471 application or invoice, USAC should notify all affected parties of concerns that are holding up a decision on the application and submit detailed requests for any additional documentation or information as part of the notification.</w:t>
      </w:r>
      <w:r w:rsidRPr="00A30BDC">
        <w:rPr>
          <w:vertAlign w:val="superscript"/>
        </w:rPr>
        <w:footnoteReference w:id="300"/>
      </w:r>
      <w:r w:rsidRPr="000A208C">
        <w:t xml:space="preserve"> </w:t>
      </w:r>
      <w:r w:rsidR="009C49D0">
        <w:t xml:space="preserve"> </w:t>
      </w:r>
      <w:r w:rsidRPr="000A208C">
        <w:t xml:space="preserve">Upon receipt of the requested information, SECA proposes that </w:t>
      </w:r>
      <w:r w:rsidRPr="000A208C">
        <w:lastRenderedPageBreak/>
        <w:t>USAC should issue a decision within 90 days.</w:t>
      </w:r>
      <w:r w:rsidRPr="00A30BDC">
        <w:rPr>
          <w:vertAlign w:val="superscript"/>
        </w:rPr>
        <w:footnoteReference w:id="301"/>
      </w:r>
      <w:r w:rsidRPr="000A208C">
        <w:t xml:space="preserve">  We seek comment on this proposal and any other proposals setting timeframes for resolution of applications and release of funding commitments.  </w:t>
      </w:r>
      <w:r w:rsidRPr="00A30BDC">
        <w:t xml:space="preserve">If we were to adopt a deadline by which USAC must act, under what circumstances should we permit USAC to exceed the deadline in order to give full consideration to the application? </w:t>
      </w:r>
    </w:p>
    <w:p w14:paraId="6BDC2A80" w14:textId="3D95D815" w:rsidR="00A333F8" w:rsidRDefault="000627C7" w:rsidP="00F47042">
      <w:pPr>
        <w:pStyle w:val="ParaNum"/>
      </w:pPr>
      <w:r w:rsidRPr="00927BED">
        <w:t xml:space="preserve">Further, for USAC to more quickly release funding commitment decisions, should we limit the number of </w:t>
      </w:r>
      <w:r w:rsidR="009C49D0">
        <w:t>opportunities applicants are given to respond to USAC’s requests for documents and clarification</w:t>
      </w:r>
      <w:r w:rsidRPr="00927BED">
        <w:t xml:space="preserve">?  </w:t>
      </w:r>
      <w:r>
        <w:t>As part of its review, USAC routinely gives applicants additional time to provide missing or incomplete information to USAC during PIA review.</w:t>
      </w:r>
      <w:r>
        <w:rPr>
          <w:rStyle w:val="FootnoteReference"/>
          <w:bCs/>
          <w:szCs w:val="22"/>
        </w:rPr>
        <w:footnoteReference w:id="302"/>
      </w:r>
      <w:r>
        <w:t xml:space="preserve">  When applicants’ timely request an extension of time to submit documentation, USAC grants such extensions and gives applicants additional time to respond to their requests for information.</w:t>
      </w:r>
      <w:r>
        <w:rPr>
          <w:rStyle w:val="FootnoteReference"/>
          <w:bCs/>
          <w:szCs w:val="22"/>
        </w:rPr>
        <w:footnoteReference w:id="303"/>
      </w:r>
      <w:r>
        <w:t xml:space="preserve">  </w:t>
      </w:r>
      <w:r w:rsidR="0072222E">
        <w:t>The</w:t>
      </w:r>
      <w:r>
        <w:t xml:space="preserve"> Commission has granted waivers of the E-rate rules providing applicants with additional time to submit documentation to USAC.</w:t>
      </w:r>
      <w:bookmarkStart w:id="2174" w:name="SR;681"/>
      <w:bookmarkStart w:id="2175" w:name="SR;682"/>
      <w:bookmarkStart w:id="2176" w:name="SR;723"/>
      <w:bookmarkStart w:id="2177" w:name="SR;724"/>
      <w:bookmarkStart w:id="2178" w:name="SR;754"/>
      <w:bookmarkStart w:id="2179" w:name="SR;755"/>
      <w:bookmarkStart w:id="2180" w:name="SR;784"/>
      <w:bookmarkStart w:id="2181" w:name="SR;785"/>
      <w:bookmarkStart w:id="2182" w:name="SR;794"/>
      <w:bookmarkStart w:id="2183" w:name="SR;796"/>
      <w:bookmarkStart w:id="2184" w:name="SearchTerm"/>
      <w:bookmarkEnd w:id="2174"/>
      <w:bookmarkEnd w:id="2175"/>
      <w:bookmarkEnd w:id="2176"/>
      <w:bookmarkEnd w:id="2177"/>
      <w:bookmarkEnd w:id="2178"/>
      <w:bookmarkEnd w:id="2179"/>
      <w:bookmarkEnd w:id="2180"/>
      <w:bookmarkEnd w:id="2181"/>
      <w:bookmarkEnd w:id="2182"/>
      <w:bookmarkEnd w:id="2183"/>
      <w:bookmarkEnd w:id="2184"/>
      <w:r>
        <w:rPr>
          <w:rStyle w:val="FootnoteReference"/>
          <w:bCs/>
          <w:szCs w:val="22"/>
        </w:rPr>
        <w:footnoteReference w:id="304"/>
      </w:r>
      <w:r>
        <w:t xml:space="preserve">  These extensions of time also delay USAC’s application review process and ultimately hinder the prompt release of funding commitment decisions.  We thus seek comment on whether to limit the number of opportunities and length of time that applicants have to submit complete information to USAC in response to USAC’s requests.  Commenter’s should specifically indicate any potential problems that may arise if we reduce the window of opportunity and any concerns with modifying </w:t>
      </w:r>
      <w:r w:rsidR="006265F8">
        <w:t>USAC</w:t>
      </w:r>
      <w:r>
        <w:t>’s outreach to gain complete information to complete their review of pending FCC Form 471 applications.</w:t>
      </w:r>
    </w:p>
    <w:p w14:paraId="6FE833D5" w14:textId="0EC1623D" w:rsidR="000627C7" w:rsidRPr="00927BED" w:rsidRDefault="00A333F8" w:rsidP="00F47042">
      <w:pPr>
        <w:pStyle w:val="ParaNum"/>
      </w:pPr>
      <w:r w:rsidRPr="00A333F8">
        <w:t xml:space="preserve">Are there current cost-allocation challenges that impose undue burdens on applicants and on USAC that could be removed?  For example, some states do not include preschool within their definition of elementary schools.  In such states, preschools classrooms are therefore currently not eligible to </w:t>
      </w:r>
      <w:r w:rsidRPr="00A333F8">
        <w:lastRenderedPageBreak/>
        <w:t>receive support for E-rate services, even when those preschool classrooms are located within an elementary school building that otherwise receives E-rate supported services.</w:t>
      </w:r>
      <w:r>
        <w:rPr>
          <w:rStyle w:val="FootnoteReference"/>
        </w:rPr>
        <w:footnoteReference w:id="305"/>
      </w:r>
      <w:r w:rsidRPr="00A333F8">
        <w:t>  As a result, in such states, applicants must cost-allocate the expenses for providing E-rate supported services to preschool classrooms, and exclude those expenses from requests for E-rate support.  Consistent with the Commission’s allowance for the community use of E-rate services,</w:t>
      </w:r>
      <w:r>
        <w:rPr>
          <w:rStyle w:val="FootnoteReference"/>
        </w:rPr>
        <w:footnoteReference w:id="306"/>
      </w:r>
      <w:r w:rsidRPr="00A333F8">
        <w:t xml:space="preserve"> would an exception for these classrooms improve the efficient use of E-rate eligible services and reduce the administrative burden?  Are those costs typically so small that the burden of cost allocation and administrative review outweigh the benefit to the Fund of requiring cost-allocation?  Commenters should be specific in their proposals.</w:t>
      </w:r>
      <w:r w:rsidR="000627C7" w:rsidRPr="00A911CA">
        <w:t xml:space="preserve">  </w:t>
      </w:r>
    </w:p>
    <w:p w14:paraId="3A19579C" w14:textId="4B2D1AEF" w:rsidR="000627C7" w:rsidRDefault="000627C7" w:rsidP="00F47042">
      <w:pPr>
        <w:pStyle w:val="ParaNum"/>
      </w:pPr>
      <w:r w:rsidRPr="00927BED">
        <w:rPr>
          <w:i/>
        </w:rPr>
        <w:t>Multi-year contracts.</w:t>
      </w:r>
      <w:r w:rsidRPr="00927BED">
        <w:t xml:space="preserve">  </w:t>
      </w:r>
      <w:r>
        <w:t>E-rate</w:t>
      </w:r>
      <w:r w:rsidRPr="00927BED">
        <w:t xml:space="preserve"> applicants are permitted to enter into multi-year </w:t>
      </w:r>
      <w:r w:rsidRPr="00110D29">
        <w:t>contracts</w:t>
      </w:r>
      <w:r w:rsidRPr="00927BED">
        <w:t>, but applicants with multi-year contracts</w:t>
      </w:r>
      <w:r w:rsidRPr="00A30BDC">
        <w:t xml:space="preserve"> must file an FCC Form 471 application and go through the same review process every year.</w:t>
      </w:r>
      <w:r w:rsidRPr="00A30BDC">
        <w:rPr>
          <w:vertAlign w:val="superscript"/>
        </w:rPr>
        <w:footnoteReference w:id="307"/>
      </w:r>
      <w:r>
        <w:t xml:space="preserve">  Our rules prohibit </w:t>
      </w:r>
      <w:r w:rsidRPr="00A30BDC">
        <w:t xml:space="preserve">USAC </w:t>
      </w:r>
      <w:r>
        <w:t xml:space="preserve">from issuing </w:t>
      </w:r>
      <w:r w:rsidRPr="00A30BDC">
        <w:t xml:space="preserve">multi-year funding commitments in the </w:t>
      </w:r>
      <w:r>
        <w:t>E-rate</w:t>
      </w:r>
      <w:r w:rsidRPr="00A30BDC">
        <w:t xml:space="preserve"> program.</w:t>
      </w:r>
      <w:r w:rsidRPr="00A30BDC">
        <w:rPr>
          <w:vertAlign w:val="superscript"/>
        </w:rPr>
        <w:footnoteReference w:id="308"/>
      </w:r>
      <w:r>
        <w:t xml:space="preserve">  </w:t>
      </w:r>
      <w:r w:rsidRPr="00A30BDC">
        <w:t>Stakeholders have argued that it is a waste of an applicant’s time to file an application for the same services year after year, and that it is a waste of USAC’s time to review the same applications year after year.</w:t>
      </w:r>
      <w:r w:rsidRPr="00A30BDC">
        <w:rPr>
          <w:vertAlign w:val="superscript"/>
        </w:rPr>
        <w:footnoteReference w:id="309"/>
      </w:r>
      <w:r>
        <w:t xml:space="preserve">  </w:t>
      </w:r>
    </w:p>
    <w:p w14:paraId="7E9A8C84" w14:textId="73D87D66" w:rsidR="00110D29" w:rsidRDefault="000627C7" w:rsidP="00F47042">
      <w:pPr>
        <w:pStyle w:val="ParaNum"/>
      </w:pPr>
      <w:r w:rsidRPr="008707E2">
        <w:t>We</w:t>
      </w:r>
      <w:r>
        <w:t xml:space="preserve"> agree with stakeholders that multi</w:t>
      </w:r>
      <w:r w:rsidR="004B6BFC">
        <w:t>-</w:t>
      </w:r>
      <w:r>
        <w:t>year contracts have the potential to drive down service costs, provide more certainty, and that we should minimize duplicative application review by USAC.  At the same time</w:t>
      </w:r>
      <w:r w:rsidRPr="00A30BDC">
        <w:t xml:space="preserve">, given the dynamic marketplace for many </w:t>
      </w:r>
      <w:r>
        <w:t>E-rate</w:t>
      </w:r>
      <w:r w:rsidRPr="00A30BDC">
        <w:t xml:space="preserve"> supported services, it is important that </w:t>
      </w:r>
      <w:r>
        <w:t>E-rate</w:t>
      </w:r>
      <w:r w:rsidRPr="00A30BDC">
        <w:t xml:space="preserve"> applicants not bind themselves to multi-year contracts that require applicants to pay prices that are higher than they would receive had th</w:t>
      </w:r>
      <w:r>
        <w:t xml:space="preserve">ey re-sought competitive bids.  </w:t>
      </w:r>
      <w:r w:rsidRPr="00A30BDC">
        <w:t>In balancing those issues</w:t>
      </w:r>
      <w:r w:rsidR="00110D29" w:rsidRPr="00A30BDC">
        <w:t>,</w:t>
      </w:r>
      <w:r w:rsidR="00110D29">
        <w:t xml:space="preserve"> we seek comment on a number of changes to our handling of multi-year contracts.</w:t>
      </w:r>
    </w:p>
    <w:p w14:paraId="7942BE6E" w14:textId="669F7D47" w:rsidR="000627C7" w:rsidRDefault="00110D29" w:rsidP="00F47042">
      <w:pPr>
        <w:pStyle w:val="ParaNum"/>
      </w:pPr>
      <w:r>
        <w:lastRenderedPageBreak/>
        <w:t>First, we propose that</w:t>
      </w:r>
      <w:r w:rsidR="000D5F97">
        <w:t>,</w:t>
      </w:r>
      <w:r w:rsidRPr="00A30BDC">
        <w:t xml:space="preserve"> </w:t>
      </w:r>
      <w:r w:rsidR="000627C7" w:rsidRPr="00A30BDC">
        <w:t xml:space="preserve">absent a change in the contract, service provider or recipients of service, we allow </w:t>
      </w:r>
      <w:r w:rsidR="000627C7">
        <w:t>E-rate</w:t>
      </w:r>
      <w:r w:rsidR="000627C7" w:rsidRPr="00A30BDC">
        <w:t xml:space="preserve"> applicants with multi-year contracts that are no more than three years in length (including any voluntary extensions) to file a single FCC Form 471 application for the funding year in which the contract commences and go through the </w:t>
      </w:r>
      <w:r w:rsidR="00EB54C0">
        <w:t xml:space="preserve">full </w:t>
      </w:r>
      <w:r w:rsidR="000627C7" w:rsidRPr="00A30BDC">
        <w:t xml:space="preserve">review process just one time for </w:t>
      </w:r>
      <w:r w:rsidR="00EB54C0">
        <w:t xml:space="preserve">each </w:t>
      </w:r>
      <w:r w:rsidR="000627C7" w:rsidRPr="00A30BDC">
        <w:t xml:space="preserve">such multi-year contracts. </w:t>
      </w:r>
      <w:r w:rsidR="00EB54C0">
        <w:t xml:space="preserve"> </w:t>
      </w:r>
      <w:r w:rsidR="000627C7" w:rsidRPr="00A30BDC">
        <w:t>We seek comment on this proposal</w:t>
      </w:r>
      <w:r w:rsidR="000627C7">
        <w:t xml:space="preserve">, </w:t>
      </w:r>
      <w:r w:rsidR="00EB54C0">
        <w:t xml:space="preserve">and on what additional steps E-rate applicants should have to take in the second and third year of such contracts to confirm their request for E-rate support for the subsequent years.  We </w:t>
      </w:r>
      <w:r w:rsidR="000627C7">
        <w:t>specifically seek comment on the following proposed rule language:</w:t>
      </w:r>
    </w:p>
    <w:p w14:paraId="10907C19" w14:textId="77777777" w:rsidR="000627C7" w:rsidRPr="00B03906" w:rsidRDefault="000627C7" w:rsidP="00F47042">
      <w:pPr>
        <w:pStyle w:val="ParaNum"/>
        <w:numPr>
          <w:ilvl w:val="0"/>
          <w:numId w:val="0"/>
        </w:numPr>
        <w:ind w:left="720"/>
        <w:rPr>
          <w:i/>
        </w:rPr>
      </w:pPr>
      <w:r w:rsidRPr="00B03906">
        <w:rPr>
          <w:i/>
        </w:rPr>
        <w:t xml:space="preserve">Multi-year contracts.  An eligible school, library or consortium that includes an eligible school or library seeking to receive discounts under this subpart may submit to USAC a single FCC Form 471 covering all the years of a multi-year contract, provided </w:t>
      </w:r>
      <w:r>
        <w:rPr>
          <w:i/>
        </w:rPr>
        <w:t xml:space="preserve">that the </w:t>
      </w:r>
      <w:r w:rsidRPr="00B03906">
        <w:rPr>
          <w:i/>
        </w:rPr>
        <w:t>term of the contract including extensions, does not exceed three years.  An FCC Form 471 covering a multi-year contract must be submitted to USAC before the start of the first funding year covered by the multi-year contract.</w:t>
      </w:r>
    </w:p>
    <w:p w14:paraId="4C5038C6" w14:textId="54506947" w:rsidR="00110D29" w:rsidRPr="00DE7C42" w:rsidRDefault="00110D29" w:rsidP="00F47042">
      <w:pPr>
        <w:pStyle w:val="ParaNum"/>
      </w:pPr>
      <w:r>
        <w:t xml:space="preserve">Second, </w:t>
      </w:r>
      <w:r w:rsidRPr="004C0067">
        <w:t xml:space="preserve">we seek comment on amending our rules to permit multi-year </w:t>
      </w:r>
      <w:r w:rsidRPr="00110D29">
        <w:t>commitments</w:t>
      </w:r>
      <w:r w:rsidR="006C6CC7">
        <w:t xml:space="preserve"> in the E-rate program. </w:t>
      </w:r>
      <w:r>
        <w:t xml:space="preserve"> </w:t>
      </w:r>
      <w:r w:rsidR="000627C7" w:rsidRPr="004C0067">
        <w:t xml:space="preserve">In the </w:t>
      </w:r>
      <w:r w:rsidR="000627C7" w:rsidRPr="004C0067">
        <w:rPr>
          <w:i/>
        </w:rPr>
        <w:t>Health</w:t>
      </w:r>
      <w:r w:rsidR="007E49DD">
        <w:rPr>
          <w:i/>
        </w:rPr>
        <w:t>c</w:t>
      </w:r>
      <w:r w:rsidR="000627C7" w:rsidRPr="004C0067">
        <w:rPr>
          <w:i/>
        </w:rPr>
        <w:t>are Connect Fund Order</w:t>
      </w:r>
      <w:r w:rsidR="000627C7" w:rsidRPr="009A436B">
        <w:t>, we allowed applicants to request a funding commitment for a multi-year contract that covers up to thre</w:t>
      </w:r>
      <w:r w:rsidR="000627C7" w:rsidRPr="00AC7FDF">
        <w:t>e years of funding.</w:t>
      </w:r>
      <w:r w:rsidR="000627C7" w:rsidRPr="00AC7FDF">
        <w:rPr>
          <w:vertAlign w:val="superscript"/>
        </w:rPr>
        <w:footnoteReference w:id="310"/>
      </w:r>
      <w:r w:rsidR="000627C7" w:rsidRPr="00AC7FDF">
        <w:t xml:space="preserve">  Unlike the </w:t>
      </w:r>
      <w:r w:rsidR="000627C7" w:rsidRPr="004C0067">
        <w:t xml:space="preserve">E-rate program, however, the universal service rural health care program is not currently oversubscribed, so it is more feasible for that program to issue multi-year commitments.  </w:t>
      </w:r>
      <w:r>
        <w:t>Is this difference relevant to our handling of multi-year commitments?</w:t>
      </w:r>
      <w:r w:rsidRPr="004C0067">
        <w:t xml:space="preserve"> </w:t>
      </w:r>
      <w:r w:rsidR="00EB54C0">
        <w:t xml:space="preserve"> </w:t>
      </w:r>
      <w:r>
        <w:t>Should multi-year funding</w:t>
      </w:r>
      <w:r w:rsidRPr="004C0067">
        <w:t xml:space="preserve"> commitments </w:t>
      </w:r>
      <w:r>
        <w:t xml:space="preserve">in E-rate </w:t>
      </w:r>
      <w:r w:rsidRPr="004C0067">
        <w:t xml:space="preserve">be conditional on the funds being available in subsequent years?  </w:t>
      </w:r>
      <w:r>
        <w:t xml:space="preserve">  </w:t>
      </w:r>
    </w:p>
    <w:p w14:paraId="64EA4F81" w14:textId="477C4937" w:rsidR="00110D29" w:rsidRDefault="00110D29" w:rsidP="00F47042">
      <w:pPr>
        <w:pStyle w:val="ParaNum"/>
      </w:pPr>
      <w:r>
        <w:t xml:space="preserve">Finally we seek comment on whether we should impose any additional </w:t>
      </w:r>
      <w:r w:rsidR="00EB54C0">
        <w:t xml:space="preserve">or different </w:t>
      </w:r>
      <w:r>
        <w:t>limits on multi-year contracts.  F</w:t>
      </w:r>
      <w:r w:rsidRPr="00CD7DD8">
        <w:t xml:space="preserve">or example, </w:t>
      </w:r>
      <w:r>
        <w:t xml:space="preserve">should we </w:t>
      </w:r>
      <w:r w:rsidRPr="00CD7DD8">
        <w:t xml:space="preserve">limit the maximum term (including voluntary extensions) of multi-year contracts that </w:t>
      </w:r>
      <w:r>
        <w:t>E-rate</w:t>
      </w:r>
      <w:r w:rsidRPr="00CD7DD8">
        <w:t xml:space="preserve"> applicants may enter into for </w:t>
      </w:r>
      <w:r>
        <w:t>E-rate</w:t>
      </w:r>
      <w:r w:rsidRPr="00CD7DD8">
        <w:t xml:space="preserve"> supported services to three years?  </w:t>
      </w:r>
      <w:r>
        <w:t xml:space="preserve">What are the typical terms for multi-year contracts now?  What are the typical terms for comparable enterprise services in broader business broadband markets? </w:t>
      </w:r>
    </w:p>
    <w:p w14:paraId="4F4AEAB7" w14:textId="1ECD9003" w:rsidR="00110D29" w:rsidRDefault="000627C7" w:rsidP="00F47042">
      <w:pPr>
        <w:pStyle w:val="ParaNum"/>
      </w:pPr>
      <w:r w:rsidRPr="00CD7DD8">
        <w:t xml:space="preserve">Should the maximum term of a contract for </w:t>
      </w:r>
      <w:r>
        <w:t>E-rate</w:t>
      </w:r>
      <w:r w:rsidRPr="00CD7DD8">
        <w:t xml:space="preserve"> supported services depend on the type of service at issue?  For example, the efficient term for an IRU in dark fiber may be longer than for Internet access services.  </w:t>
      </w:r>
      <w:r w:rsidR="00110D29">
        <w:t xml:space="preserve">Indeed, where </w:t>
      </w:r>
      <w:r w:rsidR="00110D29">
        <w:lastRenderedPageBreak/>
        <w:t>significant new fiber builds are involved, long term contracts could be critical to keeping recurring costs low.  When fiber is laid for the first time to a school or library, an applicant may be able to seek bids that guarantee low ongoing costs once the initial construction is paid for.  If an applicant is prohibited from entering a long term contract when the fiber is first laid, it may be unable to claim similar efficiencies.</w:t>
      </w:r>
      <w:r w:rsidR="00B30AD0" w:rsidRPr="00B30AD0">
        <w:t xml:space="preserve"> </w:t>
      </w:r>
      <w:r w:rsidR="00B30AD0">
        <w:t xml:space="preserve"> We seek comment on this analysis.  </w:t>
      </w:r>
    </w:p>
    <w:p w14:paraId="191F0E28" w14:textId="4D9329DF" w:rsidR="00110D29" w:rsidRDefault="00110D29" w:rsidP="00F47042">
      <w:pPr>
        <w:pStyle w:val="ParaNum"/>
      </w:pPr>
      <w:r w:rsidRPr="00CD7DD8">
        <w:t>Should we</w:t>
      </w:r>
      <w:r>
        <w:t xml:space="preserve"> ex</w:t>
      </w:r>
      <w:r w:rsidR="00EB54C0">
        <w:t>empt</w:t>
      </w:r>
      <w:r>
        <w:t xml:space="preserve"> certain services, such as IRUs for dark fiber, from any limits on multi-year contracts</w:t>
      </w:r>
      <w:r w:rsidRPr="00CD7DD8">
        <w:t xml:space="preserve">?  </w:t>
      </w:r>
      <w:r>
        <w:t>What are the typical terms for enterprise connectivity contracts in commercial markets?  Could applicants eliminate the need for long-term contracts associated with new fiber builds by seeking a non-binding renewal option, at a predetermined rate, in contracts?  Do such terms exist in contracts for enterprise connectivity for purchasers other than schools and libraries?  Do similar issues generally exist for connections to schools and libraries using technologies other than fiber, such as fixed wireless?</w:t>
      </w:r>
    </w:p>
    <w:p w14:paraId="12780073" w14:textId="4C430718" w:rsidR="000627C7" w:rsidRPr="00CD7DD8" w:rsidRDefault="00110D29" w:rsidP="00F47042">
      <w:pPr>
        <w:pStyle w:val="ParaNum"/>
      </w:pPr>
      <w:r>
        <w:t xml:space="preserve">Are there other approaches to multi-year contracts we should consider?  </w:t>
      </w:r>
      <w:r w:rsidR="000627C7" w:rsidRPr="00CD7DD8">
        <w:t>Should we have a cap on the number of multi-year contracts entered into by applicants in a given funding year or the amount of future funding covered by multi-year commitments?  If so, how should we select which applicants</w:t>
      </w:r>
      <w:r w:rsidR="000627C7">
        <w:t xml:space="preserve"> </w:t>
      </w:r>
      <w:r w:rsidR="000627C7" w:rsidRPr="00CD7DD8">
        <w:t>seeking multi-year funding commitments</w:t>
      </w:r>
      <w:r w:rsidR="000627C7">
        <w:t xml:space="preserve"> receive them</w:t>
      </w:r>
      <w:r w:rsidR="000627C7" w:rsidRPr="00CD7DD8">
        <w:t xml:space="preserve">?  </w:t>
      </w:r>
    </w:p>
    <w:p w14:paraId="20B609C8" w14:textId="7D1B2AEB" w:rsidR="000627C7" w:rsidRPr="00CD7DD8" w:rsidRDefault="000627C7" w:rsidP="00DA25DB">
      <w:pPr>
        <w:pStyle w:val="ParaNum"/>
      </w:pPr>
      <w:r w:rsidRPr="00CD7DD8">
        <w:rPr>
          <w:i/>
        </w:rPr>
        <w:t>Additional filing windows</w:t>
      </w:r>
      <w:r w:rsidRPr="00CD7DD8">
        <w:t xml:space="preserve">. We seek comment on other ways to </w:t>
      </w:r>
      <w:r w:rsidR="0012607F">
        <w:t>streamline the administration</w:t>
      </w:r>
      <w:r w:rsidRPr="00CD7DD8">
        <w:t xml:space="preserve"> of the </w:t>
      </w:r>
      <w:r>
        <w:t>E-rate</w:t>
      </w:r>
      <w:r w:rsidRPr="00CD7DD8">
        <w:t xml:space="preserve"> program and commit available funds as quickly and efficiently as possible.  For instance, assuming priority one funding requests do not exceed the </w:t>
      </w:r>
      <w:r>
        <w:t>E-rate</w:t>
      </w:r>
      <w:r w:rsidRPr="00CD7DD8">
        <w:t xml:space="preserve"> funding cap, should the Commission create separate filing windows – one for priority one and one for priority two commitments?  Under this process, the priority one application filing window could run from January to mid-March and the priority two application filing window could run from mid-April to the beginning of June.  After the priority one application filing window closes, the Commission could announce what funds are available after the priority one funding process before applicants file for priority two funding.  Under this approach, applicants would not have to expend resources unnecessarily to file for priority two services if there is no funding available.  Because USAC does not start reviewing priority two funding requests until much later in the funding year, the later application filing window should not slow down the funding commitment process.  If, in reforming the </w:t>
      </w:r>
      <w:r>
        <w:t>E-rate</w:t>
      </w:r>
      <w:r w:rsidRPr="00CD7DD8">
        <w:t xml:space="preserve"> program, we create more than two funding priorities, should we have a separate application filing window for each set of priorities?  We seek comment on the operational challenges to </w:t>
      </w:r>
      <w:r w:rsidRPr="00CD7DD8">
        <w:lastRenderedPageBreak/>
        <w:t xml:space="preserve">having multiple application filing windows, and whether it would, on balance, benefit applicants and help achieve the goal of maximizing administrative efficiencies. </w:t>
      </w:r>
    </w:p>
    <w:p w14:paraId="15C0132E" w14:textId="3B29D0AB" w:rsidR="000627C7" w:rsidRPr="00CD7DD8" w:rsidRDefault="000627C7" w:rsidP="00B9652C">
      <w:pPr>
        <w:pStyle w:val="Heading2"/>
      </w:pPr>
      <w:bookmarkStart w:id="2185" w:name="_Toc352078336"/>
      <w:bookmarkStart w:id="2186" w:name="_Toc352078388"/>
      <w:bookmarkStart w:id="2187" w:name="_Toc352078450"/>
      <w:bookmarkStart w:id="2188" w:name="_Toc352079042"/>
      <w:bookmarkStart w:id="2189" w:name="_Toc352080403"/>
      <w:bookmarkStart w:id="2190" w:name="_Toc352139786"/>
      <w:bookmarkStart w:id="2191" w:name="_Toc354478089"/>
      <w:bookmarkStart w:id="2192" w:name="_Toc354478711"/>
      <w:bookmarkStart w:id="2193" w:name="_Toc354660727"/>
      <w:bookmarkStart w:id="2194" w:name="_Toc358208809"/>
      <w:bookmarkStart w:id="2195" w:name="_Toc358210312"/>
      <w:bookmarkStart w:id="2196" w:name="_Toc358210459"/>
      <w:bookmarkStart w:id="2197" w:name="_Toc358210637"/>
      <w:bookmarkStart w:id="2198" w:name="_Toc358210738"/>
      <w:bookmarkStart w:id="2199" w:name="_Toc358213672"/>
      <w:bookmarkStart w:id="2200" w:name="_Toc358213804"/>
      <w:bookmarkStart w:id="2201" w:name="_Toc358301298"/>
      <w:bookmarkStart w:id="2202" w:name="_Toc358720044"/>
      <w:bookmarkStart w:id="2203" w:name="_Toc358971270"/>
      <w:bookmarkStart w:id="2204" w:name="_Toc358974871"/>
      <w:bookmarkStart w:id="2205" w:name="_Toc358975769"/>
      <w:bookmarkStart w:id="2206" w:name="_Toc358975931"/>
      <w:bookmarkStart w:id="2207" w:name="_Toc358976172"/>
      <w:bookmarkStart w:id="2208" w:name="_Toc358981027"/>
      <w:bookmarkStart w:id="2209" w:name="_Toc358981143"/>
      <w:bookmarkStart w:id="2210" w:name="_Toc358982407"/>
      <w:bookmarkStart w:id="2211" w:name="_Toc358982497"/>
      <w:bookmarkStart w:id="2212" w:name="_Toc359239279"/>
      <w:bookmarkStart w:id="2213" w:name="_Toc359239336"/>
      <w:bookmarkStart w:id="2214" w:name="_Toc359252295"/>
      <w:bookmarkStart w:id="2215" w:name="_Toc359326044"/>
      <w:bookmarkStart w:id="2216" w:name="_Toc359333292"/>
      <w:bookmarkStart w:id="2217" w:name="_Toc359339946"/>
      <w:bookmarkStart w:id="2218" w:name="_Toc359343210"/>
      <w:bookmarkStart w:id="2219" w:name="_Toc359347019"/>
      <w:bookmarkStart w:id="2220" w:name="_Toc359598709"/>
      <w:bookmarkStart w:id="2221" w:name="_Toc359853203"/>
      <w:bookmarkStart w:id="2222" w:name="_Toc359853439"/>
      <w:bookmarkStart w:id="2223" w:name="_Toc359853702"/>
      <w:bookmarkStart w:id="2224" w:name="_Toc359858670"/>
      <w:bookmarkStart w:id="2225" w:name="_Toc359859618"/>
      <w:bookmarkStart w:id="2226" w:name="_Toc359940084"/>
      <w:bookmarkStart w:id="2227" w:name="_Toc360025458"/>
      <w:bookmarkStart w:id="2228" w:name="_Toc360107509"/>
      <w:bookmarkStart w:id="2229" w:name="_Toc360111633"/>
      <w:bookmarkStart w:id="2230" w:name="_Toc360172818"/>
      <w:bookmarkStart w:id="2231" w:name="_Toc360186155"/>
      <w:bookmarkStart w:id="2232" w:name="_Toc360186232"/>
      <w:bookmarkStart w:id="2233" w:name="_Toc360186436"/>
      <w:bookmarkStart w:id="2234" w:name="_Toc360186508"/>
      <w:bookmarkStart w:id="2235" w:name="_Toc360187309"/>
      <w:bookmarkStart w:id="2236" w:name="_Toc360187470"/>
      <w:bookmarkStart w:id="2237" w:name="_Toc360208919"/>
      <w:bookmarkStart w:id="2238" w:name="_Toc360212052"/>
      <w:bookmarkStart w:id="2239" w:name="_Toc361663122"/>
      <w:bookmarkStart w:id="2240" w:name="_Toc361857700"/>
      <w:bookmarkStart w:id="2241" w:name="_Toc361918792"/>
      <w:bookmarkStart w:id="2242" w:name="_Toc362272569"/>
      <w:r>
        <w:t>Simplify</w:t>
      </w:r>
      <w:r w:rsidR="004959D4">
        <w:t>ing the</w:t>
      </w:r>
      <w:r>
        <w:t xml:space="preserve"> Eligible Services List</w:t>
      </w:r>
      <w:bookmarkEnd w:id="2019"/>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r>
        <w:t xml:space="preserve"> </w:t>
      </w:r>
    </w:p>
    <w:p w14:paraId="04AC839D" w14:textId="534FB0E8" w:rsidR="000627C7" w:rsidRPr="00CD7DD8" w:rsidRDefault="000627C7" w:rsidP="00F47042">
      <w:pPr>
        <w:pStyle w:val="ParaNum"/>
        <w:rPr>
          <w:szCs w:val="22"/>
        </w:rPr>
      </w:pPr>
      <w:r>
        <w:rPr>
          <w:szCs w:val="22"/>
        </w:rPr>
        <w:t>We propose to simplify the ESL and the FCC Form 471 application process by adopting a definition of eligible services that provides funding for eligible services regardless of regulatory classification.  Specifically, we propose to amend section 54.502 and the ESL to remove the regulatory classifications of telecommunications services and Internet access to allow applicants to seek eligible services from any entity.</w:t>
      </w:r>
      <w:r>
        <w:rPr>
          <w:szCs w:val="22"/>
          <w:vertAlign w:val="superscript"/>
        </w:rPr>
        <w:footnoteReference w:id="311"/>
      </w:r>
      <w:r>
        <w:rPr>
          <w:szCs w:val="22"/>
        </w:rPr>
        <w:t xml:space="preserve">  We seek comment on these proposed rule and ESL changes as explained below.  </w:t>
      </w:r>
    </w:p>
    <w:p w14:paraId="6941CCD8" w14:textId="1E4FAA89" w:rsidR="000627C7" w:rsidRPr="00CD7DD8" w:rsidRDefault="000627C7" w:rsidP="00F47042">
      <w:pPr>
        <w:pStyle w:val="ParaNum"/>
      </w:pPr>
      <w:r>
        <w:t>The ESL, which is approved by the Bureau and published by USAC each year, provides guidance to applicants on the eligibility of products and services under the E-rate program.</w:t>
      </w:r>
      <w:r>
        <w:rPr>
          <w:vertAlign w:val="superscript"/>
        </w:rPr>
        <w:footnoteReference w:id="312"/>
      </w:r>
      <w:r>
        <w:t xml:space="preserve">  Last year, the Bureau reorganized the priority one section of the ESL to consolidate the list of telecommunications services, telecommunications</w:t>
      </w:r>
      <w:r w:rsidR="000534BE">
        <w:t>,</w:t>
      </w:r>
      <w:r>
        <w:t xml:space="preserve"> and Internet access into a single priority one category.</w:t>
      </w:r>
      <w:r>
        <w:rPr>
          <w:vertAlign w:val="superscript"/>
        </w:rPr>
        <w:footnoteReference w:id="313"/>
      </w:r>
      <w:r>
        <w:t xml:space="preserve">  The Bureau recognized that, “when applying for discounts, E-rate applicants are focused on the services they need for their schools and libraries, and may be unfamiliar with the regulatory framework for telecommunications services and Internet access established by Commission rulemakings.”</w:t>
      </w:r>
      <w:r>
        <w:rPr>
          <w:vertAlign w:val="superscript"/>
        </w:rPr>
        <w:footnoteReference w:id="314"/>
      </w:r>
      <w:r>
        <w:t xml:space="preserve">  Also, the Bureau noted that many of the services purchased by schools and libraries using E-rate funding can fall into more than one of the regulatory classifications.  As an example, one of the commenters in that proceeding asserted that many applicants erroneously think that they do not need to request Internet access when they are requesting cellular service with data packages and e-mail access.</w:t>
      </w:r>
      <w:r>
        <w:rPr>
          <w:vertAlign w:val="superscript"/>
        </w:rPr>
        <w:footnoteReference w:id="315"/>
      </w:r>
      <w:r>
        <w:t xml:space="preserve">  The Bureau also determined that </w:t>
      </w:r>
      <w:r>
        <w:lastRenderedPageBreak/>
        <w:t>applicants would no longer be expected to classify their service requests into telecommunications service or Internet services categories when soliciting bids for those services on the FCC Form 470,</w:t>
      </w:r>
      <w:r>
        <w:rPr>
          <w:vertAlign w:val="superscript"/>
        </w:rPr>
        <w:footnoteReference w:id="316"/>
      </w:r>
      <w:r>
        <w:t xml:space="preserve"> but that applicants must continue to select the correct category of service on the FCC Form 471 application because this serves statutory and regulatory purposes.</w:t>
      </w:r>
      <w:r>
        <w:rPr>
          <w:vertAlign w:val="superscript"/>
        </w:rPr>
        <w:footnoteReference w:id="317"/>
      </w:r>
      <w:r>
        <w:t xml:space="preserve">  </w:t>
      </w:r>
    </w:p>
    <w:p w14:paraId="1C5C7051" w14:textId="5A5A9024" w:rsidR="000627C7" w:rsidRPr="00CD7DD8" w:rsidRDefault="000627C7" w:rsidP="00F47042">
      <w:pPr>
        <w:pStyle w:val="ParaNum"/>
      </w:pPr>
      <w:r>
        <w:t xml:space="preserve">In the </w:t>
      </w:r>
      <w:r>
        <w:rPr>
          <w:i/>
        </w:rPr>
        <w:t xml:space="preserve">Healthcare Connect </w:t>
      </w:r>
      <w:r w:rsidR="00231CD5">
        <w:rPr>
          <w:i/>
        </w:rPr>
        <w:t xml:space="preserve">Fund </w:t>
      </w:r>
      <w:r>
        <w:rPr>
          <w:i/>
        </w:rPr>
        <w:t xml:space="preserve">Order, </w:t>
      </w:r>
      <w:r>
        <w:t>the Commission</w:t>
      </w:r>
      <w:r>
        <w:rPr>
          <w:i/>
        </w:rPr>
        <w:t xml:space="preserve"> </w:t>
      </w:r>
      <w:r>
        <w:t xml:space="preserve">determined that it should support broadband Internet access services and also </w:t>
      </w:r>
      <w:r w:rsidR="00006511">
        <w:t>high-capacity</w:t>
      </w:r>
      <w:r>
        <w:t xml:space="preserve"> transmission services offered on a common</w:t>
      </w:r>
      <w:r w:rsidR="000534BE">
        <w:t xml:space="preserve"> </w:t>
      </w:r>
      <w:r>
        <w:t>carrier and a non-common carrier basis to allow health care providers to choose from a wide-range of connectivity solutions using any technology from any provider.</w:t>
      </w:r>
      <w:r>
        <w:rPr>
          <w:vertAlign w:val="superscript"/>
        </w:rPr>
        <w:footnoteReference w:id="318"/>
      </w:r>
      <w:r>
        <w:t xml:space="preserve">  Building off this decision, we seek comment on eliminating the regulatory categories with respect to E-rate supported services</w:t>
      </w:r>
      <w:r w:rsidR="00870163">
        <w:t xml:space="preserve">.  Instead, we propose only that an applicant indicate </w:t>
      </w:r>
      <w:r>
        <w:t xml:space="preserve">on the FCC Form 470 the requested service priority level as well as </w:t>
      </w:r>
      <w:r w:rsidR="00870163">
        <w:t xml:space="preserve">provide </w:t>
      </w:r>
      <w:r>
        <w:t>enough detail for service providers to identify the requested services and formulate bids on the FCC Form 470.</w:t>
      </w:r>
      <w:r>
        <w:rPr>
          <w:vertAlign w:val="superscript"/>
        </w:rPr>
        <w:footnoteReference w:id="319"/>
      </w:r>
      <w:r>
        <w:t xml:space="preserve">  The FCC Form 471 application would </w:t>
      </w:r>
      <w:r w:rsidR="00870163">
        <w:t xml:space="preserve">also require </w:t>
      </w:r>
      <w:r>
        <w:t xml:space="preserve">the service priority level </w:t>
      </w:r>
      <w:r w:rsidR="00870163">
        <w:t>(</w:t>
      </w:r>
      <w:r>
        <w:rPr>
          <w:i/>
        </w:rPr>
        <w:t>e.g.</w:t>
      </w:r>
      <w:r>
        <w:t>, priority one or priority two</w:t>
      </w:r>
      <w:r w:rsidR="00870163">
        <w:t>)</w:t>
      </w:r>
      <w:r>
        <w:t xml:space="preserve"> and the Item 21 attachment would continue to be used by applicants to describe the services for which they seek discounts for each funding request.  We seek comment on these changes to the E-rate forms.</w:t>
      </w:r>
    </w:p>
    <w:p w14:paraId="19D3793D" w14:textId="77777777" w:rsidR="00336E06" w:rsidRPr="000B387B" w:rsidRDefault="00336E06" w:rsidP="002A4654">
      <w:pPr>
        <w:pStyle w:val="ParaNum"/>
        <w:rPr>
          <w:szCs w:val="22"/>
        </w:rPr>
      </w:pPr>
      <w:r w:rsidRPr="00D15664">
        <w:t xml:space="preserve">After the ESL was revised </w:t>
      </w:r>
      <w:r>
        <w:t>for funding year</w:t>
      </w:r>
      <w:r w:rsidRPr="00D15664">
        <w:t xml:space="preserve"> 201</w:t>
      </w:r>
      <w:r>
        <w:t>3</w:t>
      </w:r>
      <w:r w:rsidRPr="00D15664">
        <w:t>, the Bureau continued to require applicants to select the correct category of service on the FCC Form 471 application.</w:t>
      </w:r>
      <w:r w:rsidRPr="00D15664">
        <w:rPr>
          <w:vertAlign w:val="superscript"/>
        </w:rPr>
        <w:footnoteReference w:id="320"/>
      </w:r>
      <w:r w:rsidRPr="00D15664">
        <w:t xml:space="preserve">  One of the reasons for retaining this requirement is because USAC uses the service category selections to determine which applicants have sought Internet access and/or internal connections and this </w:t>
      </w:r>
      <w:r w:rsidRPr="00D15664">
        <w:lastRenderedPageBreak/>
        <w:t>need to comply with CIPA.</w:t>
      </w:r>
      <w:r w:rsidRPr="00D15664">
        <w:rPr>
          <w:vertAlign w:val="superscript"/>
        </w:rPr>
        <w:footnoteReference w:id="321"/>
      </w:r>
      <w:r w:rsidRPr="00D15664">
        <w:t xml:space="preserve">  We seek comment on an alternative way for USAC to determine which applicants are required to be CIPA-compliant.  For example, should we add a checkbox to the FCC Form 471 with a certification that the applicant is seeking discounts for Internet access and/or internal connections and is subject to CIPA requirements?  If so, should we also add the actual CIPA certification to this checkbox allowing the applicant to certify its compliance with CIPA?  This would allow us to remove the CIPA certification from the FCC Forms 479 and 486 so that applicants would not have to certify to CIPA on multiple forms.</w:t>
      </w:r>
      <w:r>
        <w:t xml:space="preserve">  In its June 2013 White Paper, SECA suggests that</w:t>
      </w:r>
      <w:r w:rsidRPr="00D15664">
        <w:t xml:space="preserve"> applicants </w:t>
      </w:r>
      <w:r>
        <w:t>be given the option of</w:t>
      </w:r>
      <w:r w:rsidRPr="00D15664">
        <w:t xml:space="preserve"> providing the information currently required on </w:t>
      </w:r>
      <w:r>
        <w:t xml:space="preserve">the FCC </w:t>
      </w:r>
      <w:r w:rsidRPr="00D15664">
        <w:t xml:space="preserve">Form 486 </w:t>
      </w:r>
      <w:r>
        <w:t xml:space="preserve">on the </w:t>
      </w:r>
      <w:r w:rsidRPr="00D15664">
        <w:t>Form 471.</w:t>
      </w:r>
      <w:r w:rsidRPr="00D15664">
        <w:rPr>
          <w:rStyle w:val="FootnoteReference"/>
        </w:rPr>
        <w:footnoteReference w:id="322"/>
      </w:r>
      <w:r w:rsidRPr="00D15664">
        <w:t xml:space="preserve">  </w:t>
      </w:r>
      <w:r>
        <w:t>Although, SECA also suggests that a</w:t>
      </w:r>
      <w:r w:rsidRPr="00D15664">
        <w:t>pplicants who prefer to continue filing the FCC Form 486</w:t>
      </w:r>
      <w:r>
        <w:t xml:space="preserve">, </w:t>
      </w:r>
      <w:r w:rsidRPr="00D15664">
        <w:t>be given that option</w:t>
      </w:r>
      <w:r>
        <w:t xml:space="preserve"> as well</w:t>
      </w:r>
      <w:r w:rsidRPr="00D15664">
        <w:t xml:space="preserve"> and a check box to designate this preference can be included on the FCC Form 471.</w:t>
      </w:r>
      <w:r>
        <w:rPr>
          <w:rStyle w:val="FootnoteReference"/>
        </w:rPr>
        <w:footnoteReference w:id="323"/>
      </w:r>
      <w:r w:rsidRPr="00D15664">
        <w:t xml:space="preserve">  </w:t>
      </w:r>
      <w:r>
        <w:t xml:space="preserve">We seek comment on both of these possible approaches.  Would either approach </w:t>
      </w:r>
      <w:r w:rsidRPr="00D15664">
        <w:t>streamline the application, commitment and disbursement process for applicants?  Would moving the CIPA certification work for all applicants including consortia?</w:t>
      </w:r>
    </w:p>
    <w:p w14:paraId="35CFE281" w14:textId="14436451" w:rsidR="000627C7" w:rsidRPr="00CD7DD8" w:rsidRDefault="000627C7" w:rsidP="002A4654">
      <w:pPr>
        <w:pStyle w:val="Heading2"/>
      </w:pPr>
      <w:bookmarkStart w:id="2245" w:name="_Toc352064100"/>
      <w:bookmarkStart w:id="2246" w:name="_Toc352064560"/>
      <w:bookmarkStart w:id="2247" w:name="_Toc352078337"/>
      <w:bookmarkStart w:id="2248" w:name="_Toc352078389"/>
      <w:bookmarkStart w:id="2249" w:name="_Toc352078451"/>
      <w:bookmarkStart w:id="2250" w:name="_Toc352079043"/>
      <w:bookmarkStart w:id="2251" w:name="_Toc352080404"/>
      <w:bookmarkStart w:id="2252" w:name="_Toc352139787"/>
      <w:bookmarkStart w:id="2253" w:name="_Toc354478090"/>
      <w:bookmarkStart w:id="2254" w:name="_Toc354478712"/>
      <w:bookmarkStart w:id="2255" w:name="_Toc354660728"/>
      <w:bookmarkStart w:id="2256" w:name="_Toc358208810"/>
      <w:bookmarkStart w:id="2257" w:name="_Toc358210313"/>
      <w:bookmarkStart w:id="2258" w:name="_Toc358210460"/>
      <w:bookmarkStart w:id="2259" w:name="_Toc358210638"/>
      <w:bookmarkStart w:id="2260" w:name="_Toc358210739"/>
      <w:bookmarkStart w:id="2261" w:name="_Toc358213673"/>
      <w:bookmarkStart w:id="2262" w:name="_Toc358213805"/>
      <w:bookmarkStart w:id="2263" w:name="_Toc358301299"/>
      <w:bookmarkStart w:id="2264" w:name="_Toc358720045"/>
      <w:bookmarkStart w:id="2265" w:name="_Toc358971271"/>
      <w:bookmarkStart w:id="2266" w:name="_Toc358974872"/>
      <w:bookmarkStart w:id="2267" w:name="_Toc358975770"/>
      <w:bookmarkStart w:id="2268" w:name="_Toc358975932"/>
      <w:bookmarkStart w:id="2269" w:name="_Toc358976173"/>
      <w:bookmarkStart w:id="2270" w:name="_Toc358981028"/>
      <w:bookmarkStart w:id="2271" w:name="_Toc358981144"/>
      <w:bookmarkStart w:id="2272" w:name="_Toc358982408"/>
      <w:bookmarkStart w:id="2273" w:name="_Toc358982498"/>
      <w:bookmarkStart w:id="2274" w:name="_Toc359239280"/>
      <w:bookmarkStart w:id="2275" w:name="_Toc359239337"/>
      <w:bookmarkStart w:id="2276" w:name="_Toc359252296"/>
      <w:bookmarkStart w:id="2277" w:name="_Toc359326045"/>
      <w:bookmarkStart w:id="2278" w:name="_Toc359333293"/>
      <w:bookmarkStart w:id="2279" w:name="_Toc359339947"/>
      <w:bookmarkStart w:id="2280" w:name="_Toc359343211"/>
      <w:bookmarkStart w:id="2281" w:name="_Toc359347020"/>
      <w:bookmarkStart w:id="2282" w:name="_Toc359598710"/>
      <w:bookmarkStart w:id="2283" w:name="_Toc359853204"/>
      <w:bookmarkStart w:id="2284" w:name="_Toc359853440"/>
      <w:bookmarkStart w:id="2285" w:name="_Toc359853703"/>
      <w:bookmarkStart w:id="2286" w:name="_Toc359858671"/>
      <w:bookmarkStart w:id="2287" w:name="_Toc359859619"/>
      <w:bookmarkStart w:id="2288" w:name="_Toc359940085"/>
      <w:bookmarkStart w:id="2289" w:name="_Toc360025459"/>
      <w:bookmarkStart w:id="2290" w:name="_Toc360107510"/>
      <w:bookmarkStart w:id="2291" w:name="_Toc360111634"/>
      <w:bookmarkStart w:id="2292" w:name="_Toc360172819"/>
      <w:bookmarkStart w:id="2293" w:name="_Toc360186156"/>
      <w:bookmarkStart w:id="2294" w:name="_Toc360186233"/>
      <w:bookmarkStart w:id="2295" w:name="_Toc360186437"/>
      <w:bookmarkStart w:id="2296" w:name="_Toc360186509"/>
      <w:bookmarkStart w:id="2297" w:name="_Toc360187310"/>
      <w:bookmarkStart w:id="2298" w:name="_Toc360187471"/>
      <w:bookmarkStart w:id="2299" w:name="_Toc360208920"/>
      <w:bookmarkStart w:id="2300" w:name="_Toc360212053"/>
      <w:bookmarkStart w:id="2301" w:name="_Toc361663123"/>
      <w:bookmarkStart w:id="2302" w:name="_Toc361857701"/>
      <w:bookmarkStart w:id="2303" w:name="_Toc361918793"/>
      <w:bookmarkStart w:id="2304" w:name="_Toc362272570"/>
      <w:r>
        <w:t>Funding Recovery Considerations</w:t>
      </w:r>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r>
        <w:t xml:space="preserve"> </w:t>
      </w:r>
    </w:p>
    <w:p w14:paraId="03314B67" w14:textId="373B9773" w:rsidR="000627C7" w:rsidRPr="00CD7DD8" w:rsidRDefault="000627C7" w:rsidP="002A4654">
      <w:pPr>
        <w:pStyle w:val="ParaNum"/>
      </w:pPr>
      <w:r>
        <w:t xml:space="preserve">In 2000, the Commission adopted the </w:t>
      </w:r>
      <w:r>
        <w:rPr>
          <w:rFonts w:ascii="Times New Roman Italic" w:hAnsi="Times New Roman Italic"/>
        </w:rPr>
        <w:t xml:space="preserve">Commitment Adjustment Implementation Order, </w:t>
      </w:r>
      <w:r>
        <w:t xml:space="preserve">which </w:t>
      </w:r>
      <w:r w:rsidR="00870163">
        <w:t xml:space="preserve">consistent with the Debt Collection Improvement Act (DCIA) </w:t>
      </w:r>
      <w:r>
        <w:t>set up a framework for recovering funds committed or disbursed in violation of the Act</w:t>
      </w:r>
      <w:r w:rsidR="00870163">
        <w:t xml:space="preserve"> </w:t>
      </w:r>
      <w:r w:rsidRPr="00CD7DD8">
        <w:t>and our rules.</w:t>
      </w:r>
      <w:r>
        <w:rPr>
          <w:rStyle w:val="FootnoteReference2"/>
          <w:sz w:val="22"/>
          <w:szCs w:val="22"/>
        </w:rPr>
        <w:footnoteReference w:id="324"/>
      </w:r>
      <w:r w:rsidRPr="00CD7DD8">
        <w:t xml:space="preserve">  USAC implemented a process for recovering funds disbursed in violation </w:t>
      </w:r>
      <w:r w:rsidR="00870163">
        <w:t>of statutory and rule violations and,</w:t>
      </w:r>
      <w:r w:rsidRPr="00CD7DD8">
        <w:t xml:space="preserve"> </w:t>
      </w:r>
      <w:r w:rsidR="00870163">
        <w:t>i</w:t>
      </w:r>
      <w:r w:rsidRPr="00CD7DD8">
        <w:t xml:space="preserve">n 2004, as part of the </w:t>
      </w:r>
      <w:r w:rsidRPr="00CD7DD8">
        <w:rPr>
          <w:rFonts w:ascii="Times New Roman Italic" w:hAnsi="Times New Roman Italic"/>
        </w:rPr>
        <w:t>Schools and Libraries Fifth Report and Order,</w:t>
      </w:r>
      <w:r w:rsidRPr="00CD7DD8">
        <w:t xml:space="preserve"> the Commission largely affirmed and further refined </w:t>
      </w:r>
      <w:r w:rsidR="00870163">
        <w:t xml:space="preserve">USAC’s approach </w:t>
      </w:r>
      <w:r w:rsidRPr="00CD7DD8">
        <w:t xml:space="preserve">when determining what amounts should be recovered by USAC and the Commission when funds have been disbursed in violation of the Commission’s </w:t>
      </w:r>
      <w:r>
        <w:t>E-rate</w:t>
      </w:r>
      <w:r w:rsidRPr="00CD7DD8">
        <w:t xml:space="preserve"> program rules.</w:t>
      </w:r>
      <w:r>
        <w:rPr>
          <w:rStyle w:val="FootnoteReference2"/>
          <w:sz w:val="22"/>
          <w:szCs w:val="22"/>
        </w:rPr>
        <w:footnoteReference w:id="325"/>
      </w:r>
      <w:r w:rsidRPr="00CD7DD8">
        <w:t xml:space="preserve">  The Commission concluded that there are circumstances that warrant full recovery of disbursed funds.  For instance, the Commission found that full recovery is </w:t>
      </w:r>
      <w:r w:rsidRPr="00CD7DD8">
        <w:lastRenderedPageBreak/>
        <w:t>appropriate when the applicant failed to comply with the Commission’s competitive bidding requirements.</w:t>
      </w:r>
      <w:r>
        <w:rPr>
          <w:rStyle w:val="FootnoteReference2"/>
          <w:sz w:val="22"/>
          <w:szCs w:val="22"/>
        </w:rPr>
        <w:footnoteReference w:id="326"/>
      </w:r>
      <w:r w:rsidRPr="00CD7DD8">
        <w:t xml:space="preserve">  The Commission also found that a lack of necessary resources to use the supported services warrants full recovery of funds disbursed for all relevant funding requests.</w:t>
      </w:r>
      <w:r>
        <w:rPr>
          <w:rStyle w:val="FootnoteReference2"/>
          <w:sz w:val="22"/>
          <w:szCs w:val="22"/>
        </w:rPr>
        <w:footnoteReference w:id="327"/>
      </w:r>
      <w:r w:rsidRPr="00CD7DD8">
        <w:t xml:space="preserve">  The Commission recognized, however, that recovery may not be appropriate for violation of some</w:t>
      </w:r>
      <w:r w:rsidR="00755F2D">
        <w:t xml:space="preserve"> </w:t>
      </w:r>
      <w:r w:rsidRPr="00CD7DD8">
        <w:t xml:space="preserve">procedural rules implemented to enhance operation of the </w:t>
      </w:r>
      <w:r>
        <w:t>E-rate</w:t>
      </w:r>
      <w:r w:rsidRPr="00CD7DD8">
        <w:t xml:space="preserve"> program.</w:t>
      </w:r>
      <w:r>
        <w:rPr>
          <w:rStyle w:val="FootnoteReference1"/>
          <w:sz w:val="22"/>
          <w:szCs w:val="22"/>
        </w:rPr>
        <w:footnoteReference w:id="328"/>
      </w:r>
      <w:r w:rsidR="00755F2D">
        <w:t xml:space="preserve">  At the same time, the Commission must comply with federal obligations to recover funding that has been improperly disbursed.</w:t>
      </w:r>
      <w:r w:rsidR="00755F2D">
        <w:rPr>
          <w:rStyle w:val="FootnoteReference"/>
        </w:rPr>
        <w:footnoteReference w:id="329"/>
      </w:r>
      <w:r w:rsidR="00755F2D">
        <w:t xml:space="preserve">    </w:t>
      </w:r>
    </w:p>
    <w:p w14:paraId="15266E69" w14:textId="64ABD0D1" w:rsidR="000627C7" w:rsidRPr="00CD7DD8" w:rsidRDefault="00B60077" w:rsidP="00F47042">
      <w:pPr>
        <w:pStyle w:val="ParaNum"/>
      </w:pPr>
      <w:r w:rsidRPr="00CD7DD8">
        <w:t xml:space="preserve">We recognize the importance of preventing and ferreting out waste, fraud and abuse in the </w:t>
      </w:r>
      <w:r>
        <w:t>E-rate</w:t>
      </w:r>
      <w:r w:rsidRPr="00CD7DD8">
        <w:t xml:space="preserve"> program and believe that strong rules requiring applicants to reimburse USAC if they are found to have violated a statutory obligation </w:t>
      </w:r>
      <w:r>
        <w:t xml:space="preserve">are </w:t>
      </w:r>
      <w:r w:rsidRPr="00CD7DD8">
        <w:t xml:space="preserve">a powerful deterrent to waste, fraud and abuse.  At the same time, as our rules have expanded, the risk to applicants of having USAC or the Commission seek full reimbursement of previously disbursed funds based on a rule or program violation has also grown, and sometimes full reimbursement is not commensurate with the violation incurred.  We therefore seek comment on whether there are certain program violations that warrant reduced recovery or some other punitive measure short of recovery.  For example, would reduced recovery be warranted where an applicant delayed installation of equipment due to human resource limitations or where an applicant </w:t>
      </w:r>
      <w:r>
        <w:t>did not conduct a broadband assessment at the beginning of</w:t>
      </w:r>
      <w:r w:rsidRPr="00CD7DD8">
        <w:t xml:space="preserve"> the full funding year?  </w:t>
      </w:r>
      <w:r>
        <w:t>Are the Commission’s findings that competitive bidding or necessary resources violations require full recovery still appropriate or should we reconsider those findings?</w:t>
      </w:r>
      <w:r w:rsidRPr="00CD7DD8">
        <w:t xml:space="preserve">  Are there appropriate punitive measures we could implement that more closely tie to the improper behavior?  We ask that commenters provide specific scenarios under which they think reduced penalties would be warranted, the rationale supporting reduced recovery under such scenarios, and commenters’ suggestions for how the amount of recovery should be recovered.  We specifically seek comments identifying a bright line approach to determining recovery amounts for rule violations, creating a system of recovery that is fair, predictable, transparent and administratively efficient.</w:t>
      </w:r>
      <w:r>
        <w:t xml:space="preserve">  Furthermore, we seek comment on how the Commission could comply with its legal requirements under such a process.</w:t>
      </w:r>
    </w:p>
    <w:p w14:paraId="7E666A44" w14:textId="77777777" w:rsidR="000627C7" w:rsidRPr="00CD7DD8" w:rsidRDefault="000627C7" w:rsidP="00B9652C">
      <w:pPr>
        <w:pStyle w:val="Heading2"/>
      </w:pPr>
      <w:bookmarkStart w:id="2305" w:name="_Toc352064101"/>
      <w:bookmarkStart w:id="2306" w:name="_Toc352064561"/>
      <w:bookmarkStart w:id="2307" w:name="_Toc352078338"/>
      <w:bookmarkStart w:id="2308" w:name="_Toc352078390"/>
      <w:bookmarkStart w:id="2309" w:name="_Toc352078452"/>
      <w:bookmarkStart w:id="2310" w:name="_Toc352079044"/>
      <w:bookmarkStart w:id="2311" w:name="_Toc352080405"/>
      <w:bookmarkStart w:id="2312" w:name="_Toc352139788"/>
      <w:bookmarkStart w:id="2313" w:name="_Toc354478091"/>
      <w:bookmarkStart w:id="2314" w:name="_Toc354478713"/>
      <w:bookmarkStart w:id="2315" w:name="_Toc354660729"/>
      <w:bookmarkStart w:id="2316" w:name="_Toc358208811"/>
      <w:bookmarkStart w:id="2317" w:name="_Toc358210314"/>
      <w:bookmarkStart w:id="2318" w:name="_Toc358210461"/>
      <w:bookmarkStart w:id="2319" w:name="_Toc358210639"/>
      <w:bookmarkStart w:id="2320" w:name="_Toc358210740"/>
      <w:bookmarkStart w:id="2321" w:name="_Toc358213674"/>
      <w:bookmarkStart w:id="2322" w:name="_Toc358213806"/>
      <w:bookmarkStart w:id="2323" w:name="_Toc358301300"/>
      <w:bookmarkStart w:id="2324" w:name="_Toc358720046"/>
      <w:bookmarkStart w:id="2325" w:name="_Toc358971272"/>
      <w:bookmarkStart w:id="2326" w:name="_Toc358974873"/>
      <w:bookmarkStart w:id="2327" w:name="_Toc358975771"/>
      <w:bookmarkStart w:id="2328" w:name="_Toc358975933"/>
      <w:bookmarkStart w:id="2329" w:name="_Toc358976174"/>
      <w:bookmarkStart w:id="2330" w:name="_Toc358981029"/>
      <w:bookmarkStart w:id="2331" w:name="_Toc358981145"/>
      <w:bookmarkStart w:id="2332" w:name="_Toc358982409"/>
      <w:bookmarkStart w:id="2333" w:name="_Toc358982499"/>
      <w:bookmarkStart w:id="2334" w:name="_Toc359239281"/>
      <w:bookmarkStart w:id="2335" w:name="_Toc359239338"/>
      <w:bookmarkStart w:id="2336" w:name="_Toc359252297"/>
      <w:bookmarkStart w:id="2337" w:name="_Toc359326046"/>
      <w:bookmarkStart w:id="2338" w:name="_Toc359333294"/>
      <w:bookmarkStart w:id="2339" w:name="_Toc359339948"/>
      <w:bookmarkStart w:id="2340" w:name="_Toc359343212"/>
      <w:bookmarkStart w:id="2341" w:name="_Toc359347021"/>
      <w:bookmarkStart w:id="2342" w:name="_Toc359598711"/>
      <w:bookmarkStart w:id="2343" w:name="_Toc359853205"/>
      <w:bookmarkStart w:id="2344" w:name="_Toc359853441"/>
      <w:bookmarkStart w:id="2345" w:name="_Toc359853704"/>
      <w:bookmarkStart w:id="2346" w:name="_Toc359858672"/>
      <w:bookmarkStart w:id="2347" w:name="_Toc359859620"/>
      <w:bookmarkStart w:id="2348" w:name="_Toc359940086"/>
      <w:bookmarkStart w:id="2349" w:name="_Toc360025460"/>
      <w:bookmarkStart w:id="2350" w:name="_Toc360107511"/>
      <w:bookmarkStart w:id="2351" w:name="_Toc360111635"/>
      <w:bookmarkStart w:id="2352" w:name="_Toc360172820"/>
      <w:bookmarkStart w:id="2353" w:name="_Toc360186157"/>
      <w:bookmarkStart w:id="2354" w:name="_Toc360186234"/>
      <w:bookmarkStart w:id="2355" w:name="_Toc360186438"/>
      <w:bookmarkStart w:id="2356" w:name="_Toc360186510"/>
      <w:bookmarkStart w:id="2357" w:name="_Toc360187311"/>
      <w:bookmarkStart w:id="2358" w:name="_Toc360187472"/>
      <w:bookmarkStart w:id="2359" w:name="_Toc360208921"/>
      <w:bookmarkStart w:id="2360" w:name="_Toc360212054"/>
      <w:bookmarkStart w:id="2361" w:name="_Toc361663124"/>
      <w:bookmarkStart w:id="2362" w:name="_Toc361857702"/>
      <w:bookmarkStart w:id="2363" w:name="_Toc361918794"/>
      <w:bookmarkStart w:id="2364" w:name="_Toc362272571"/>
      <w:r w:rsidRPr="00CD7DD8">
        <w:lastRenderedPageBreak/>
        <w:t>Effective Disbursement of Unused Funding</w:t>
      </w:r>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p>
    <w:p w14:paraId="3A07A56B" w14:textId="63721232" w:rsidR="000627C7" w:rsidRPr="00CD7DD8" w:rsidRDefault="000627C7" w:rsidP="00F47042">
      <w:pPr>
        <w:pStyle w:val="ParaNum"/>
      </w:pPr>
      <w:r w:rsidRPr="00CD7DD8">
        <w:t xml:space="preserve">We also propose to improve the administrative efficiency of the </w:t>
      </w:r>
      <w:r>
        <w:t>E-rate</w:t>
      </w:r>
      <w:r w:rsidRPr="00CD7DD8">
        <w:t xml:space="preserve"> program by reducing the amount of unused </w:t>
      </w:r>
      <w:r>
        <w:t>E-rate</w:t>
      </w:r>
      <w:r w:rsidRPr="00CD7DD8">
        <w:t xml:space="preserve"> funding each year.  As discussed above, the demand for </w:t>
      </w:r>
      <w:r>
        <w:t>E-rate</w:t>
      </w:r>
      <w:r w:rsidRPr="00CD7DD8">
        <w:t xml:space="preserve"> supported services far exceeds available funds.</w:t>
      </w:r>
      <w:r w:rsidRPr="00CD7DD8">
        <w:rPr>
          <w:vertAlign w:val="superscript"/>
        </w:rPr>
        <w:footnoteReference w:id="330"/>
      </w:r>
      <w:r w:rsidRPr="00CD7DD8">
        <w:t xml:space="preserve">  Since the start of the program, USAC annually issued funding commitment letters covering funding requests up to the amount of available funds.  However, because applicants do not spend all of the funds for which they receive commitments, a substantial amount of funds remain unused each funding year.  </w:t>
      </w:r>
    </w:p>
    <w:p w14:paraId="5261D74E" w14:textId="335FD437" w:rsidR="000627C7" w:rsidRPr="00CD7DD8" w:rsidRDefault="000627C7" w:rsidP="00F47042">
      <w:pPr>
        <w:pStyle w:val="ParaNum"/>
      </w:pPr>
      <w:bookmarkStart w:id="2365" w:name="_Ref360203402"/>
      <w:r w:rsidRPr="00CD7DD8">
        <w:t xml:space="preserve">The Commission’s approach to the problem has changed over time.  From 1997 to 2003, each year USAC committed up to the $2.25 billion </w:t>
      </w:r>
      <w:r>
        <w:t>E-rate</w:t>
      </w:r>
      <w:r w:rsidRPr="00CD7DD8">
        <w:t xml:space="preserve"> program cap.  This resulted in a large unused balance over time, and actual program disbursements well below $2.25 billion.</w:t>
      </w:r>
      <w:r w:rsidRPr="00CD7DD8">
        <w:rPr>
          <w:rStyle w:val="FootnoteReference"/>
          <w:szCs w:val="22"/>
        </w:rPr>
        <w:footnoteReference w:id="331"/>
      </w:r>
      <w:r w:rsidRPr="00CD7DD8">
        <w:t xml:space="preserve">  Starting in 2003, the Commission allowed USAC to identify unused funds from previous years and issue funding commitment letters in excess of the annual cap supported by those unused funds.</w:t>
      </w:r>
      <w:r w:rsidRPr="00CD7DD8">
        <w:rPr>
          <w:vertAlign w:val="superscript"/>
        </w:rPr>
        <w:footnoteReference w:id="332"/>
      </w:r>
      <w:r w:rsidRPr="00CD7DD8">
        <w:t xml:space="preserve">  This change has allowed </w:t>
      </w:r>
      <w:r w:rsidR="00755F2D">
        <w:t xml:space="preserve">the program </w:t>
      </w:r>
      <w:r w:rsidRPr="00CD7DD8">
        <w:t xml:space="preserve">to increase </w:t>
      </w:r>
      <w:r w:rsidR="00755F2D">
        <w:t xml:space="preserve">the dollar amount of </w:t>
      </w:r>
      <w:r w:rsidRPr="00CD7DD8">
        <w:t xml:space="preserve">commitments each year and, as result, bring actual disbursements more in line with the </w:t>
      </w:r>
      <w:r>
        <w:t>E-rate</w:t>
      </w:r>
      <w:r w:rsidRPr="00CD7DD8">
        <w:t xml:space="preserve"> cap. </w:t>
      </w:r>
      <w:r w:rsidRPr="00B03906">
        <w:t xml:space="preserve"> However, there remain many funding commitments each year for which the applicants do not purchase all or some of the requested services</w:t>
      </w:r>
      <w:r>
        <w:t xml:space="preserve"> and </w:t>
      </w:r>
      <w:r w:rsidRPr="00B03906">
        <w:t xml:space="preserve">consequently a large amount of funding gets carried over on </w:t>
      </w:r>
      <w:r w:rsidR="00755F2D">
        <w:t>the USF</w:t>
      </w:r>
      <w:r w:rsidRPr="00AC64AA">
        <w:t>’</w:t>
      </w:r>
      <w:r w:rsidRPr="00B03906">
        <w:t>s balance sheet year-to-year.</w:t>
      </w:r>
      <w:bookmarkEnd w:id="2365"/>
      <w:r w:rsidRPr="00B03906">
        <w:t xml:space="preserve"> </w:t>
      </w:r>
    </w:p>
    <w:p w14:paraId="28472802" w14:textId="003BFCDB" w:rsidR="000627C7" w:rsidRPr="00CD7DD8" w:rsidRDefault="000D5F97" w:rsidP="00F47042">
      <w:pPr>
        <w:pStyle w:val="ParaNum"/>
      </w:pPr>
      <w:r w:rsidRPr="000D5F97">
        <w:t xml:space="preserve"> </w:t>
      </w:r>
      <w:r>
        <w:t>We seek comment on</w:t>
      </w:r>
      <w:r w:rsidRPr="00CD7DD8">
        <w:t xml:space="preserve"> whether there are</w:t>
      </w:r>
      <w:r w:rsidR="001363BB">
        <w:t xml:space="preserve"> </w:t>
      </w:r>
      <w:r w:rsidR="000627C7" w:rsidRPr="00CD7DD8">
        <w:t>changes we could make to the program to reduce the amount of unused funds.  For example, should we direct USAC to identify applicants that consistently seek and receive funding commitments that substantially exceed the amount of disbursements that USAC ultimately issues and work with those applicants to make their funding requests more accurate?  Should</w:t>
      </w:r>
      <w:r w:rsidR="000627C7">
        <w:t xml:space="preserve"> there be </w:t>
      </w:r>
      <w:r w:rsidR="00B90576">
        <w:t>consequences</w:t>
      </w:r>
      <w:r w:rsidR="000627C7">
        <w:t xml:space="preserve"> for </w:t>
      </w:r>
      <w:r w:rsidR="000627C7" w:rsidRPr="00CD7DD8">
        <w:t xml:space="preserve">applicants who repeatedly seek funding commitments that substantially exceed the amount of </w:t>
      </w:r>
      <w:r w:rsidR="000627C7">
        <w:t>E-rate</w:t>
      </w:r>
      <w:r w:rsidR="000627C7" w:rsidRPr="00CD7DD8">
        <w:t xml:space="preserve"> support they receive?  If so, how would we determine what constitutes commitments that substantially exceed disbursements and what should </w:t>
      </w:r>
      <w:r w:rsidR="000627C7">
        <w:t xml:space="preserve">the </w:t>
      </w:r>
      <w:r w:rsidR="00B90576">
        <w:t>consequences</w:t>
      </w:r>
      <w:r w:rsidR="000627C7" w:rsidRPr="00CD7DD8">
        <w:t xml:space="preserve"> be?  </w:t>
      </w:r>
      <w:r>
        <w:t xml:space="preserve">Is there a risk that such consequences could encourage inefficient or wasteful spending by a school to avoid those consequences, and, if so, how do we reduce or eliminate that risk? </w:t>
      </w:r>
      <w:r w:rsidR="00112767">
        <w:t xml:space="preserve"> </w:t>
      </w:r>
      <w:r w:rsidR="009E3900">
        <w:t xml:space="preserve">In addition, the Commission allows applicants an additional year to implement </w:t>
      </w:r>
      <w:r w:rsidR="009E3900" w:rsidRPr="00B9652C">
        <w:t>non-recurring</w:t>
      </w:r>
      <w:r w:rsidR="009E3900">
        <w:t xml:space="preserve"> services if a funding commitment decision is not issued until after March 1 of the </w:t>
      </w:r>
      <w:r w:rsidR="009E3900">
        <w:lastRenderedPageBreak/>
        <w:t>funding year.</w:t>
      </w:r>
      <w:r w:rsidR="008E7165">
        <w:rPr>
          <w:rStyle w:val="FootnoteReference"/>
        </w:rPr>
        <w:footnoteReference w:id="333"/>
      </w:r>
      <w:r w:rsidR="00755F2D">
        <w:t xml:space="preserve">  We seek comment on whether the delay in the issuance of funding commitments may contribute to the amount of unused funds.  If so, commenters should propose specific ways to adjust the process to eliminate or reduce this issue.  </w:t>
      </w:r>
    </w:p>
    <w:p w14:paraId="4CD69C6F" w14:textId="19C6650D" w:rsidR="000627C7" w:rsidRPr="00CD7DD8" w:rsidRDefault="000627C7" w:rsidP="00F47042">
      <w:pPr>
        <w:pStyle w:val="ParaNum"/>
      </w:pPr>
      <w:bookmarkStart w:id="2366" w:name="_Ref360206981"/>
      <w:r w:rsidRPr="00CD7DD8">
        <w:t xml:space="preserve">We also seek comment on ways to reduce the gap in time between when an applicant knows that it will not use all or some of the funds for which it has received a commitment and when USAC is able to consider those funds rollover funds that can be used the following year.  Currently, </w:t>
      </w:r>
      <w:r>
        <w:t>E-rate</w:t>
      </w:r>
      <w:r w:rsidRPr="00CD7DD8">
        <w:t xml:space="preserve"> participants are advised to check with USAC whether any funds remain on a funding commitment after USAC has paid the associated invoices.</w:t>
      </w:r>
      <w:r w:rsidRPr="00AC64AA">
        <w:rPr>
          <w:vertAlign w:val="superscript"/>
        </w:rPr>
        <w:footnoteReference w:id="334"/>
      </w:r>
      <w:r w:rsidRPr="00B03906">
        <w:t xml:space="preserve">  Applicants are then asked to submit an FCC Form 500 in order to reduce the committed amount on the FRN to the exact amount actually used.</w:t>
      </w:r>
      <w:r w:rsidRPr="00AC64AA">
        <w:rPr>
          <w:vertAlign w:val="superscript"/>
        </w:rPr>
        <w:footnoteReference w:id="335"/>
      </w:r>
      <w:r w:rsidRPr="00B03906">
        <w:t xml:space="preserve">  By reducing its commitment to reflect the actual amount used, USAC will know that these funds can be used in the following funding year.  Otherwise, any unused funding as part of the funding commitment remains outstanding and is unavailable to use in a following funding year.  Should there be a deadline during or immediately following the funding year or invoice period for applicants to notify USAC </w:t>
      </w:r>
      <w:r>
        <w:t>whether they will use the full amount of their funding commitments and if not, how much will be available for future funding commitments?</w:t>
      </w:r>
      <w:r w:rsidRPr="00B03906">
        <w:t xml:space="preserve">  </w:t>
      </w:r>
      <w:r>
        <w:t xml:space="preserve">Are there incentives we can offer to applicants to encourage them to comply with the deadline?  For example, should we direct USAC not to process invoices related to an applicant’s funding requests if, within </w:t>
      </w:r>
      <w:r w:rsidR="00870163">
        <w:t>three</w:t>
      </w:r>
      <w:r>
        <w:t xml:space="preserve"> months after the close of the funding year, the applicant has failed to notify USAC whether it has or does not have unused funds from the preceding funding year?</w:t>
      </w:r>
      <w:r w:rsidRPr="00B03906">
        <w:t xml:space="preserve"> </w:t>
      </w:r>
      <w:r>
        <w:t xml:space="preserve"> </w:t>
      </w:r>
      <w:r w:rsidRPr="00B03906">
        <w:t xml:space="preserve">Should we direct USAC to de-obligate funding six months after the invoicing deadline?  </w:t>
      </w:r>
      <w:r w:rsidR="00870163">
        <w:t xml:space="preserve">Should we consider some other period of time? </w:t>
      </w:r>
      <w:r w:rsidRPr="00B03906">
        <w:t>Should USAC then send notices to the applicants and service providers indicating that those funds have been de-obligated?</w:t>
      </w:r>
      <w:bookmarkEnd w:id="2366"/>
      <w:r w:rsidRPr="00B03906">
        <w:t xml:space="preserve">  </w:t>
      </w:r>
    </w:p>
    <w:p w14:paraId="603C21A5" w14:textId="3771E3D7" w:rsidR="000627C7" w:rsidRPr="00CD7DD8" w:rsidRDefault="000627C7" w:rsidP="00F47042">
      <w:pPr>
        <w:pStyle w:val="ParaNum"/>
      </w:pPr>
      <w:r w:rsidRPr="00B03906">
        <w:t xml:space="preserve">Are there other measures we could implement to more quickly identify unused </w:t>
      </w:r>
      <w:r>
        <w:t>E-rate</w:t>
      </w:r>
      <w:r w:rsidRPr="00B03906">
        <w:t xml:space="preserve"> funds?  For example, should we require applicants to review expenditures halfway through the year to determine if part of the commitment </w:t>
      </w:r>
      <w:r w:rsidR="00112767">
        <w:t xml:space="preserve">will go unused and </w:t>
      </w:r>
      <w:r w:rsidRPr="00B03906">
        <w:t xml:space="preserve">should be returned to USAC </w:t>
      </w:r>
      <w:r w:rsidR="00112767">
        <w:t xml:space="preserve">rather than allowing applicants to wait until </w:t>
      </w:r>
      <w:r w:rsidRPr="00B03906">
        <w:t xml:space="preserve">after </w:t>
      </w:r>
      <w:r w:rsidR="00112767">
        <w:t xml:space="preserve">all </w:t>
      </w:r>
      <w:r w:rsidRPr="00B03906">
        <w:t xml:space="preserve">invoices have been paid?  Should we limit </w:t>
      </w:r>
      <w:r w:rsidRPr="00B03906">
        <w:lastRenderedPageBreak/>
        <w:t xml:space="preserve">the number of invoicing and service delivery extensions?  Are there other steps we can take to encourage or require </w:t>
      </w:r>
      <w:r>
        <w:t>E-rate</w:t>
      </w:r>
      <w:r w:rsidRPr="00B03906">
        <w:t xml:space="preserve"> applicants to identify funding for which they have received funding commitment letters, but will not use?</w:t>
      </w:r>
      <w:r w:rsidR="00112767" w:rsidRPr="00112767">
        <w:t xml:space="preserve"> </w:t>
      </w:r>
      <w:r w:rsidR="00112767">
        <w:t xml:space="preserve"> More broadly, are the other steps we can take to reduce the amount of funding that is rolled-over from year-to-year and/or minimize the time between when funds are collected and when they are disbursed?</w:t>
      </w:r>
    </w:p>
    <w:p w14:paraId="7DE3902D" w14:textId="77777777" w:rsidR="000627C7" w:rsidRPr="00CD7DD8" w:rsidRDefault="000627C7" w:rsidP="00B9652C">
      <w:pPr>
        <w:pStyle w:val="Heading2"/>
      </w:pPr>
      <w:bookmarkStart w:id="2367" w:name="_Toc352064102"/>
      <w:bookmarkStart w:id="2368" w:name="_Toc352064562"/>
      <w:bookmarkStart w:id="2369" w:name="_Toc352078339"/>
      <w:bookmarkStart w:id="2370" w:name="_Toc352078391"/>
      <w:bookmarkStart w:id="2371" w:name="_Toc352078453"/>
      <w:bookmarkStart w:id="2372" w:name="_Toc352079045"/>
      <w:bookmarkStart w:id="2373" w:name="_Toc352080406"/>
      <w:bookmarkStart w:id="2374" w:name="_Toc352139789"/>
      <w:bookmarkStart w:id="2375" w:name="_Toc354478092"/>
      <w:bookmarkStart w:id="2376" w:name="_Toc354478714"/>
      <w:bookmarkStart w:id="2377" w:name="_Toc354660730"/>
      <w:bookmarkStart w:id="2378" w:name="_Toc358208812"/>
      <w:bookmarkStart w:id="2379" w:name="_Toc358210315"/>
      <w:bookmarkStart w:id="2380" w:name="_Toc358210462"/>
      <w:bookmarkStart w:id="2381" w:name="_Toc358210640"/>
      <w:bookmarkStart w:id="2382" w:name="_Toc358210741"/>
      <w:bookmarkStart w:id="2383" w:name="_Toc358213675"/>
      <w:bookmarkStart w:id="2384" w:name="_Toc358213807"/>
      <w:bookmarkStart w:id="2385" w:name="_Toc358301301"/>
      <w:bookmarkStart w:id="2386" w:name="_Toc358720047"/>
      <w:bookmarkStart w:id="2387" w:name="_Toc358971273"/>
      <w:bookmarkStart w:id="2388" w:name="_Toc358974874"/>
      <w:bookmarkStart w:id="2389" w:name="_Toc358975772"/>
      <w:bookmarkStart w:id="2390" w:name="_Toc358975934"/>
      <w:bookmarkStart w:id="2391" w:name="_Toc358976175"/>
      <w:bookmarkStart w:id="2392" w:name="_Toc358981030"/>
      <w:bookmarkStart w:id="2393" w:name="_Toc358981146"/>
      <w:bookmarkStart w:id="2394" w:name="_Toc358982410"/>
      <w:bookmarkStart w:id="2395" w:name="_Toc358982500"/>
      <w:bookmarkStart w:id="2396" w:name="_Toc359239282"/>
      <w:bookmarkStart w:id="2397" w:name="_Toc359239339"/>
      <w:bookmarkStart w:id="2398" w:name="_Toc359252298"/>
      <w:bookmarkStart w:id="2399" w:name="_Toc359326047"/>
      <w:bookmarkStart w:id="2400" w:name="_Toc359333295"/>
      <w:bookmarkStart w:id="2401" w:name="_Toc359339949"/>
      <w:bookmarkStart w:id="2402" w:name="_Toc359343213"/>
      <w:bookmarkStart w:id="2403" w:name="_Toc359347022"/>
      <w:bookmarkStart w:id="2404" w:name="_Toc359598712"/>
      <w:bookmarkStart w:id="2405" w:name="_Toc359853206"/>
      <w:bookmarkStart w:id="2406" w:name="_Toc359853442"/>
      <w:bookmarkStart w:id="2407" w:name="_Toc359853705"/>
      <w:bookmarkStart w:id="2408" w:name="_Toc359858673"/>
      <w:bookmarkStart w:id="2409" w:name="_Toc359859621"/>
      <w:bookmarkStart w:id="2410" w:name="_Toc359940087"/>
      <w:bookmarkStart w:id="2411" w:name="_Toc360025461"/>
      <w:bookmarkStart w:id="2412" w:name="_Toc360107512"/>
      <w:bookmarkStart w:id="2413" w:name="_Toc360111636"/>
      <w:bookmarkStart w:id="2414" w:name="_Toc360172821"/>
      <w:bookmarkStart w:id="2415" w:name="_Toc360186158"/>
      <w:bookmarkStart w:id="2416" w:name="_Toc360186235"/>
      <w:bookmarkStart w:id="2417" w:name="_Toc360186439"/>
      <w:bookmarkStart w:id="2418" w:name="_Toc360186511"/>
      <w:bookmarkStart w:id="2419" w:name="_Toc360187312"/>
      <w:bookmarkStart w:id="2420" w:name="_Toc360187473"/>
      <w:bookmarkStart w:id="2421" w:name="_Toc360208922"/>
      <w:bookmarkStart w:id="2422" w:name="_Toc360212055"/>
      <w:bookmarkStart w:id="2423" w:name="_Toc361663125"/>
      <w:bookmarkStart w:id="2424" w:name="_Toc361857703"/>
      <w:bookmarkStart w:id="2425" w:name="_Toc361918795"/>
      <w:bookmarkStart w:id="2426" w:name="_Toc362272572"/>
      <w:r w:rsidRPr="00B03906">
        <w:t>Invoicing and Disbursement Process</w:t>
      </w:r>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p>
    <w:p w14:paraId="1E1F1B5D" w14:textId="01343B6E" w:rsidR="000627C7" w:rsidRPr="00CD7DD8" w:rsidRDefault="000627C7" w:rsidP="00E001F5">
      <w:pPr>
        <w:pStyle w:val="ParaNum"/>
      </w:pPr>
      <w:r w:rsidRPr="00B03906">
        <w:t xml:space="preserve">In order to maximize administrative efficiency, we now </w:t>
      </w:r>
      <w:r>
        <w:t xml:space="preserve">propose changes to </w:t>
      </w:r>
      <w:r w:rsidRPr="00B03906">
        <w:t xml:space="preserve">improve the </w:t>
      </w:r>
      <w:r>
        <w:t>E-rate</w:t>
      </w:r>
      <w:r w:rsidRPr="00B03906">
        <w:t xml:space="preserve"> disbursement process.  In particular, we </w:t>
      </w:r>
      <w:r>
        <w:t xml:space="preserve">propose to </w:t>
      </w:r>
      <w:r w:rsidRPr="00B03906">
        <w:t xml:space="preserve">modify </w:t>
      </w:r>
      <w:r>
        <w:t xml:space="preserve">our </w:t>
      </w:r>
      <w:r w:rsidRPr="00B03906">
        <w:t xml:space="preserve">process to permit schools and libraries to receive disbursements directly from USAC and </w:t>
      </w:r>
      <w:r>
        <w:t xml:space="preserve">to </w:t>
      </w:r>
      <w:r w:rsidRPr="00B03906">
        <w:t xml:space="preserve">adopt specific invoice deadline and invoice deadline extension rules. </w:t>
      </w:r>
    </w:p>
    <w:p w14:paraId="2A6992EE" w14:textId="565EB879" w:rsidR="000627C7" w:rsidRPr="00CD7DD8" w:rsidRDefault="000627C7" w:rsidP="00392F45">
      <w:pPr>
        <w:pStyle w:val="ParaNum"/>
      </w:pPr>
      <w:r w:rsidRPr="00B03906">
        <w:t xml:space="preserve">Currently, schools and libraries may choose either of two methods of seeking reimbursement for </w:t>
      </w:r>
      <w:r>
        <w:t>E-rate</w:t>
      </w:r>
      <w:r w:rsidRPr="00B03906">
        <w:t xml:space="preserve"> supported services.  An applicant may pay its service provider the full cost of the </w:t>
      </w:r>
      <w:r>
        <w:t>E-rate</w:t>
      </w:r>
      <w:r w:rsidRPr="00B03906">
        <w:t xml:space="preserve"> supported services and then submit to USAC an FCC Form 472, Billed Entity Application for Reimbursement (BEAR) Form.  In the alternative, the applicant may pay the service provider only the applicant</w:t>
      </w:r>
      <w:r w:rsidRPr="00AC64AA">
        <w:t>’</w:t>
      </w:r>
      <w:r w:rsidRPr="00B03906">
        <w:t xml:space="preserve">s portion of the </w:t>
      </w:r>
      <w:r>
        <w:t>E-rate</w:t>
      </w:r>
      <w:r w:rsidRPr="00B03906">
        <w:t xml:space="preserve"> supported services and then the service provider must file an FCC Form 474, Service Provider Invoice Form (SPI form), with USAC to receive reimbursement.</w:t>
      </w:r>
      <w:r w:rsidRPr="00AC64AA">
        <w:rPr>
          <w:vertAlign w:val="superscript"/>
        </w:rPr>
        <w:footnoteReference w:id="336"/>
      </w:r>
      <w:r w:rsidRPr="00B03906">
        <w:t xml:space="preserve">  Regardless of which method the applicant chooses, USAC remits the </w:t>
      </w:r>
      <w:r>
        <w:t>E-rate</w:t>
      </w:r>
      <w:r w:rsidRPr="00B03906">
        <w:t xml:space="preserve"> support paym</w:t>
      </w:r>
      <w:r w:rsidR="006C6CC7">
        <w:t xml:space="preserve">ents to the service provider.  </w:t>
      </w:r>
      <w:r w:rsidRPr="00B03906">
        <w:t>If the applicant is using the BEAR method, the service provider reimburses the applicant, thus requiring coordination between the applicant and service provider in order for the applicant to receive payment.</w:t>
      </w:r>
      <w:r w:rsidRPr="00AC64AA">
        <w:rPr>
          <w:vertAlign w:val="superscript"/>
        </w:rPr>
        <w:footnoteReference w:id="337"/>
      </w:r>
      <w:r w:rsidRPr="00B03906">
        <w:t xml:space="preserve">   </w:t>
      </w:r>
    </w:p>
    <w:p w14:paraId="2F368DA1" w14:textId="62ADF899" w:rsidR="000627C7" w:rsidRPr="001D6BAC" w:rsidRDefault="000627C7">
      <w:pPr>
        <w:pStyle w:val="ParaNum"/>
      </w:pPr>
      <w:r w:rsidRPr="00B03906">
        <w:t xml:space="preserve">The Commission established the current reimbursement system in the </w:t>
      </w:r>
      <w:r w:rsidR="008B26A2">
        <w:rPr>
          <w:i/>
        </w:rPr>
        <w:t>Universal Service First Report and Order</w:t>
      </w:r>
      <w:r w:rsidRPr="00B03906">
        <w:t>, concluding that service providers, rather that schools and libraries, should seek compensation from USAC for “administrative ease.”</w:t>
      </w:r>
      <w:r w:rsidRPr="00AC64AA">
        <w:rPr>
          <w:color w:val="000000"/>
          <w:vertAlign w:val="superscript"/>
        </w:rPr>
        <w:footnoteReference w:id="338"/>
      </w:r>
      <w:r w:rsidRPr="00B03906">
        <w:t xml:space="preserve">  We </w:t>
      </w:r>
      <w:r w:rsidR="00112767">
        <w:t xml:space="preserve">seek comment on adopting </w:t>
      </w:r>
      <w:r w:rsidRPr="00B03906">
        <w:t xml:space="preserve">a revised disbursement process that allows applicants, paying the full cost of the services under the BEAR process, to receive direct reimbursement from USAC.  Under this proposal, the service </w:t>
      </w:r>
      <w:r w:rsidRPr="00B03906">
        <w:lastRenderedPageBreak/>
        <w:t xml:space="preserve">provider would no longer serve as the pass-through for the reimbursement of funds where an applicant has paid the service provider in full for the services.  Where an </w:t>
      </w:r>
      <w:r w:rsidRPr="00B03906">
        <w:rPr>
          <w:color w:val="000000"/>
        </w:rPr>
        <w:t>applicant, however, pays only the reduced cost of the services directly to the service provider, then the service provider will continue to file a SPI form with USAC to receive reimbursement.</w:t>
      </w:r>
      <w:r w:rsidRPr="00B03906">
        <w:t xml:space="preserve">  We seek comment on whether making direct payments to applicants under the BEAR process would simplify the </w:t>
      </w:r>
      <w:r>
        <w:t>E-rate</w:t>
      </w:r>
      <w:r w:rsidRPr="00B03906">
        <w:t xml:space="preserve"> disbursement process for applicants and service providers by removing a step in the process.  One of the </w:t>
      </w:r>
      <w:r>
        <w:t>E-rate</w:t>
      </w:r>
      <w:r w:rsidRPr="00B03906">
        <w:t xml:space="preserve"> program goals proposed above is to </w:t>
      </w:r>
      <w:r w:rsidR="0012607F">
        <w:t>streamline the administration</w:t>
      </w:r>
      <w:r w:rsidRPr="00B03906">
        <w:t xml:space="preserve"> of the program.  We seek comment on whether this change would improve the efficiency of the program by minimizing unnecessary delays in the disbursement process due to an applicant</w:t>
      </w:r>
      <w:r w:rsidRPr="00AC64AA">
        <w:t>’</w:t>
      </w:r>
      <w:r w:rsidRPr="00B03906">
        <w:t xml:space="preserve">s request to review bills before the service </w:t>
      </w:r>
      <w:r w:rsidRPr="00372DAB">
        <w:t>provider(s) submits the bills to USAC for payment.  We also seek comment on whether there would be other consequences to applicants, service providers and the program from making such changes t</w:t>
      </w:r>
      <w:r w:rsidRPr="001B38D8">
        <w:t>o our rules.</w:t>
      </w:r>
      <w:r w:rsidR="00755F2D" w:rsidRPr="00712677">
        <w:t xml:space="preserve">  For example, if we move the CIPA certifications to another form, would applicants using the BEAR process and seeking reimbursement direc</w:t>
      </w:r>
      <w:r w:rsidR="00755F2D" w:rsidRPr="001D6BAC">
        <w:t>tly need to submit an FCC Form 486?</w:t>
      </w:r>
    </w:p>
    <w:p w14:paraId="7AB26750" w14:textId="7740C943" w:rsidR="000627C7" w:rsidRPr="001B38D8" w:rsidRDefault="000627C7">
      <w:pPr>
        <w:pStyle w:val="ParaNum"/>
        <w:rPr>
          <w:szCs w:val="22"/>
        </w:rPr>
      </w:pPr>
      <w:bookmarkStart w:id="2427" w:name="_Ref360207144"/>
      <w:r w:rsidRPr="001D6BAC">
        <w:t xml:space="preserve">We next seek comment on whether the Communications Act creates any barriers to the payment of universal service funds directly to E-rate applicants.  We note that </w:t>
      </w:r>
      <w:r w:rsidR="009B7B0A">
        <w:t>s</w:t>
      </w:r>
      <w:r w:rsidRPr="001D6BAC">
        <w:t xml:space="preserve">ection 254 of the Act gives the Commission broad discretion in designing the E-rate program, and </w:t>
      </w:r>
      <w:r w:rsidRPr="001D6BAC">
        <w:rPr>
          <w:szCs w:val="22"/>
        </w:rPr>
        <w:t>that section 254(h)(1)(B) requires that a carrier serving a school or library either apply the amount of the E-rate discount as an offset to its universal service contribution obligations or shall be reimbursed for that amount utilizing universal service support mechanisms.</w:t>
      </w:r>
      <w:r w:rsidRPr="001D6BAC">
        <w:rPr>
          <w:rStyle w:val="FootnoteReference"/>
          <w:szCs w:val="22"/>
        </w:rPr>
        <w:footnoteReference w:id="339"/>
      </w:r>
      <w:r w:rsidRPr="00372DAB">
        <w:rPr>
          <w:szCs w:val="22"/>
        </w:rPr>
        <w:t xml:space="preserve">  One possible interpretation of that provision is that a carrier must receive any universal service support for discounted services it provides to schools or libraries.  On the other hand, the </w:t>
      </w:r>
      <w:r w:rsidR="008B26A2">
        <w:rPr>
          <w:i/>
        </w:rPr>
        <w:t xml:space="preserve">Universal Service First Report and Order </w:t>
      </w:r>
      <w:r w:rsidRPr="00712677">
        <w:rPr>
          <w:szCs w:val="22"/>
        </w:rPr>
        <w:t>suggested that schools and libraries could directly receive universal service support, although it declined to adopt such an approach for policy reasons.</w:t>
      </w:r>
      <w:r w:rsidRPr="001D6BAC">
        <w:rPr>
          <w:rStyle w:val="FootnoteReference"/>
          <w:szCs w:val="22"/>
        </w:rPr>
        <w:footnoteReference w:id="340"/>
      </w:r>
      <w:r w:rsidRPr="00372DAB">
        <w:rPr>
          <w:szCs w:val="22"/>
        </w:rPr>
        <w:t xml:space="preserve">  In addition, the Fifth Circuit upheld the Commission’s authority under sections 4(i) and 254(h)(2)(A) to provide support outside the </w:t>
      </w:r>
      <w:r w:rsidRPr="001B38D8">
        <w:rPr>
          <w:szCs w:val="22"/>
        </w:rPr>
        <w:t>express framework of section 254(h)(1)(B).</w:t>
      </w:r>
      <w:r w:rsidRPr="001D6BAC">
        <w:rPr>
          <w:rStyle w:val="FootnoteReference"/>
          <w:szCs w:val="22"/>
        </w:rPr>
        <w:footnoteReference w:id="341"/>
      </w:r>
      <w:r w:rsidRPr="00372DAB">
        <w:rPr>
          <w:szCs w:val="22"/>
        </w:rPr>
        <w:t xml:space="preserve">  We seek comment on the possible interpretations </w:t>
      </w:r>
      <w:r w:rsidRPr="00372DAB">
        <w:rPr>
          <w:szCs w:val="22"/>
        </w:rPr>
        <w:lastRenderedPageBreak/>
        <w:t>of section 254 in this regard.  If</w:t>
      </w:r>
      <w:r w:rsidRPr="001B38D8">
        <w:t xml:space="preserve"> the only requirement in the Act regarding reimbursement is that the service provid</w:t>
      </w:r>
      <w:r w:rsidRPr="00712677">
        <w:t>er be made whole</w:t>
      </w:r>
      <w:r w:rsidRPr="00712677">
        <w:rPr>
          <w:szCs w:val="22"/>
        </w:rPr>
        <w:t>, we believe</w:t>
      </w:r>
      <w:r w:rsidR="00C10A66" w:rsidRPr="001D6BAC">
        <w:rPr>
          <w:szCs w:val="22"/>
        </w:rPr>
        <w:t xml:space="preserve"> modifying</w:t>
      </w:r>
      <w:r w:rsidRPr="001D6BAC">
        <w:rPr>
          <w:szCs w:val="22"/>
        </w:rPr>
        <w:t xml:space="preserve"> the current BEAR process</w:t>
      </w:r>
      <w:r w:rsidR="00C10A66" w:rsidRPr="001D6BAC">
        <w:rPr>
          <w:szCs w:val="22"/>
        </w:rPr>
        <w:t xml:space="preserve">, to allow USAC to reimburse the applicant directly would </w:t>
      </w:r>
      <w:r w:rsidRPr="001D6BAC">
        <w:rPr>
          <w:szCs w:val="22"/>
        </w:rPr>
        <w:t>provide</w:t>
      </w:r>
      <w:r w:rsidR="004B768B" w:rsidRPr="001D6BAC">
        <w:rPr>
          <w:szCs w:val="22"/>
        </w:rPr>
        <w:t xml:space="preserve"> </w:t>
      </w:r>
      <w:r w:rsidRPr="001D6BAC">
        <w:rPr>
          <w:szCs w:val="22"/>
        </w:rPr>
        <w:t>sufficient documentation to demonstrate that the applicant has fully paid for the requested services and is entitled to direct reimbursement from USAC</w:t>
      </w:r>
      <w:r w:rsidRPr="001D6BAC">
        <w:t xml:space="preserve">.  </w:t>
      </w:r>
      <w:r w:rsidR="00C10A66" w:rsidRPr="001D6BAC">
        <w:t>As it currently</w:t>
      </w:r>
      <w:r w:rsidR="006D37E6" w:rsidRPr="001D6BAC">
        <w:t xml:space="preserve"> </w:t>
      </w:r>
      <w:r w:rsidR="00C10A66" w:rsidRPr="001D6BAC">
        <w:t>exists, t</w:t>
      </w:r>
      <w:r w:rsidRPr="001D6BAC">
        <w:t xml:space="preserve">he BEAR process satisfies that provision of the Act because the BEAR form requires the applicant </w:t>
      </w:r>
      <w:r w:rsidRPr="001D6BAC">
        <w:rPr>
          <w:szCs w:val="22"/>
        </w:rPr>
        <w:t xml:space="preserve">to certify that </w:t>
      </w:r>
      <w:r w:rsidR="00C10A66" w:rsidRPr="001D6BAC">
        <w:rPr>
          <w:szCs w:val="22"/>
        </w:rPr>
        <w:t xml:space="preserve">it </w:t>
      </w:r>
      <w:r w:rsidRPr="00372DAB">
        <w:rPr>
          <w:szCs w:val="22"/>
        </w:rPr>
        <w:t>has made full payment to the service provider.</w:t>
      </w:r>
      <w:r w:rsidRPr="001D6BAC">
        <w:rPr>
          <w:szCs w:val="22"/>
          <w:vertAlign w:val="superscript"/>
        </w:rPr>
        <w:footnoteReference w:id="342"/>
      </w:r>
      <w:r w:rsidRPr="00372DAB">
        <w:rPr>
          <w:szCs w:val="22"/>
        </w:rPr>
        <w:t xml:space="preserve">  Moreover, the service provider currently signs the BEAR form to indicate that all obligations have been met.</w:t>
      </w:r>
      <w:r w:rsidRPr="001D6BAC">
        <w:rPr>
          <w:szCs w:val="22"/>
          <w:vertAlign w:val="superscript"/>
        </w:rPr>
        <w:footnoteReference w:id="343"/>
      </w:r>
      <w:r w:rsidRPr="00372DAB">
        <w:rPr>
          <w:szCs w:val="22"/>
        </w:rPr>
        <w:t xml:space="preserve">  </w:t>
      </w:r>
      <w:r w:rsidRPr="00712677">
        <w:rPr>
          <w:szCs w:val="22"/>
        </w:rPr>
        <w:t xml:space="preserve">We </w:t>
      </w:r>
      <w:r w:rsidR="00C10A66" w:rsidRPr="001D6BAC">
        <w:rPr>
          <w:szCs w:val="22"/>
        </w:rPr>
        <w:t xml:space="preserve">invite </w:t>
      </w:r>
      <w:r w:rsidRPr="001B38D8">
        <w:rPr>
          <w:szCs w:val="22"/>
        </w:rPr>
        <w:t>comment on these views.</w:t>
      </w:r>
      <w:bookmarkEnd w:id="2427"/>
      <w:r w:rsidRPr="00712677">
        <w:rPr>
          <w:szCs w:val="22"/>
        </w:rPr>
        <w:t xml:space="preserve"> </w:t>
      </w:r>
    </w:p>
    <w:p w14:paraId="0B97E452" w14:textId="1477DB39" w:rsidR="000627C7" w:rsidRPr="00712677" w:rsidRDefault="000627C7">
      <w:pPr>
        <w:pStyle w:val="ParaNum"/>
        <w:rPr>
          <w:szCs w:val="22"/>
        </w:rPr>
      </w:pPr>
      <w:bookmarkStart w:id="2428" w:name="_Ref360207149"/>
      <w:r w:rsidRPr="001B38D8">
        <w:t xml:space="preserve">We next ask whether there are additional improvements that could be made to the </w:t>
      </w:r>
      <w:r w:rsidR="00755F2D" w:rsidRPr="00712677">
        <w:t xml:space="preserve">invoicing process or certifications that are required on the invoicing forms, FCC Form 472 and FCC Form 474. </w:t>
      </w:r>
      <w:r w:rsidR="008F6B91">
        <w:t xml:space="preserve"> </w:t>
      </w:r>
      <w:r w:rsidRPr="0070554E">
        <w:t xml:space="preserve">Currently, service providers must make a </w:t>
      </w:r>
      <w:r w:rsidRPr="00F47042">
        <w:t>certification each time it files an FCC Form 472, resulting in some large service providers having to submit thousands of certifications each year.  We seek comment on whether the FCC Form 473, the Service Provider Annual Certification Form, should incorporate Block 4 of the FCC Form 472 BEAR form to include the current service provider acknowledgement certifications in Block 4 of the current FCC Form 472, or if there are other approaches that would improve the administrative process while still adequately protecting against waste, fraud, and abuse.</w:t>
      </w:r>
      <w:r w:rsidR="008F6B91">
        <w:rPr>
          <w:rStyle w:val="FootnoteReference"/>
        </w:rPr>
        <w:footnoteReference w:id="344"/>
      </w:r>
      <w:r w:rsidRPr="00F47042">
        <w:t xml:space="preserve">  </w:t>
      </w:r>
      <w:r w:rsidR="001D6BAC" w:rsidRPr="001D6BAC">
        <w:t>Are there other certifications or components of the invoicing forms that should be revised in order to improve administrative efficiency or protect against waste, fraud</w:t>
      </w:r>
      <w:r w:rsidR="008B26A2">
        <w:t>,</w:t>
      </w:r>
      <w:r w:rsidR="001D6BAC" w:rsidRPr="001D6BAC">
        <w:t xml:space="preserve"> and abuse?  In its 2010 report, </w:t>
      </w:r>
      <w:r w:rsidR="008B26A2">
        <w:t xml:space="preserve">the </w:t>
      </w:r>
      <w:r w:rsidR="001D6BAC" w:rsidRPr="001D6BAC">
        <w:t>GAO noted that USAC did not compare actual bills to the invoices before disbursing funding.</w:t>
      </w:r>
      <w:r w:rsidR="008E7165">
        <w:rPr>
          <w:rStyle w:val="FootnoteReference"/>
        </w:rPr>
        <w:footnoteReference w:id="345"/>
      </w:r>
      <w:r w:rsidR="001D6BAC" w:rsidRPr="001D6BAC">
        <w:t xml:space="preserve">  Should USAC require additional documentation to be filed with the invoices in some instances?  Should we require that applicants approve a service provider invoice prior to reimbursement?</w:t>
      </w:r>
      <w:bookmarkEnd w:id="2428"/>
      <w:r w:rsidR="001D6BAC" w:rsidRPr="001D6BAC">
        <w:t xml:space="preserve">    </w:t>
      </w:r>
      <w:r w:rsidRPr="0070554E">
        <w:t xml:space="preserve"> </w:t>
      </w:r>
    </w:p>
    <w:p w14:paraId="00522645" w14:textId="7472E0ED" w:rsidR="006D37E6" w:rsidRPr="008F6B91" w:rsidRDefault="000627C7">
      <w:pPr>
        <w:pStyle w:val="ParaNum"/>
      </w:pPr>
      <w:bookmarkStart w:id="2429" w:name="_Ref360207225"/>
      <w:r w:rsidRPr="001B38D8">
        <w:t>We also seek comment on whether we should codify the invoice deadlines and deadlines for request</w:t>
      </w:r>
      <w:r w:rsidRPr="00712677">
        <w:t>s for an extension of the invoice deadline.</w:t>
      </w:r>
      <w:r>
        <w:t xml:space="preserve">  </w:t>
      </w:r>
      <w:r w:rsidRPr="00F47042">
        <w:rPr>
          <w:rStyle w:val="documentbody1"/>
          <w:rFonts w:ascii="Times New Roman" w:hAnsi="Times New Roman"/>
          <w:color w:val="000000"/>
          <w:sz w:val="22"/>
          <w:szCs w:val="22"/>
        </w:rPr>
        <w:t>Although the deadline for filing the FCC Form 472 and the FCC Form 474 has been the same, the actual day of the deadline has varied.</w:t>
      </w:r>
      <w:r w:rsidRPr="00790403">
        <w:rPr>
          <w:rStyle w:val="FootnoteReference"/>
          <w:color w:val="000000"/>
          <w:szCs w:val="22"/>
        </w:rPr>
        <w:footnoteReference w:id="346"/>
      </w:r>
      <w:r w:rsidRPr="00F47042">
        <w:rPr>
          <w:rStyle w:val="documentbody1"/>
          <w:rFonts w:ascii="Times New Roman" w:hAnsi="Times New Roman"/>
          <w:color w:val="000000"/>
          <w:sz w:val="22"/>
          <w:szCs w:val="22"/>
        </w:rPr>
        <w:t xml:space="preserve">  Specifically, since the 2003-</w:t>
      </w:r>
      <w:r w:rsidRPr="00F47042">
        <w:rPr>
          <w:rStyle w:val="documentbody1"/>
          <w:rFonts w:ascii="Times New Roman" w:hAnsi="Times New Roman"/>
          <w:color w:val="000000"/>
          <w:sz w:val="22"/>
          <w:szCs w:val="22"/>
        </w:rPr>
        <w:lastRenderedPageBreak/>
        <w:t>2004 funding year, the relevant invoice forms must be postmarked or received by USAC no later than 120 days after the date of the FCC Form 486 NL or 120 days after the last day to receive service, whichever is later.</w:t>
      </w:r>
      <w:r w:rsidRPr="00790403">
        <w:rPr>
          <w:rStyle w:val="FootnoteReference"/>
          <w:color w:val="000000"/>
          <w:szCs w:val="22"/>
        </w:rPr>
        <w:footnoteReference w:id="347"/>
      </w:r>
      <w:r w:rsidRPr="00F47042">
        <w:rPr>
          <w:rStyle w:val="documentbody1"/>
          <w:rFonts w:ascii="Times New Roman" w:hAnsi="Times New Roman"/>
          <w:color w:val="000000"/>
          <w:sz w:val="22"/>
          <w:szCs w:val="22"/>
        </w:rPr>
        <w:t xml:space="preserve">  A grant of a request for an extension of the filing deadline provides an applicant with an additional 120 days to submit the relevant invoice forms.</w:t>
      </w:r>
      <w:r w:rsidRPr="00F47042">
        <w:rPr>
          <w:rStyle w:val="documentbody1"/>
          <w:rFonts w:ascii="Times New Roman" w:hAnsi="Times New Roman"/>
          <w:sz w:val="22"/>
          <w:szCs w:val="22"/>
        </w:rPr>
        <w:t xml:space="preserve">  </w:t>
      </w:r>
      <w:r w:rsidRPr="00790403">
        <w:t xml:space="preserve">In the </w:t>
      </w:r>
      <w:r w:rsidRPr="00790403">
        <w:rPr>
          <w:i/>
        </w:rPr>
        <w:t xml:space="preserve">Schools and Libraries </w:t>
      </w:r>
      <w:r w:rsidR="00900C83">
        <w:rPr>
          <w:i/>
        </w:rPr>
        <w:t>Third Report and Order</w:t>
      </w:r>
      <w:r w:rsidRPr="00790403">
        <w:t xml:space="preserve">, </w:t>
      </w:r>
      <w:r w:rsidRPr="005D3EFD">
        <w:t>the Commission sought comment as to whether the Commission should codify rules establishing deadlines for service providers to file invoices with USAC and whether USAC’s existing policy to deny support for untimely filed invoices, except in limited circumstances, should be codified.</w:t>
      </w:r>
      <w:r w:rsidRPr="005D3EFD">
        <w:rPr>
          <w:rStyle w:val="FootnoteReference"/>
          <w:szCs w:val="22"/>
        </w:rPr>
        <w:footnoteReference w:id="348"/>
      </w:r>
      <w:bookmarkEnd w:id="2429"/>
      <w:r w:rsidR="008F6B91">
        <w:t xml:space="preserve"> </w:t>
      </w:r>
    </w:p>
    <w:p w14:paraId="1E8CFE0B" w14:textId="762BCD12" w:rsidR="006D37E6" w:rsidRPr="00B16924" w:rsidRDefault="000627C7" w:rsidP="00DA25DB">
      <w:pPr>
        <w:pStyle w:val="ParaNum"/>
        <w:rPr>
          <w:szCs w:val="22"/>
        </w:rPr>
      </w:pPr>
      <w:r w:rsidRPr="00372DAB">
        <w:t>We now seek to refresh the record and seek comment on whether</w:t>
      </w:r>
      <w:r w:rsidRPr="00712677">
        <w:t xml:space="preserve"> to</w:t>
      </w:r>
      <w:r w:rsidRPr="0070554E">
        <w:t xml:space="preserve"> </w:t>
      </w:r>
      <w:r w:rsidRPr="00F47042">
        <w:t>revise our rules to automatically grant, upon request by the applicant, a one-time 120-day extension of the filing deadline for both recurring and non-recurring services to allow applicants the additional time to submit the invoice form</w:t>
      </w:r>
      <w:r w:rsidR="008B26A2">
        <w:t>.</w:t>
      </w:r>
      <w:r w:rsidRPr="00F47042">
        <w:t xml:space="preserve"> </w:t>
      </w:r>
      <w:r w:rsidR="008B26A2">
        <w:t xml:space="preserve"> </w:t>
      </w:r>
      <w:r w:rsidR="00D15834">
        <w:t xml:space="preserve">Applicants who receive this one-time 120-day extension would be required to show good cause for additional extensions to limit the amount of time taken for application processing.  </w:t>
      </w:r>
      <w:r w:rsidRPr="00F47042">
        <w:t xml:space="preserve">Should we also direct USAC to inform applicants promptly in writing if an invoice form is not received by the initial 120-day deadline?  Applicants would then have 15 calendar days from the date of receipt of this written notice to file the relevant invoice form and necessary documentation or request a one-time 120-day extension of the invoice deadline. </w:t>
      </w:r>
      <w:r w:rsidR="00104952">
        <w:t xml:space="preserve"> </w:t>
      </w:r>
      <w:r w:rsidRPr="00AB168E">
        <w:rPr>
          <w:rStyle w:val="StyleNumberedparagraphs11ptChar"/>
        </w:rPr>
        <w:t xml:space="preserve">We </w:t>
      </w:r>
      <w:r w:rsidRPr="005D3EFD">
        <w:rPr>
          <w:rStyle w:val="StyleNumberedparagraphs11ptChar"/>
          <w:szCs w:val="22"/>
        </w:rPr>
        <w:t>believe these actions appropriately place responsibility to submit the invoice forms with E-rate participants while ensuring the goals of section 254 are realized.</w:t>
      </w:r>
      <w:r w:rsidRPr="005D3EFD">
        <w:rPr>
          <w:rStyle w:val="FootnoteReference"/>
          <w:szCs w:val="22"/>
        </w:rPr>
        <w:footnoteReference w:id="349"/>
      </w:r>
      <w:r w:rsidRPr="005D3EFD">
        <w:rPr>
          <w:rStyle w:val="StyleNumberedparagraphs11ptChar"/>
          <w:szCs w:val="22"/>
        </w:rPr>
        <w:t xml:space="preserve">  Additionally,</w:t>
      </w:r>
      <w:r w:rsidRPr="00AB168E">
        <w:rPr>
          <w:rStyle w:val="StyleNumberedparagraphs11ptChar"/>
        </w:rPr>
        <w:t xml:space="preserve"> adopting rules </w:t>
      </w:r>
      <w:r w:rsidRPr="005D3EFD">
        <w:rPr>
          <w:rStyle w:val="StyleNumberedparagraphs11ptChar"/>
          <w:szCs w:val="22"/>
        </w:rPr>
        <w:t>to establish</w:t>
      </w:r>
      <w:r w:rsidRPr="00AB168E">
        <w:rPr>
          <w:rStyle w:val="StyleNumberedparagraphs11ptChar"/>
        </w:rPr>
        <w:t xml:space="preserve"> deadlines for </w:t>
      </w:r>
      <w:r w:rsidRPr="00AB168E">
        <w:rPr>
          <w:rStyle w:val="StyleNumberedparagraphs11ptChar"/>
        </w:rPr>
        <w:lastRenderedPageBreak/>
        <w:t xml:space="preserve">the submission of invoices and requests for an extension of the invoice deadline </w:t>
      </w:r>
      <w:r w:rsidRPr="005D3EFD">
        <w:rPr>
          <w:rStyle w:val="StyleNumberedparagraphs11ptChar"/>
          <w:szCs w:val="22"/>
        </w:rPr>
        <w:t>should</w:t>
      </w:r>
      <w:r w:rsidRPr="00AB168E">
        <w:rPr>
          <w:rStyle w:val="StyleNumberedparagraphs11ptChar"/>
        </w:rPr>
        <w:t xml:space="preserve"> help</w:t>
      </w:r>
      <w:r w:rsidRPr="005D3EFD">
        <w:rPr>
          <w:rStyle w:val="StyleNumberedparagraphs11ptChar"/>
          <w:szCs w:val="22"/>
        </w:rPr>
        <w:t xml:space="preserve"> to</w:t>
      </w:r>
      <w:r w:rsidRPr="00AB168E">
        <w:rPr>
          <w:rStyle w:val="StyleNumberedparagraphs11ptChar"/>
        </w:rPr>
        <w:t xml:space="preserve"> decrease the processing </w:t>
      </w:r>
      <w:r w:rsidRPr="00372DAB">
        <w:t>time for invoices and reduce the number of outstanding unpaid invoices.  T</w:t>
      </w:r>
      <w:r w:rsidRPr="005D3EFD">
        <w:rPr>
          <w:rStyle w:val="StyleNumberedparagraphs11ptChar"/>
          <w:szCs w:val="22"/>
        </w:rPr>
        <w:t xml:space="preserve">he 15-day period should be sufficient time to submit any invoice forms that were untimely filed due to technical difficulties or clerical errors.  </w:t>
      </w:r>
      <w:r w:rsidRPr="00F47042">
        <w:rPr>
          <w:rStyle w:val="documentbody1"/>
          <w:rFonts w:ascii="Times New Roman" w:hAnsi="Times New Roman"/>
          <w:sz w:val="22"/>
          <w:szCs w:val="22"/>
        </w:rPr>
        <w:t xml:space="preserve">Therefore, we believe this additional opportunity to file the relevant invoice form </w:t>
      </w:r>
      <w:r w:rsidRPr="005D3EFD">
        <w:rPr>
          <w:rStyle w:val="StyleNumberedparagraphs11ptChar"/>
          <w:szCs w:val="22"/>
        </w:rPr>
        <w:t xml:space="preserve">will improve the </w:t>
      </w:r>
      <w:r w:rsidRPr="00F47042">
        <w:rPr>
          <w:rStyle w:val="documentbody1"/>
          <w:rFonts w:ascii="Times New Roman" w:hAnsi="Times New Roman"/>
          <w:sz w:val="22"/>
          <w:szCs w:val="22"/>
        </w:rPr>
        <w:t xml:space="preserve">efficiency and effectiveness </w:t>
      </w:r>
      <w:r w:rsidRPr="005D3EFD">
        <w:rPr>
          <w:rStyle w:val="StyleNumberedparagraphs11ptChar"/>
          <w:szCs w:val="22"/>
        </w:rPr>
        <w:t>of the Fund.  We thus seek comment on this proposal.</w:t>
      </w:r>
      <w:r w:rsidR="006D37E6">
        <w:t xml:space="preserve">  </w:t>
      </w:r>
      <w:r w:rsidRPr="005D3EFD">
        <w:t>W</w:t>
      </w:r>
      <w:r w:rsidRPr="00372DAB">
        <w:t xml:space="preserve">e note that any rules we adopt on invoicing deadlines should conform to proposals aimed at reducing unused funds.  For instance, we also seeking comment in this NPRM on whether USAC should be directed to de-obligate funding six months, or some </w:t>
      </w:r>
      <w:r w:rsidRPr="001B38D8">
        <w:t>other period of time, after the invoicing deadline.</w:t>
      </w:r>
      <w:r w:rsidRPr="005D3EFD">
        <w:rPr>
          <w:vertAlign w:val="superscript"/>
        </w:rPr>
        <w:footnoteReference w:id="350"/>
      </w:r>
    </w:p>
    <w:p w14:paraId="3493B304" w14:textId="6C2300DE" w:rsidR="00B16924" w:rsidRDefault="00B16924" w:rsidP="00B9652C">
      <w:pPr>
        <w:pStyle w:val="Heading2"/>
      </w:pPr>
      <w:bookmarkStart w:id="2430" w:name="_Toc360025462"/>
      <w:bookmarkStart w:id="2431" w:name="_Toc360107513"/>
      <w:bookmarkStart w:id="2432" w:name="_Toc360111637"/>
      <w:bookmarkStart w:id="2433" w:name="_Toc360172822"/>
      <w:bookmarkStart w:id="2434" w:name="_Toc360186159"/>
      <w:bookmarkStart w:id="2435" w:name="_Toc360186236"/>
      <w:bookmarkStart w:id="2436" w:name="_Toc360186440"/>
      <w:bookmarkStart w:id="2437" w:name="_Toc360186512"/>
      <w:bookmarkStart w:id="2438" w:name="_Toc360187313"/>
      <w:bookmarkStart w:id="2439" w:name="_Toc360187474"/>
      <w:bookmarkStart w:id="2440" w:name="_Toc360208923"/>
      <w:bookmarkStart w:id="2441" w:name="_Toc360212056"/>
      <w:bookmarkStart w:id="2442" w:name="_Toc361663126"/>
      <w:bookmarkStart w:id="2443" w:name="_Toc361857704"/>
      <w:bookmarkStart w:id="2444" w:name="_Toc361918796"/>
      <w:bookmarkStart w:id="2445" w:name="_Toc362272573"/>
      <w:r>
        <w:t>Streamlining E-rate Appeal Process</w:t>
      </w:r>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p>
    <w:p w14:paraId="7E559A2E" w14:textId="77777777" w:rsidR="004062D4" w:rsidRDefault="004062D4" w:rsidP="004062D4">
      <w:pPr>
        <w:pStyle w:val="ParaNum"/>
      </w:pPr>
      <w:r>
        <w:t xml:space="preserve">We seek comment on how to further improve and streamline the Commission’s E-rate appeal process.  During the last three years, the Commission has made a concerted effort to reduce the backlog of E-rate appeals and has issued orders addressing more than 1,200 appeals.  However, a backlog remains, including requests that have been pending for years, and we continue to receive many new appeals every month.  We recognize that with a program attracting over 46,000 applications each year, appeals are inevitable.  At the same time, we recognize that certainty about the outcome of appeals benefits both applicants and the program as a whole, and we therefore invite comment on how to streamline the E-rate appeals process. </w:t>
      </w:r>
    </w:p>
    <w:p w14:paraId="3508CDFF" w14:textId="26BC0402" w:rsidR="004062D4" w:rsidRDefault="004062D4" w:rsidP="004062D4">
      <w:pPr>
        <w:pStyle w:val="ParaNum"/>
      </w:pPr>
      <w:r>
        <w:t>Currently E-rate applicants that are denied funding and parties from whom USAC seeks return of money for violating E-rate program rules, can seek review of a USAC decision by USAC or by the Commission.</w:t>
      </w:r>
      <w:r>
        <w:rPr>
          <w:rStyle w:val="FootnoteReference"/>
        </w:rPr>
        <w:footnoteReference w:id="351"/>
      </w:r>
      <w:r>
        <w:t xml:space="preserve">  If a party seeks </w:t>
      </w:r>
      <w:r w:rsidR="008B26A2">
        <w:t xml:space="preserve">Commission </w:t>
      </w:r>
      <w:r>
        <w:t>review of a USAC decision, the Bureau acting on authority delegated to it by the Commission, usually resolves the appeal.</w:t>
      </w:r>
      <w:r>
        <w:rPr>
          <w:rStyle w:val="FootnoteReference"/>
        </w:rPr>
        <w:footnoteReference w:id="352"/>
      </w:r>
      <w:r>
        <w:t xml:space="preserve">  If the Bureau denies a request for review, the review process dictated in the Commission’s rules is triggered; the party can seek reconsideration by the Bureau of that decision and then may also seek to have full Commission</w:t>
      </w:r>
      <w:r w:rsidRPr="00F105B7">
        <w:t xml:space="preserve"> </w:t>
      </w:r>
      <w:r>
        <w:t>consider the matter if the Bureau denies the request for reconsideration.</w:t>
      </w:r>
      <w:r>
        <w:rPr>
          <w:rStyle w:val="FootnoteReference"/>
        </w:rPr>
        <w:footnoteReference w:id="353"/>
      </w:r>
      <w:r>
        <w:t xml:space="preserve">  If the Commission denies an application for review, under some circumstances the party can seek reconsideration of that decision.</w:t>
      </w:r>
      <w:r>
        <w:rPr>
          <w:rStyle w:val="FootnoteReference"/>
        </w:rPr>
        <w:footnoteReference w:id="354"/>
      </w:r>
    </w:p>
    <w:p w14:paraId="2DD39012" w14:textId="77777777" w:rsidR="004062D4" w:rsidRDefault="004062D4" w:rsidP="00434A8B">
      <w:pPr>
        <w:pStyle w:val="ParaNum"/>
      </w:pPr>
      <w:r>
        <w:lastRenderedPageBreak/>
        <w:t xml:space="preserve">One result of the many opportunities to seek further review of USAC and Bureau decisions is a growing number of possible appeals.  For every USAC decision, the Commission staff could be required to address the matter on three different occasions.  In some cases, this delay benefits the applicants who take the multiple opportunities afforded them by our rules to avoid a negative decision.  At the same time, there are sizable costs to the E-rate community when applicants and service providers must sometimes wait long periods of time for their appeals to be fully resolved.  During the last several years, the Commission has attempted to streamline the process by issuing more E-rate orders addressing multiple appeals, and by streamlining aspects of the written order.  Where appropriate, for example, the order provides a more concise explanation of the facts.  In other orders, the Commission staff truncates the written legal analysis where the determination is clearly consistent with the Commission’s precedent.  </w:t>
      </w:r>
    </w:p>
    <w:p w14:paraId="6C305BD5" w14:textId="50991F81" w:rsidR="004062D4" w:rsidRPr="00CC39F1" w:rsidRDefault="004062D4" w:rsidP="00B9652C">
      <w:pPr>
        <w:pStyle w:val="ParaNum"/>
      </w:pPr>
      <w:r>
        <w:t>We seek comment on other changes Commission staff can implement to improve the appeals review process.  Should Commission staff explore other ways to streamline the orders disposing of the appeals?  When the Bureau grants an appeal on delegated authority, should it simply specify that the appeal is granted and not provide any analysis, or does the analysis serve the important function of providing guidance to other E-rate stakeholders?  Would the request for review filed by the party provide enough guidance to interested parties?  We encourage commenters to suggest creative methods to improve the efficiency of the process while providing parties and other interested stakeholders with meaningful guidance about the decision.  Finally, should we consider more comprehensive changes to the appeal process pertaining to E-rate decisions?  Should we reduce the number of opportunities E-rate applicants have to contest adverse findings?  If so, how could that be done consistent with relevant statutory requirements,</w:t>
      </w:r>
      <w:r>
        <w:rPr>
          <w:rStyle w:val="FootnoteReference"/>
        </w:rPr>
        <w:footnoteReference w:id="355"/>
      </w:r>
      <w:r>
        <w:t xml:space="preserve"> and what rule changes would be needed?  Could we amend or clarify the E-rate rules to reduce the number and type of USAC decisions that can be appealed?  Are there other changes we can make to improve the efficiency of the appeals process?</w:t>
      </w:r>
    </w:p>
    <w:p w14:paraId="21FAA94A" w14:textId="637F7684" w:rsidR="000627C7" w:rsidRPr="00712677" w:rsidRDefault="000627C7" w:rsidP="0048025B">
      <w:pPr>
        <w:pStyle w:val="Heading1"/>
      </w:pPr>
      <w:bookmarkStart w:id="2446" w:name="_Toc360186163"/>
      <w:bookmarkStart w:id="2447" w:name="_Toc360186240"/>
      <w:bookmarkStart w:id="2448" w:name="_Toc360186444"/>
      <w:bookmarkStart w:id="2449" w:name="_Toc360186516"/>
      <w:bookmarkStart w:id="2450" w:name="_Toc360187317"/>
      <w:bookmarkStart w:id="2451" w:name="_Toc360187478"/>
      <w:bookmarkStart w:id="2452" w:name="_Toc352064563"/>
      <w:bookmarkStart w:id="2453" w:name="_Toc352078340"/>
      <w:bookmarkStart w:id="2454" w:name="_Toc352078392"/>
      <w:bookmarkStart w:id="2455" w:name="_Toc352078454"/>
      <w:bookmarkStart w:id="2456" w:name="_Toc352079046"/>
      <w:bookmarkStart w:id="2457" w:name="_Toc352080407"/>
      <w:bookmarkStart w:id="2458" w:name="_Toc352139790"/>
      <w:bookmarkStart w:id="2459" w:name="_Toc354478093"/>
      <w:bookmarkStart w:id="2460" w:name="_Toc354478715"/>
      <w:bookmarkStart w:id="2461" w:name="_Toc354660731"/>
      <w:bookmarkStart w:id="2462" w:name="_Toc358208813"/>
      <w:bookmarkStart w:id="2463" w:name="_Toc358210316"/>
      <w:bookmarkStart w:id="2464" w:name="_Toc358210463"/>
      <w:bookmarkStart w:id="2465" w:name="_Toc358210641"/>
      <w:bookmarkStart w:id="2466" w:name="_Toc358210742"/>
      <w:bookmarkStart w:id="2467" w:name="_Toc358213676"/>
      <w:bookmarkStart w:id="2468" w:name="_Toc358213808"/>
      <w:bookmarkStart w:id="2469" w:name="_Toc358301302"/>
      <w:bookmarkStart w:id="2470" w:name="_Toc358720048"/>
      <w:bookmarkStart w:id="2471" w:name="_Toc358971274"/>
      <w:bookmarkStart w:id="2472" w:name="_Toc358974875"/>
      <w:bookmarkStart w:id="2473" w:name="_Toc358975773"/>
      <w:bookmarkStart w:id="2474" w:name="_Toc358975935"/>
      <w:bookmarkStart w:id="2475" w:name="_Toc358976176"/>
      <w:bookmarkStart w:id="2476" w:name="_Toc358981031"/>
      <w:bookmarkStart w:id="2477" w:name="_Toc358981147"/>
      <w:bookmarkStart w:id="2478" w:name="_Toc358982411"/>
      <w:bookmarkStart w:id="2479" w:name="_Toc358982501"/>
      <w:bookmarkStart w:id="2480" w:name="_Toc359239283"/>
      <w:bookmarkStart w:id="2481" w:name="_Toc359239340"/>
      <w:bookmarkStart w:id="2482" w:name="_Toc359252299"/>
      <w:bookmarkStart w:id="2483" w:name="_Toc359326048"/>
      <w:bookmarkStart w:id="2484" w:name="_Toc359333296"/>
      <w:bookmarkStart w:id="2485" w:name="_Toc359339950"/>
      <w:bookmarkStart w:id="2486" w:name="_Toc359343214"/>
      <w:bookmarkStart w:id="2487" w:name="_Toc359347023"/>
      <w:bookmarkStart w:id="2488" w:name="_Toc359598713"/>
      <w:bookmarkStart w:id="2489" w:name="_Toc359853207"/>
      <w:bookmarkStart w:id="2490" w:name="_Toc359853443"/>
      <w:bookmarkStart w:id="2491" w:name="_Toc359853706"/>
      <w:bookmarkStart w:id="2492" w:name="_Toc359858674"/>
      <w:bookmarkStart w:id="2493" w:name="_Toc359859622"/>
      <w:bookmarkStart w:id="2494" w:name="_Toc359940088"/>
      <w:bookmarkStart w:id="2495" w:name="_Toc360025463"/>
      <w:bookmarkStart w:id="2496" w:name="_Toc360107514"/>
      <w:bookmarkStart w:id="2497" w:name="_Toc360111638"/>
      <w:bookmarkStart w:id="2498" w:name="_Toc360172823"/>
      <w:bookmarkStart w:id="2499" w:name="_Toc360186164"/>
      <w:bookmarkStart w:id="2500" w:name="_Toc360186241"/>
      <w:bookmarkStart w:id="2501" w:name="_Toc360186445"/>
      <w:bookmarkStart w:id="2502" w:name="_Toc360186517"/>
      <w:bookmarkStart w:id="2503" w:name="_Toc360187318"/>
      <w:bookmarkStart w:id="2504" w:name="_Toc360187479"/>
      <w:bookmarkStart w:id="2505" w:name="_Toc360208924"/>
      <w:bookmarkStart w:id="2506" w:name="_Toc360212057"/>
      <w:bookmarkStart w:id="2507" w:name="_Toc361663127"/>
      <w:bookmarkStart w:id="2508" w:name="_Toc361857705"/>
      <w:bookmarkStart w:id="2509" w:name="_Toc361918797"/>
      <w:bookmarkStart w:id="2510" w:name="_Toc362272574"/>
      <w:bookmarkEnd w:id="2446"/>
      <w:bookmarkEnd w:id="2447"/>
      <w:bookmarkEnd w:id="2448"/>
      <w:bookmarkEnd w:id="2449"/>
      <w:bookmarkEnd w:id="2450"/>
      <w:bookmarkEnd w:id="2451"/>
      <w:r w:rsidRPr="001B38D8">
        <w:lastRenderedPageBreak/>
        <w:t>OTHER OUTSTANDING ISSUES</w:t>
      </w:r>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p>
    <w:p w14:paraId="21405012" w14:textId="40319D62" w:rsidR="00AB0048" w:rsidRDefault="000627C7" w:rsidP="0048025B">
      <w:pPr>
        <w:pStyle w:val="ParaNum"/>
      </w:pPr>
      <w:r w:rsidRPr="00B03906">
        <w:t xml:space="preserve">We also take this opportunity to seek comment on </w:t>
      </w:r>
      <w:r w:rsidR="001D6BAC">
        <w:t xml:space="preserve">or refresh the record on </w:t>
      </w:r>
      <w:r w:rsidRPr="00B03906">
        <w:t>a variety of issues that have been raised by stakeholders in recent years, including the applicability of the Children</w:t>
      </w:r>
      <w:r w:rsidRPr="00AC64AA">
        <w:t>’</w:t>
      </w:r>
      <w:r w:rsidRPr="00B03906">
        <w:t xml:space="preserve">s Internet Protection Act (CIPA) to devices brought into schools and libraries, and to devices provided by schools and libraries for at-home use; </w:t>
      </w:r>
      <w:r w:rsidR="00647347">
        <w:t xml:space="preserve">changes to the </w:t>
      </w:r>
      <w:r w:rsidR="00AB0048">
        <w:t xml:space="preserve">National Lunch Program; </w:t>
      </w:r>
      <w:r w:rsidR="00AB0048" w:rsidRPr="00B03906">
        <w:t>additional measures for protecting the progr</w:t>
      </w:r>
      <w:r w:rsidR="00AB0048">
        <w:t>am from waste, fraud and abuse; wireless community hotspots; and</w:t>
      </w:r>
      <w:r w:rsidRPr="00B03906">
        <w:t xml:space="preserve"> adoption of </w:t>
      </w:r>
      <w:r>
        <w:t>E-rate</w:t>
      </w:r>
      <w:r w:rsidRPr="00B03906">
        <w:t xml:space="preserve"> program procedures in the event of a national emergency or natural disaster</w:t>
      </w:r>
      <w:r w:rsidR="00AB0048">
        <w:t>.</w:t>
      </w:r>
    </w:p>
    <w:p w14:paraId="51A7478E" w14:textId="15F29A45" w:rsidR="000627C7" w:rsidRPr="00CD7DD8" w:rsidRDefault="00AB0048" w:rsidP="00B9652C">
      <w:pPr>
        <w:pStyle w:val="Heading2"/>
      </w:pPr>
      <w:bookmarkStart w:id="2511" w:name="_Toc359853208"/>
      <w:bookmarkStart w:id="2512" w:name="_Toc359853444"/>
      <w:bookmarkStart w:id="2513" w:name="_Toc359853707"/>
      <w:bookmarkStart w:id="2514" w:name="_Toc359858675"/>
      <w:bookmarkStart w:id="2515" w:name="_Toc359859623"/>
      <w:bookmarkStart w:id="2516" w:name="_Toc359940089"/>
      <w:bookmarkStart w:id="2517" w:name="_Toc360025464"/>
      <w:bookmarkStart w:id="2518" w:name="_Toc360107515"/>
      <w:bookmarkStart w:id="2519" w:name="_Toc360111639"/>
      <w:bookmarkStart w:id="2520" w:name="_Toc360172824"/>
      <w:bookmarkStart w:id="2521" w:name="_Toc360186165"/>
      <w:bookmarkStart w:id="2522" w:name="_Toc360186242"/>
      <w:bookmarkStart w:id="2523" w:name="_Toc360186446"/>
      <w:bookmarkStart w:id="2524" w:name="_Toc360186518"/>
      <w:bookmarkStart w:id="2525" w:name="_Toc360187319"/>
      <w:bookmarkStart w:id="2526" w:name="_Toc360187480"/>
      <w:bookmarkStart w:id="2527" w:name="_Toc360208925"/>
      <w:bookmarkStart w:id="2528" w:name="_Toc360212058"/>
      <w:bookmarkStart w:id="2529" w:name="_Toc361663128"/>
      <w:bookmarkStart w:id="2530" w:name="_Toc361857706"/>
      <w:bookmarkStart w:id="2531" w:name="_Toc361918798"/>
      <w:bookmarkStart w:id="2532" w:name="_Toc362272575"/>
      <w:r>
        <w:t>The Children’s Internet Protection Act</w:t>
      </w:r>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p>
    <w:p w14:paraId="1970EB87" w14:textId="592058B5" w:rsidR="000627C7" w:rsidRPr="00CD7DD8" w:rsidRDefault="000627C7">
      <w:pPr>
        <w:pStyle w:val="ParaNum"/>
      </w:pPr>
      <w:r w:rsidRPr="00B03906">
        <w:t xml:space="preserve">Stakeholders have sought clarification on the applicability of CIPA to devices not owned by </w:t>
      </w:r>
      <w:r>
        <w:t>E-rate</w:t>
      </w:r>
      <w:r w:rsidRPr="00B03906">
        <w:t xml:space="preserve"> recipients but using </w:t>
      </w:r>
      <w:r>
        <w:t>E-rate</w:t>
      </w:r>
      <w:r w:rsidRPr="00B03906">
        <w:t xml:space="preserve"> supported networks and to off-premises use of devices </w:t>
      </w:r>
      <w:r w:rsidR="008024C5">
        <w:t>owned by schools and libraries.</w:t>
      </w:r>
      <w:r w:rsidRPr="00AC64AA">
        <w:rPr>
          <w:vertAlign w:val="superscript"/>
        </w:rPr>
        <w:footnoteReference w:id="356"/>
      </w:r>
      <w:r w:rsidRPr="00B03906">
        <w:t xml:space="preserve">  We seek input from interested parties about the measures schools and libraries are taking and need to take to comply with CIPA when they allow third-party devices to connect to their </w:t>
      </w:r>
      <w:r>
        <w:t>E-rate</w:t>
      </w:r>
      <w:r w:rsidRPr="00B03906">
        <w:t xml:space="preserve"> supported networks.</w:t>
      </w:r>
      <w:r w:rsidRPr="00AC64AA">
        <w:rPr>
          <w:vertAlign w:val="superscript"/>
        </w:rPr>
        <w:footnoteReference w:id="357"/>
      </w:r>
      <w:r w:rsidRPr="00B03906">
        <w:t xml:space="preserve">  Also in response to stakeholder concerns, we seek comment on what steps schools and libraries are taking and must take to ensure that they are not violating CIPA when they provide employees, students and library patrons with portable, Internet-enabled devices that can be used off-premises.</w:t>
      </w:r>
      <w:r w:rsidRPr="00AC64AA">
        <w:rPr>
          <w:vertAlign w:val="superscript"/>
        </w:rPr>
        <w:footnoteReference w:id="358"/>
      </w:r>
      <w:r w:rsidRPr="00B03906">
        <w:rPr>
          <w:vertAlign w:val="superscript"/>
        </w:rPr>
        <w:t xml:space="preserve">  </w:t>
      </w:r>
    </w:p>
    <w:p w14:paraId="1C0864D3" w14:textId="6B867BA4" w:rsidR="000627C7" w:rsidRPr="00CD7DD8" w:rsidDel="00EA2DFD" w:rsidRDefault="000627C7" w:rsidP="00F47042">
      <w:pPr>
        <w:pStyle w:val="ParaNum"/>
      </w:pPr>
      <w:r w:rsidRPr="00B03906">
        <w:rPr>
          <w:i/>
        </w:rPr>
        <w:t>Background.</w:t>
      </w:r>
      <w:r w:rsidRPr="00B03906">
        <w:t xml:space="preserve">  CIPA prohibits schools and libraries from receiving </w:t>
      </w:r>
      <w:r>
        <w:t>E-rate</w:t>
      </w:r>
      <w:r w:rsidRPr="00B03906">
        <w:t xml:space="preserve"> funding for Internet access services, or </w:t>
      </w:r>
      <w:r w:rsidRPr="00B03906">
        <w:lastRenderedPageBreak/>
        <w:t>internal connections, unless they comply with, and certify their compliance with, specific Internet safety requirements, including the operation of a technology protection measure.</w:t>
      </w:r>
      <w:r w:rsidRPr="00AC64AA">
        <w:rPr>
          <w:vertAlign w:val="superscript"/>
        </w:rPr>
        <w:footnoteReference w:id="359"/>
      </w:r>
      <w:r w:rsidRPr="00B03906">
        <w:t xml:space="preserve">  Schools, but not libraries, must also provide education about appropriate online behavior including cyber-bullying.</w:t>
      </w:r>
      <w:r w:rsidRPr="00AC64AA">
        <w:rPr>
          <w:vertAlign w:val="superscript"/>
        </w:rPr>
        <w:footnoteReference w:id="360"/>
      </w:r>
      <w:r w:rsidRPr="00B03906">
        <w:t xml:space="preserve">  When CIPA was enacted, most school and library computers that provided Internet access were found at large, stationary terminals.  Few, if any, students or staff brought computers to school, and, likewise, library patrons did not bring their own Internet-enabled devices into libraries.  Moreover, even if people had brought their own computers into schools and libraries, almost no schools or libraries had Wi-Fi hotspots or other ways to allow outside computers to access their Internet connection.  Now, it is commonplace for students and employees of, and visitors to, schools and libraries to carry Internet-enabled devices onto the premises and for schools and libraries to allow third-party devices access to their networks.</w:t>
      </w:r>
      <w:r w:rsidRPr="00AC64AA">
        <w:rPr>
          <w:vertAlign w:val="superscript"/>
        </w:rPr>
        <w:footnoteReference w:id="361"/>
      </w:r>
      <w:r w:rsidRPr="00B03906">
        <w:t xml:space="preserve">  Additionally, more and more school- and library-provided devices are brought off-campus to connect with other networks.  </w:t>
      </w:r>
      <w:r w:rsidRPr="00B03906">
        <w:rPr>
          <w:i/>
        </w:rPr>
        <w:t xml:space="preserve">  </w:t>
      </w:r>
    </w:p>
    <w:p w14:paraId="0910B0C6" w14:textId="199E22EC" w:rsidR="000627C7" w:rsidRPr="00CD7DD8" w:rsidRDefault="000627C7" w:rsidP="00F47042">
      <w:pPr>
        <w:pStyle w:val="ParaNum"/>
      </w:pPr>
      <w:r w:rsidRPr="00B03906">
        <w:rPr>
          <w:i/>
        </w:rPr>
        <w:t>Covered devices.</w:t>
      </w:r>
      <w:r w:rsidRPr="00B03906">
        <w:t xml:space="preserve">  We seek comment on what devices are covered by CIPA.  Congress mandates that CIPA apply to schools and libraries “having computers with Internet access,”</w:t>
      </w:r>
      <w:r w:rsidRPr="00AC64AA">
        <w:rPr>
          <w:vertAlign w:val="superscript"/>
        </w:rPr>
        <w:footnoteReference w:id="362"/>
      </w:r>
      <w:r w:rsidRPr="00B03906">
        <w:t xml:space="preserve"> and also requires each such school or library to certify that it is enforcing a policy of Internet safety that includes the operation of a technology protection measure “with respect to any of its computers with Internet access.”</w:t>
      </w:r>
      <w:r w:rsidRPr="00AC64AA">
        <w:rPr>
          <w:vertAlign w:val="superscript"/>
        </w:rPr>
        <w:footnoteReference w:id="363"/>
      </w:r>
      <w:r w:rsidRPr="00B03906">
        <w:t xml:space="preserve">  We seek comment on whether the language “computers with Internet access,” as used in the context of CIPA, includes all devices used to access the Internet, including all portable devices such as laptops and netbooks with wired Internet access, with Wi-Fi capability, or with wireless data or air cards; cellular phones or “smartphones” capable of accessing the Internet; and Internet-</w:t>
      </w:r>
      <w:r w:rsidRPr="00B03906">
        <w:lastRenderedPageBreak/>
        <w:t>enabled e-readers and tablets.  As more and more devices, from routers to refrigerators, are equipped with computing capability, we seek comment on limiting principles we should apply to our treatment of what constitutes a computer with Internet access for CIPA purposes, and how those limiting principles relate to the statutory language and goals of CIPA.  For example, should we consider as a limiting principle the language in CIPA that requires the operation of a technology protection measure that provides protection against access to “visual depictions” that are obscene, child pornography, or harmful to minors?  Specifically, does the use of “visual depictions” in CIPA mandate that in order to fall within CIPA, the computers with Internet access in question must at least provide a screen, monitor, or other way to view the prohibited material?  We also invite commenters to recommend specific changes to our rules that would clarify this issue.  For example, sho</w:t>
      </w:r>
      <w:r w:rsidR="00947CAE">
        <w:t>uld we include a definition of “</w:t>
      </w:r>
      <w:r w:rsidRPr="00B03906">
        <w:t>computers with Internet access</w:t>
      </w:r>
      <w:r w:rsidR="00947CAE">
        <w:t>”</w:t>
      </w:r>
      <w:r w:rsidRPr="00B03906">
        <w:t xml:space="preserve"> in our CIPA-related rules, and what should that definition be?</w:t>
      </w:r>
    </w:p>
    <w:p w14:paraId="605A3F4B" w14:textId="21424063" w:rsidR="000627C7" w:rsidRPr="00CD7DD8" w:rsidRDefault="000627C7" w:rsidP="00F47042">
      <w:pPr>
        <w:pStyle w:val="ParaNum"/>
      </w:pPr>
      <w:r w:rsidRPr="00B03906">
        <w:t xml:space="preserve">We also seek comment on whether the phrases “having computers with Internet access” and “with respect to any of </w:t>
      </w:r>
      <w:r w:rsidRPr="00B03906">
        <w:rPr>
          <w:i/>
        </w:rPr>
        <w:t>its</w:t>
      </w:r>
      <w:r w:rsidRPr="00B03906">
        <w:t xml:space="preserve"> computers with Internet access” and other similar language in the statute means that schools and libraries are required to comply with CIPA only with regard to those computers that they own or control.  Does this interpretation fulfill the intended purpose of CIPA?</w:t>
      </w:r>
      <w:r w:rsidRPr="00AC64AA">
        <w:rPr>
          <w:vertAlign w:val="superscript"/>
        </w:rPr>
        <w:footnoteReference w:id="364"/>
      </w:r>
      <w:r w:rsidRPr="00B03906">
        <w:t xml:space="preserve">  We also seek comment on whether we should amend our CIPA-related rules to reflect this reading of the statute, and if so how should we amend them.  In the alternative, we seek comment on whether CIPA should be interpreted more broadly to be focused on protecting children from harmful online content on any device, and therefore require CIPA compliance with respect to any computer that is accessing the Internet using </w:t>
      </w:r>
      <w:r>
        <w:t>E-rate</w:t>
      </w:r>
      <w:r w:rsidRPr="00B03906">
        <w:t xml:space="preserve"> supported Internet access or internal connections, regardless of the ownership or control of the device used to access such content.</w:t>
      </w:r>
      <w:r w:rsidRPr="00AC64AA">
        <w:rPr>
          <w:vertAlign w:val="superscript"/>
        </w:rPr>
        <w:footnoteReference w:id="365"/>
      </w:r>
      <w:r w:rsidRPr="00B03906">
        <w:t xml:space="preserve">  </w:t>
      </w:r>
    </w:p>
    <w:p w14:paraId="220E0741" w14:textId="5D90FBB8" w:rsidR="00647347" w:rsidRDefault="000627C7" w:rsidP="00647347">
      <w:pPr>
        <w:pStyle w:val="ParaNum"/>
      </w:pPr>
      <w:r w:rsidRPr="00B03906">
        <w:rPr>
          <w:i/>
        </w:rPr>
        <w:t>Off-Campus Use</w:t>
      </w:r>
      <w:r w:rsidRPr="00B03906">
        <w:t xml:space="preserve">.  We seek comment on whether CIPA requirements extend to school or library computers taken off-campus and used with outside networks that are not supported by </w:t>
      </w:r>
      <w:r>
        <w:lastRenderedPageBreak/>
        <w:t>E-rate</w:t>
      </w:r>
      <w:r w:rsidRPr="00B03906">
        <w:t xml:space="preserve">.  If we find that CIPA requirements do not apply to computers with Internet access when used with networks that are not supported with </w:t>
      </w:r>
      <w:r>
        <w:t>E-rate</w:t>
      </w:r>
      <w:r w:rsidRPr="00B03906">
        <w:t xml:space="preserve"> funds, how should we address instances where school or library computers are </w:t>
      </w:r>
      <w:r>
        <w:t xml:space="preserve">used </w:t>
      </w:r>
      <w:r w:rsidRPr="00B03906">
        <w:t xml:space="preserve">to access the Internet using a service that is supported for on-campus use, but not for off-campus use?  For example, if a student uses a tablet with an Internet access data plan, the school could seek </w:t>
      </w:r>
      <w:r>
        <w:t>E-rate</w:t>
      </w:r>
      <w:r w:rsidRPr="00B03906">
        <w:t xml:space="preserve"> support for the portion of the cost of the data plan used on-campus, but not for the portion used off-campus.  Should the CIPA requirements only apply when the computer is used on campus, because the school is not seeking </w:t>
      </w:r>
      <w:r>
        <w:t>E-rate</w:t>
      </w:r>
      <w:r w:rsidRPr="00B03906">
        <w:t xml:space="preserve"> support for the off-campus portion of the cost of the data plan?  We also seek comment on whether our existing CIPA-related rules need to be amended to cover these off-campus use situations.  We request that commenters be as specific as possible when recommending amendments to our rules.</w:t>
      </w:r>
    </w:p>
    <w:p w14:paraId="786F45D6" w14:textId="1714FEDE" w:rsidR="008C588D" w:rsidRDefault="008C588D" w:rsidP="008C588D">
      <w:pPr>
        <w:pStyle w:val="Heading2"/>
      </w:pPr>
      <w:bookmarkStart w:id="2533" w:name="_Toc362272576"/>
      <w:r>
        <w:t>Identifying Rural Schools and Libraries</w:t>
      </w:r>
      <w:bookmarkEnd w:id="2533"/>
    </w:p>
    <w:p w14:paraId="5FD70AF7" w14:textId="33BF89DF" w:rsidR="008C588D" w:rsidRDefault="008C588D" w:rsidP="00434A8B">
      <w:pPr>
        <w:pStyle w:val="ParaNum"/>
      </w:pPr>
      <w:bookmarkStart w:id="2534" w:name="_Ref362253043"/>
      <w:r>
        <w:t>W</w:t>
      </w:r>
      <w:r w:rsidRPr="00A27954">
        <w:t xml:space="preserve">e </w:t>
      </w:r>
      <w:r>
        <w:t>propose to modernize our</w:t>
      </w:r>
      <w:r w:rsidRPr="00A27954">
        <w:t xml:space="preserve"> definition of “rural area” </w:t>
      </w:r>
      <w:r>
        <w:t xml:space="preserve">to make it more relevant and useable for schools and libraries seeking to get the benefit of the additional discounts for rural schools and libraries.  </w:t>
      </w:r>
      <w:r w:rsidRPr="00A27954">
        <w:t xml:space="preserve">In 1997, the Commission adopted for the </w:t>
      </w:r>
      <w:r>
        <w:t>E-rate</w:t>
      </w:r>
      <w:r w:rsidRPr="00A27954">
        <w:t xml:space="preserve"> program the definition of “rural area” used by the U.S. Department of Health and Human Service’s Office of Rural Health Care Policy (ORHP).</w:t>
      </w:r>
      <w:r w:rsidRPr="00A27954">
        <w:rPr>
          <w:vertAlign w:val="superscript"/>
        </w:rPr>
        <w:footnoteReference w:id="366"/>
      </w:r>
      <w:r w:rsidRPr="00A27954">
        <w:t xml:space="preserve">  Under ORHP’s definition, an area is rural if it is not located in a county within a Metropolitan Statistical Area (MSA) as defined by OMB, or if it is specifically identified as “rural” in the Goldsmith Modification to Census data.</w:t>
      </w:r>
      <w:r w:rsidRPr="00A27954">
        <w:rPr>
          <w:vertAlign w:val="superscript"/>
        </w:rPr>
        <w:footnoteReference w:id="367"/>
      </w:r>
      <w:bookmarkEnd w:id="2534"/>
      <w:r w:rsidRPr="00A27954">
        <w:t xml:space="preserve">  </w:t>
      </w:r>
    </w:p>
    <w:p w14:paraId="57CC990B" w14:textId="77777777" w:rsidR="008C588D" w:rsidRPr="00F47A02" w:rsidRDefault="008C588D" w:rsidP="008C588D">
      <w:pPr>
        <w:pStyle w:val="ParaNum"/>
      </w:pPr>
      <w:bookmarkStart w:id="2535" w:name="_Ref362253120"/>
      <w:r w:rsidRPr="00543A8C">
        <w:t>The</w:t>
      </w:r>
      <w:r w:rsidRPr="00A27954">
        <w:t xml:space="preserve"> Commission explained in </w:t>
      </w:r>
      <w:r w:rsidRPr="00A27954">
        <w:rPr>
          <w:szCs w:val="22"/>
        </w:rPr>
        <w:t xml:space="preserve">the </w:t>
      </w:r>
      <w:r w:rsidRPr="00A27954">
        <w:t xml:space="preserve">2003 </w:t>
      </w:r>
      <w:r w:rsidRPr="00A27954">
        <w:rPr>
          <w:i/>
        </w:rPr>
        <w:t>Schools and Libraries</w:t>
      </w:r>
      <w:r w:rsidRPr="00A27954">
        <w:t xml:space="preserve"> </w:t>
      </w:r>
      <w:r w:rsidRPr="00A27954">
        <w:rPr>
          <w:i/>
        </w:rPr>
        <w:t>Third Report and Order</w:t>
      </w:r>
      <w:r>
        <w:rPr>
          <w:i/>
        </w:rPr>
        <w:t xml:space="preserve"> </w:t>
      </w:r>
      <w:r>
        <w:t>and again in the</w:t>
      </w:r>
      <w:r w:rsidRPr="00A27954">
        <w:t xml:space="preserve"> </w:t>
      </w:r>
      <w:r>
        <w:rPr>
          <w:i/>
        </w:rPr>
        <w:t>E-rate</w:t>
      </w:r>
      <w:r w:rsidRPr="00A27954">
        <w:rPr>
          <w:i/>
        </w:rPr>
        <w:t xml:space="preserve"> Broadband NPRM </w:t>
      </w:r>
      <w:r w:rsidRPr="00A27954">
        <w:t>and</w:t>
      </w:r>
      <w:r w:rsidRPr="00A27954">
        <w:rPr>
          <w:i/>
        </w:rPr>
        <w:t xml:space="preserve"> </w:t>
      </w:r>
      <w:r w:rsidRPr="00A27954">
        <w:rPr>
          <w:szCs w:val="22"/>
        </w:rPr>
        <w:t>the</w:t>
      </w:r>
      <w:r w:rsidRPr="00A27954">
        <w:t xml:space="preserve"> that a new definition was necessary because </w:t>
      </w:r>
      <w:r w:rsidRPr="00A27954">
        <w:rPr>
          <w:szCs w:val="22"/>
        </w:rPr>
        <w:t>the U.S. Department of Health and Human Service’s Office</w:t>
      </w:r>
      <w:r w:rsidRPr="00A27954">
        <w:t xml:space="preserve"> of Rural Health Care Policy (ORHP) no longer uses the definition adopted by the Commission and therefore has not updated the Goldsmith Modification to the 2000 Census data.</w:t>
      </w:r>
      <w:r w:rsidRPr="00A27954">
        <w:rPr>
          <w:szCs w:val="22"/>
          <w:vertAlign w:val="superscript"/>
        </w:rPr>
        <w:footnoteReference w:id="368"/>
      </w:r>
      <w:r w:rsidRPr="00A27954">
        <w:t xml:space="preserve">  </w:t>
      </w:r>
      <w:r w:rsidRPr="00A27954">
        <w:rPr>
          <w:szCs w:val="22"/>
        </w:rPr>
        <w:t xml:space="preserve">In the </w:t>
      </w:r>
      <w:r>
        <w:rPr>
          <w:i/>
          <w:szCs w:val="22"/>
        </w:rPr>
        <w:t>E-rate</w:t>
      </w:r>
      <w:r w:rsidRPr="00A27954">
        <w:rPr>
          <w:i/>
          <w:szCs w:val="22"/>
        </w:rPr>
        <w:t xml:space="preserve"> Broadband NPRM</w:t>
      </w:r>
      <w:r w:rsidRPr="00A27954">
        <w:rPr>
          <w:szCs w:val="22"/>
        </w:rPr>
        <w:t>, we proposed that</w:t>
      </w:r>
      <w:r w:rsidRPr="00A27954">
        <w:t xml:space="preserve"> any school or library that is within a territory that is classified as “</w:t>
      </w:r>
      <w:r w:rsidRPr="00A27954">
        <w:rPr>
          <w:color w:val="000000"/>
          <w:szCs w:val="22"/>
        </w:rPr>
        <w:t>town-distant,” “town-remote,” “rural-distant,” or “rural-remote”</w:t>
      </w:r>
      <w:r w:rsidRPr="00A27954">
        <w:t xml:space="preserve"> by the U.S. Department of Education’s National Center for Education </w:t>
      </w:r>
      <w:r w:rsidRPr="00A27954">
        <w:lastRenderedPageBreak/>
        <w:t xml:space="preserve">Statistics (NCES) urban-centric locale code be considered rural for purposes of calculating its </w:t>
      </w:r>
      <w:r>
        <w:t>E-rate</w:t>
      </w:r>
      <w:r w:rsidRPr="00A27954">
        <w:t xml:space="preserve"> discount level.</w:t>
      </w:r>
      <w:r w:rsidRPr="00A27954">
        <w:rPr>
          <w:vertAlign w:val="superscript"/>
        </w:rPr>
        <w:footnoteReference w:id="369"/>
      </w:r>
      <w:r w:rsidRPr="00A27954">
        <w:t xml:space="preserve">  </w:t>
      </w:r>
      <w:r w:rsidRPr="00A27954">
        <w:rPr>
          <w:szCs w:val="22"/>
        </w:rPr>
        <w:t>We seek to refresh the record on that proposal.</w:t>
      </w:r>
      <w:r w:rsidRPr="00A27954">
        <w:t xml:space="preserve"> </w:t>
      </w:r>
      <w:r>
        <w:t xml:space="preserve"> T</w:t>
      </w:r>
      <w:r w:rsidRPr="00A27954">
        <w:t xml:space="preserve">he NCES codes </w:t>
      </w:r>
      <w:r>
        <w:t>could</w:t>
      </w:r>
      <w:r w:rsidRPr="00A27954">
        <w:t xml:space="preserve"> be a reliable indicator of rural areas for the </w:t>
      </w:r>
      <w:r>
        <w:t>E-rate</w:t>
      </w:r>
      <w:r w:rsidRPr="00A27954">
        <w:t>, because the Department of Education’s definition is specifically targeted to schools, pinpoint more precisely whether a school is located in a rural area, and is readily available through the Department of Education’s website which has the coding system broken down by state.</w:t>
      </w:r>
      <w:r w:rsidRPr="00A27954">
        <w:rPr>
          <w:szCs w:val="22"/>
          <w:vertAlign w:val="superscript"/>
        </w:rPr>
        <w:footnoteReference w:id="370"/>
      </w:r>
      <w:r w:rsidRPr="00A27954">
        <w:t xml:space="preserve"> </w:t>
      </w:r>
      <w:r>
        <w:t xml:space="preserve"> Therefore we seek comment on changing our rules to read as follows:</w:t>
      </w:r>
      <w:bookmarkEnd w:id="2535"/>
    </w:p>
    <w:p w14:paraId="5F1829BD" w14:textId="77777777" w:rsidR="008C588D" w:rsidRDefault="008C588D" w:rsidP="008C588D">
      <w:pPr>
        <w:ind w:left="720" w:right="720"/>
        <w:rPr>
          <w:b/>
          <w:bCs/>
          <w:szCs w:val="22"/>
          <w:u w:val="single"/>
        </w:rPr>
      </w:pPr>
      <w:r>
        <w:rPr>
          <w:b/>
          <w:bCs/>
          <w:szCs w:val="22"/>
          <w:u w:val="single"/>
        </w:rPr>
        <w:t>§ 54.505 Discounts.</w:t>
      </w:r>
    </w:p>
    <w:p w14:paraId="3D062355" w14:textId="77777777" w:rsidR="008C588D" w:rsidRDefault="008C588D" w:rsidP="008C588D">
      <w:pPr>
        <w:ind w:left="720" w:right="720"/>
        <w:rPr>
          <w:bCs/>
          <w:szCs w:val="22"/>
        </w:rPr>
      </w:pPr>
    </w:p>
    <w:p w14:paraId="2F864E65" w14:textId="77777777" w:rsidR="008C588D" w:rsidRDefault="008C588D" w:rsidP="008C588D">
      <w:pPr>
        <w:ind w:left="720" w:right="720"/>
        <w:rPr>
          <w:szCs w:val="22"/>
        </w:rPr>
      </w:pPr>
      <w:r>
        <w:rPr>
          <w:szCs w:val="22"/>
        </w:rPr>
        <w:t xml:space="preserve">(a)  * * * </w:t>
      </w:r>
    </w:p>
    <w:p w14:paraId="4E7A3C5A" w14:textId="77777777" w:rsidR="008C588D" w:rsidRDefault="008C588D" w:rsidP="008C588D">
      <w:pPr>
        <w:ind w:left="720" w:right="720"/>
        <w:rPr>
          <w:szCs w:val="22"/>
        </w:rPr>
      </w:pPr>
      <w:r>
        <w:rPr>
          <w:szCs w:val="22"/>
        </w:rPr>
        <w:t xml:space="preserve">(b)  * * * </w:t>
      </w:r>
    </w:p>
    <w:p w14:paraId="426A235C" w14:textId="77777777" w:rsidR="008C588D" w:rsidRDefault="008C588D" w:rsidP="008C588D">
      <w:pPr>
        <w:ind w:left="720" w:right="720"/>
        <w:rPr>
          <w:szCs w:val="22"/>
        </w:rPr>
      </w:pPr>
      <w:r>
        <w:rPr>
          <w:szCs w:val="22"/>
        </w:rPr>
        <w:t>(1) * * *</w:t>
      </w:r>
    </w:p>
    <w:p w14:paraId="7CDB5204" w14:textId="77777777" w:rsidR="008C588D" w:rsidRDefault="008C588D" w:rsidP="008C588D">
      <w:pPr>
        <w:ind w:left="720" w:right="720"/>
        <w:rPr>
          <w:szCs w:val="22"/>
        </w:rPr>
      </w:pPr>
      <w:r>
        <w:rPr>
          <w:szCs w:val="22"/>
        </w:rPr>
        <w:t>(2) * * *</w:t>
      </w:r>
    </w:p>
    <w:p w14:paraId="04E65C3E" w14:textId="77777777" w:rsidR="008C588D" w:rsidRDefault="008C588D" w:rsidP="008C588D">
      <w:pPr>
        <w:spacing w:after="120"/>
        <w:ind w:left="720" w:right="720"/>
        <w:rPr>
          <w:szCs w:val="22"/>
        </w:rPr>
      </w:pPr>
      <w:r>
        <w:rPr>
          <w:color w:val="000000"/>
          <w:szCs w:val="22"/>
        </w:rPr>
        <w:t>(3) The Administrator shall classify schools and libraries as “urban” or “rural” based on location in an urban or rural area, according to the following designations.</w:t>
      </w:r>
    </w:p>
    <w:p w14:paraId="146D6282" w14:textId="77777777" w:rsidR="008C588D" w:rsidRDefault="008C588D" w:rsidP="008C588D">
      <w:pPr>
        <w:spacing w:after="120"/>
        <w:ind w:left="720" w:right="720"/>
        <w:rPr>
          <w:szCs w:val="22"/>
        </w:rPr>
      </w:pPr>
      <w:r>
        <w:rPr>
          <w:color w:val="000000"/>
          <w:szCs w:val="22"/>
        </w:rPr>
        <w:t>(i) Schools and libraries whose locale code is city, suburb, town-fringe, or rural-fringe, as measured by the U.S. Department of Education’s National Center for Education Statistics, shall be designated as urban.</w:t>
      </w:r>
    </w:p>
    <w:p w14:paraId="4368E09B" w14:textId="77777777" w:rsidR="008C588D" w:rsidRDefault="008C588D" w:rsidP="008C588D">
      <w:pPr>
        <w:spacing w:after="120"/>
        <w:ind w:left="720" w:right="720"/>
        <w:rPr>
          <w:szCs w:val="22"/>
        </w:rPr>
      </w:pPr>
      <w:r>
        <w:rPr>
          <w:color w:val="000000"/>
          <w:szCs w:val="22"/>
        </w:rPr>
        <w:t xml:space="preserve">(ii) Schools and libraries whose locale code is town-distant, town-remote, rural-distant, or rural-remote, as measured by the U.S. Department of Education’s National Center for Education Statistics, shall be </w:t>
      </w:r>
      <w:r>
        <w:rPr>
          <w:szCs w:val="22"/>
        </w:rPr>
        <w:t>designated as rural.</w:t>
      </w:r>
    </w:p>
    <w:p w14:paraId="297D69CF" w14:textId="77777777" w:rsidR="008C588D" w:rsidRDefault="008C588D" w:rsidP="008C588D">
      <w:pPr>
        <w:pStyle w:val="ParaNum"/>
      </w:pPr>
      <w:r>
        <w:t>Because NCES codes are not assigned immediately, it is possible that not every school that is part of an E-rate application will have a code or classification.  If we adopt the proposed rule above, how should we handle such schools?</w:t>
      </w:r>
    </w:p>
    <w:p w14:paraId="4B50F953" w14:textId="77777777" w:rsidR="008C588D" w:rsidRDefault="008C588D" w:rsidP="00DA25DB">
      <w:pPr>
        <w:pStyle w:val="ParaNum"/>
      </w:pPr>
      <w:r>
        <w:t xml:space="preserve">An alternative to relying on NCES codes would be to use census data.  The census classifies areas into three groups: urbanized areas, urban clusters, and rural areas.  Urbanized areas “consist[] of densely settled territory that contains 50,000 or more people,” urban clusters “consist[] of densely settled territory that contains at least 2,500 people, but fewer than 50,000 people,” and rural areas include all areas that are </w:t>
      </w:r>
      <w:r>
        <w:lastRenderedPageBreak/>
        <w:t>not urbanized areas nor urban clusters.</w:t>
      </w:r>
      <w:r>
        <w:rPr>
          <w:rStyle w:val="FootnoteReference"/>
        </w:rPr>
        <w:footnoteReference w:id="371"/>
      </w:r>
      <w:r>
        <w:t xml:space="preserve">  As of the 2010 Census, 220 million Americans lived in urbanized areas, 29 million lived in urban clusters, and 59 million lived in rural areas.</w:t>
      </w:r>
      <w:r>
        <w:rPr>
          <w:rStyle w:val="FootnoteReference"/>
        </w:rPr>
        <w:footnoteReference w:id="372"/>
      </w:r>
      <w:r>
        <w:t xml:space="preserve">  How could we use census data to classify a school for purposes of E-rate?  Should it be based solely on the location of the school, and if so, should the “rural” designation only apply to schools located in rural areas or also those in urban clusters?  Should it be based on where its students live, so that if a majority of student live in a rural area, the school should be designated “rural” for E-rate even if it’s located in an urban cluster?  How should the classification account for the fact that schools are often located in small towns, which may be considered urban clusters, even though the costs of providing to the service to the school are significantly higher than the costs in urbanized areas (such as cities and their suburbs)?  We seek comment on relying on census data for purposes of the rural-urban classification, and on changing our rules to read as follows:</w:t>
      </w:r>
    </w:p>
    <w:p w14:paraId="7C79B7CB" w14:textId="77777777" w:rsidR="008C588D" w:rsidRPr="004F322C" w:rsidRDefault="008C588D" w:rsidP="004F322C">
      <w:pPr>
        <w:ind w:firstLine="720"/>
        <w:rPr>
          <w:b/>
          <w:u w:val="single"/>
        </w:rPr>
      </w:pPr>
      <w:r w:rsidRPr="004F322C">
        <w:rPr>
          <w:b/>
          <w:u w:val="single"/>
        </w:rPr>
        <w:t>§ 54.505 Discounts.</w:t>
      </w:r>
    </w:p>
    <w:p w14:paraId="648CF45C" w14:textId="77777777" w:rsidR="008C588D" w:rsidRPr="005E4CB4" w:rsidRDefault="008C588D" w:rsidP="008C588D">
      <w:pPr>
        <w:ind w:left="720"/>
      </w:pPr>
    </w:p>
    <w:p w14:paraId="0E8752CE" w14:textId="77777777" w:rsidR="008C588D" w:rsidRPr="005E4CB4" w:rsidRDefault="008C588D" w:rsidP="008C588D">
      <w:pPr>
        <w:ind w:left="720"/>
      </w:pPr>
      <w:r w:rsidRPr="005E4CB4">
        <w:t xml:space="preserve">(a)  * * * </w:t>
      </w:r>
    </w:p>
    <w:p w14:paraId="78805318" w14:textId="77777777" w:rsidR="008C588D" w:rsidRPr="000D433F" w:rsidRDefault="008C588D" w:rsidP="008C588D">
      <w:pPr>
        <w:ind w:left="720"/>
      </w:pPr>
      <w:r w:rsidRPr="00900A88">
        <w:t xml:space="preserve">(b)  * * * </w:t>
      </w:r>
    </w:p>
    <w:p w14:paraId="6E00AAA4" w14:textId="77777777" w:rsidR="008C588D" w:rsidRPr="005E4CB4" w:rsidRDefault="008C588D" w:rsidP="008C588D">
      <w:pPr>
        <w:ind w:left="720"/>
      </w:pPr>
      <w:r w:rsidRPr="005E4CB4">
        <w:t>(1) * * *</w:t>
      </w:r>
    </w:p>
    <w:p w14:paraId="2A9F3736" w14:textId="77777777" w:rsidR="008C588D" w:rsidRPr="005E4CB4" w:rsidRDefault="008C588D" w:rsidP="008C588D">
      <w:pPr>
        <w:ind w:left="720"/>
      </w:pPr>
      <w:r w:rsidRPr="005E4CB4">
        <w:t>(2) * * *</w:t>
      </w:r>
    </w:p>
    <w:p w14:paraId="3915E02B" w14:textId="77777777" w:rsidR="008C588D" w:rsidRPr="00900A88" w:rsidRDefault="008C588D" w:rsidP="008C588D">
      <w:pPr>
        <w:ind w:left="720"/>
      </w:pPr>
      <w:r w:rsidRPr="005E4CB4">
        <w:t xml:space="preserve">(3) The Administrator shall </w:t>
      </w:r>
      <w:r>
        <w:t>designate</w:t>
      </w:r>
      <w:r w:rsidRPr="00900A88">
        <w:t xml:space="preserve"> </w:t>
      </w:r>
      <w:r>
        <w:t>a school or</w:t>
      </w:r>
      <w:r w:rsidRPr="00900A88">
        <w:t xml:space="preserve"> librar</w:t>
      </w:r>
      <w:r>
        <w:t>y</w:t>
      </w:r>
      <w:r w:rsidRPr="00900A88">
        <w:t xml:space="preserve"> as “urban” </w:t>
      </w:r>
      <w:r>
        <w:t>if and only if the school or library is located in an urbanized area as determined by the most recent rural-urban classification by the Bureau of the Census; the Administrator shall designate all other schools and libraries as</w:t>
      </w:r>
      <w:r w:rsidRPr="00900A88">
        <w:t xml:space="preserve"> “rural”.</w:t>
      </w:r>
    </w:p>
    <w:p w14:paraId="1745AB63" w14:textId="77777777" w:rsidR="008C588D" w:rsidRPr="005E4CB4" w:rsidRDefault="008C588D" w:rsidP="008C588D">
      <w:pPr>
        <w:ind w:left="720"/>
      </w:pPr>
    </w:p>
    <w:p w14:paraId="66CCBFAB" w14:textId="77777777" w:rsidR="008C588D" w:rsidRDefault="008C588D" w:rsidP="008C588D">
      <w:pPr>
        <w:pStyle w:val="ParaNum"/>
      </w:pPr>
      <w:r>
        <w:t xml:space="preserve">In 2010, the American Library Association (ALA) pointed out that </w:t>
      </w:r>
      <w:r w:rsidRPr="00F4232E">
        <w:t>libraries do not have urban-centric locale codes</w:t>
      </w:r>
      <w:r>
        <w:t>.</w:t>
      </w:r>
      <w:r>
        <w:rPr>
          <w:rStyle w:val="FootnoteReference"/>
        </w:rPr>
        <w:footnoteReference w:id="373"/>
      </w:r>
      <w:r>
        <w:t xml:space="preserve">  We therefore seek comment on how libraries should determine </w:t>
      </w:r>
      <w:r w:rsidRPr="00516608">
        <w:t>whether they are considered urban or rural</w:t>
      </w:r>
      <w:r>
        <w:t xml:space="preserve">.  How can we ensure libraries serving rural areas receive sufficient support?  Should libraries use the locale-code of the school closest to each library? If we adopt our proposal below to adopt district-wide discount criteria should a library use the urban-centric code of the school district in which it is located?  Are there any library systems that have facilities in multiple school districts?  If so, we seek comment on how to account for </w:t>
      </w:r>
      <w:r>
        <w:lastRenderedPageBreak/>
        <w:t xml:space="preserve">such library systems.  </w:t>
      </w:r>
      <w:r w:rsidRPr="00A27954">
        <w:t xml:space="preserve">We also invite commenters to suggest alternate definitions of rural for use in the </w:t>
      </w:r>
      <w:r>
        <w:t>E-rate</w:t>
      </w:r>
      <w:r w:rsidRPr="00A27954">
        <w:t xml:space="preserve"> program, and we ask that commenters who offer other definitions explain the benefits and drawbacks of their proposals as compared to our proposal.</w:t>
      </w:r>
      <w:r w:rsidRPr="00CF7EA5">
        <w:t xml:space="preserve"> </w:t>
      </w:r>
      <w:r>
        <w:t xml:space="preserve"> </w:t>
      </w:r>
    </w:p>
    <w:p w14:paraId="46DBC708" w14:textId="57E1E0A1" w:rsidR="008C588D" w:rsidRPr="00CD7DD8" w:rsidRDefault="008C588D" w:rsidP="008C588D">
      <w:pPr>
        <w:pStyle w:val="ParaNum"/>
      </w:pPr>
      <w:bookmarkStart w:id="2536" w:name="_Ref362253068"/>
      <w:r>
        <w:t>Finally, we seek comment on how existing E-rate schools and libraries that that receive support would be impacted by changes to the rural definition.  Should we phase in changes to the rural definition over time to help schools and libraries that are reclassified as non-rural to adjust?</w:t>
      </w:r>
      <w:bookmarkEnd w:id="2536"/>
    </w:p>
    <w:p w14:paraId="31742710" w14:textId="5D00B364" w:rsidR="00647347" w:rsidRPr="00A27954" w:rsidRDefault="00647347" w:rsidP="00B9652C">
      <w:pPr>
        <w:pStyle w:val="Heading2"/>
      </w:pPr>
      <w:bookmarkStart w:id="2537" w:name="_Toc359853209"/>
      <w:bookmarkStart w:id="2538" w:name="_Toc359853445"/>
      <w:bookmarkStart w:id="2539" w:name="_Toc359853708"/>
      <w:bookmarkStart w:id="2540" w:name="_Toc359858676"/>
      <w:bookmarkStart w:id="2541" w:name="_Toc359859624"/>
      <w:bookmarkStart w:id="2542" w:name="_Toc359940090"/>
      <w:bookmarkStart w:id="2543" w:name="_Toc360025465"/>
      <w:bookmarkStart w:id="2544" w:name="_Toc360107516"/>
      <w:bookmarkStart w:id="2545" w:name="_Toc360111640"/>
      <w:bookmarkStart w:id="2546" w:name="_Toc360172825"/>
      <w:bookmarkStart w:id="2547" w:name="_Toc360186166"/>
      <w:bookmarkStart w:id="2548" w:name="_Toc360186243"/>
      <w:bookmarkStart w:id="2549" w:name="_Toc360186447"/>
      <w:bookmarkStart w:id="2550" w:name="_Toc360186519"/>
      <w:bookmarkStart w:id="2551" w:name="_Toc360187320"/>
      <w:bookmarkStart w:id="2552" w:name="_Toc360187481"/>
      <w:bookmarkStart w:id="2553" w:name="_Toc360208926"/>
      <w:bookmarkStart w:id="2554" w:name="_Toc360212059"/>
      <w:bookmarkStart w:id="2555" w:name="_Toc361663129"/>
      <w:bookmarkStart w:id="2556" w:name="_Toc361857707"/>
      <w:bookmarkStart w:id="2557" w:name="_Toc361918799"/>
      <w:bookmarkStart w:id="2558" w:name="_Toc362272577"/>
      <w:bookmarkStart w:id="2559" w:name="_Toc354478095"/>
      <w:bookmarkStart w:id="2560" w:name="_Toc354478717"/>
      <w:bookmarkStart w:id="2561" w:name="_Toc354660733"/>
      <w:bookmarkStart w:id="2562" w:name="_Toc358208815"/>
      <w:bookmarkStart w:id="2563" w:name="_Toc358210318"/>
      <w:bookmarkStart w:id="2564" w:name="_Toc358210465"/>
      <w:bookmarkStart w:id="2565" w:name="_Toc358210643"/>
      <w:bookmarkStart w:id="2566" w:name="_Toc358210744"/>
      <w:bookmarkStart w:id="2567" w:name="_Toc358213678"/>
      <w:bookmarkStart w:id="2568" w:name="_Toc358213810"/>
      <w:bookmarkStart w:id="2569" w:name="_Toc358301304"/>
      <w:bookmarkStart w:id="2570" w:name="_Toc358720050"/>
      <w:bookmarkStart w:id="2571" w:name="_Toc358971276"/>
      <w:bookmarkStart w:id="2572" w:name="_Toc358974877"/>
      <w:bookmarkStart w:id="2573" w:name="_Toc358975775"/>
      <w:bookmarkStart w:id="2574" w:name="_Toc358975937"/>
      <w:bookmarkStart w:id="2575" w:name="_Toc358976178"/>
      <w:bookmarkStart w:id="2576" w:name="_Toc358981033"/>
      <w:bookmarkStart w:id="2577" w:name="_Toc358981149"/>
      <w:bookmarkStart w:id="2578" w:name="_Toc358982413"/>
      <w:bookmarkStart w:id="2579" w:name="_Toc358982503"/>
      <w:bookmarkStart w:id="2580" w:name="_Toc359239285"/>
      <w:bookmarkStart w:id="2581" w:name="_Toc359239342"/>
      <w:bookmarkStart w:id="2582" w:name="_Toc359252301"/>
      <w:bookmarkStart w:id="2583" w:name="_Toc359326050"/>
      <w:bookmarkStart w:id="2584" w:name="_Toc359333298"/>
      <w:bookmarkStart w:id="2585" w:name="_Toc359339952"/>
      <w:bookmarkStart w:id="2586" w:name="_Toc359343216"/>
      <w:bookmarkStart w:id="2587" w:name="_Toc359347025"/>
      <w:bookmarkStart w:id="2588" w:name="_Toc359598715"/>
      <w:bookmarkStart w:id="2589" w:name="_Toc352064565"/>
      <w:bookmarkStart w:id="2590" w:name="_Toc352078342"/>
      <w:bookmarkStart w:id="2591" w:name="_Toc352078394"/>
      <w:bookmarkStart w:id="2592" w:name="_Toc352078456"/>
      <w:bookmarkStart w:id="2593" w:name="_Toc352079048"/>
      <w:bookmarkStart w:id="2594" w:name="_Toc352080409"/>
      <w:bookmarkStart w:id="2595" w:name="_Toc352139792"/>
      <w:r w:rsidRPr="00A27954">
        <w:t>Address</w:t>
      </w:r>
      <w:r w:rsidR="00112767">
        <w:t>ing</w:t>
      </w:r>
      <w:r w:rsidRPr="00A27954">
        <w:t xml:space="preserve"> </w:t>
      </w:r>
      <w:r>
        <w:t>C</w:t>
      </w:r>
      <w:r w:rsidRPr="00A27954">
        <w:t xml:space="preserve">hanges to the </w:t>
      </w:r>
      <w:r>
        <w:t>N</w:t>
      </w:r>
      <w:r w:rsidRPr="00A27954">
        <w:t>ational School Lunch Program</w:t>
      </w:r>
      <w:bookmarkEnd w:id="2537"/>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p>
    <w:p w14:paraId="500B5692" w14:textId="48F7F7D0" w:rsidR="00647347" w:rsidRPr="00DE6CAF" w:rsidRDefault="00647347" w:rsidP="00647347">
      <w:pPr>
        <w:pStyle w:val="ParaNum"/>
        <w:rPr>
          <w:szCs w:val="22"/>
        </w:rPr>
      </w:pPr>
      <w:bookmarkStart w:id="2596" w:name="_Ref360204651"/>
      <w:r w:rsidRPr="00A27954">
        <w:t xml:space="preserve">As we consider changes to the structure of the </w:t>
      </w:r>
      <w:r>
        <w:t>E-rate</w:t>
      </w:r>
      <w:r w:rsidRPr="00A27954">
        <w:t xml:space="preserve"> program, we also take this opportunity to address changes in the National School Lunch Program (NSLP) that necessitate some adjustments to how we determine what discounts some schools and libraries can receive.  Traditionally, schools that participate in the NSLP collect individual eligibility applications from each of their students seeking free or reduced-priced lunches.</w:t>
      </w:r>
      <w:r w:rsidRPr="00A27954">
        <w:rPr>
          <w:vertAlign w:val="superscript"/>
        </w:rPr>
        <w:footnoteReference w:id="374"/>
      </w:r>
      <w:r w:rsidRPr="00A27954">
        <w:t xml:space="preserve">  Under the </w:t>
      </w:r>
      <w:r>
        <w:t>E-rate</w:t>
      </w:r>
      <w:r w:rsidRPr="00A27954">
        <w:t xml:space="preserve"> program, most schools and school districts use the NSLP eligibility as a proxy for poverty when calculating discounts on services received under the </w:t>
      </w:r>
      <w:r>
        <w:t>E-rate</w:t>
      </w:r>
      <w:r w:rsidRPr="00A27954">
        <w:t xml:space="preserve"> program.</w:t>
      </w:r>
      <w:r w:rsidRPr="00A27954">
        <w:rPr>
          <w:bCs/>
          <w:vertAlign w:val="superscript"/>
        </w:rPr>
        <w:footnoteReference w:id="375"/>
      </w:r>
      <w:r w:rsidRPr="00A27954">
        <w:t xml:space="preserve">  In the alternative, schools and school districts can use a federally-approved alternative mechanism, such as a survey.</w:t>
      </w:r>
      <w:r w:rsidRPr="00A27954">
        <w:rPr>
          <w:vertAlign w:val="superscript"/>
        </w:rPr>
        <w:footnoteReference w:id="376"/>
      </w:r>
      <w:r w:rsidRPr="00A27954">
        <w:t xml:space="preserve">  Libraries’ discount percentages are based on the public school district in which they are physically located.</w:t>
      </w:r>
      <w:r w:rsidRPr="00A27954">
        <w:rPr>
          <w:vertAlign w:val="superscript"/>
        </w:rPr>
        <w:footnoteReference w:id="377"/>
      </w:r>
      <w:bookmarkEnd w:id="2596"/>
      <w:r w:rsidRPr="00A27954">
        <w:t xml:space="preserve">  </w:t>
      </w:r>
    </w:p>
    <w:p w14:paraId="5E04FCFF" w14:textId="6BEABB27" w:rsidR="00647347" w:rsidRPr="00721A16" w:rsidRDefault="008E44CA" w:rsidP="00647347">
      <w:pPr>
        <w:pStyle w:val="ParaNum"/>
        <w:rPr>
          <w:szCs w:val="22"/>
        </w:rPr>
      </w:pPr>
      <w:bookmarkStart w:id="2597" w:name="_Ref360203349"/>
      <w:r w:rsidRPr="00A27954">
        <w:lastRenderedPageBreak/>
        <w:t>In 2011, as mandated by the Healthy, Hunger-Free Kids Act of 2010,</w:t>
      </w:r>
      <w:r w:rsidRPr="00A27954">
        <w:rPr>
          <w:szCs w:val="22"/>
          <w:vertAlign w:val="superscript"/>
        </w:rPr>
        <w:footnoteReference w:id="378"/>
      </w:r>
      <w:r w:rsidRPr="00A27954">
        <w:t xml:space="preserve"> the United States Department of Agriculture (USDA) began rolling out a new reimbursement mechanism called the Community Eligibility Option (CEO), allowing schools to elect to serve free breakfasts and lunches to all the students attending a school without collecting household applications from any of the students at the school</w:t>
      </w:r>
      <w:r>
        <w:t>.</w:t>
      </w:r>
      <w:r>
        <w:rPr>
          <w:rStyle w:val="FootnoteReference"/>
        </w:rPr>
        <w:footnoteReference w:id="379"/>
      </w:r>
      <w:r w:rsidRPr="004F322C">
        <w:t xml:space="preserve">  S</w:t>
      </w:r>
      <w:r w:rsidRPr="00A27954">
        <w:rPr>
          <w:rFonts w:eastAsia="?????? Pro W3"/>
          <w:color w:val="000000"/>
        </w:rPr>
        <w:t>chools that elect to participate in the CEO must: (1) have 40</w:t>
      </w:r>
      <w:r>
        <w:rPr>
          <w:rFonts w:eastAsia="?????? Pro W3"/>
          <w:color w:val="000000"/>
        </w:rPr>
        <w:t xml:space="preserve"> percent</w:t>
      </w:r>
      <w:r w:rsidRPr="008707E2">
        <w:rPr>
          <w:rFonts w:eastAsia="?????? Pro W3"/>
          <w:color w:val="000000"/>
        </w:rPr>
        <w:t xml:space="preserve"> o</w:t>
      </w:r>
      <w:r w:rsidRPr="00A27954">
        <w:rPr>
          <w:rFonts w:eastAsia="?????? Pro W3"/>
          <w:color w:val="000000"/>
        </w:rPr>
        <w:t>r more of their students directly certified as eligible (“Identified Students”)</w:t>
      </w:r>
      <w:r w:rsidRPr="00A27954">
        <w:rPr>
          <w:szCs w:val="22"/>
          <w:vertAlign w:val="superscript"/>
        </w:rPr>
        <w:footnoteReference w:id="380"/>
      </w:r>
      <w:r w:rsidRPr="00A27954">
        <w:rPr>
          <w:szCs w:val="22"/>
        </w:rPr>
        <w:t xml:space="preserve"> </w:t>
      </w:r>
      <w:r w:rsidRPr="00A27954">
        <w:rPr>
          <w:rFonts w:eastAsia="?????? Pro W3"/>
          <w:color w:val="000000"/>
        </w:rPr>
        <w:t>for free meals (</w:t>
      </w:r>
      <w:r>
        <w:rPr>
          <w:rFonts w:eastAsia="?????? Pro W3"/>
          <w:color w:val="000000"/>
        </w:rPr>
        <w:t>for example</w:t>
      </w:r>
      <w:r w:rsidRPr="00A27954">
        <w:rPr>
          <w:rFonts w:eastAsia="?????? Pro W3"/>
          <w:color w:val="000000"/>
        </w:rPr>
        <w:t>, on the basis of their participation in the Supplemental Nutrition Assistance Program (SNAP), Temporary Assistance for Needy Families, or Food Distribution Program on Indian Reservations) in the year prior to implementing the option; (2) agree to serve free lunches and breakfasts to all students for four successive school years;</w:t>
      </w:r>
      <w:r w:rsidRPr="00A27954">
        <w:rPr>
          <w:szCs w:val="22"/>
          <w:vertAlign w:val="superscript"/>
        </w:rPr>
        <w:t xml:space="preserve"> </w:t>
      </w:r>
      <w:r w:rsidRPr="00A27954">
        <w:rPr>
          <w:rFonts w:eastAsia="?????? Pro W3"/>
          <w:color w:val="000000"/>
        </w:rPr>
        <w:t>and (3) agree to cover with non-federal funds any costs of providing free meals to all students above amounts provided in federal assistance.</w:t>
      </w:r>
      <w:r w:rsidRPr="00A27954">
        <w:rPr>
          <w:szCs w:val="22"/>
          <w:vertAlign w:val="superscript"/>
        </w:rPr>
        <w:footnoteReference w:id="381"/>
      </w:r>
      <w:r w:rsidRPr="00A27954">
        <w:rPr>
          <w:rFonts w:eastAsia="?????? Pro W3"/>
          <w:color w:val="000000"/>
        </w:rPr>
        <w:t xml:space="preserve">  To compensate for the students who would qualify for free or reduced price meals, but who do not participate in a program which </w:t>
      </w:r>
      <w:r>
        <w:rPr>
          <w:rFonts w:eastAsia="?????? Pro W3"/>
          <w:color w:val="000000"/>
        </w:rPr>
        <w:t>allows them to be</w:t>
      </w:r>
      <w:r w:rsidRPr="00A27954">
        <w:rPr>
          <w:rFonts w:eastAsia="?????? Pro W3"/>
          <w:color w:val="000000"/>
        </w:rPr>
        <w:t xml:space="preserve"> directly certified</w:t>
      </w:r>
      <w:r>
        <w:rPr>
          <w:rFonts w:eastAsia="?????? Pro W3"/>
          <w:color w:val="000000"/>
        </w:rPr>
        <w:t xml:space="preserve"> as school lunch-eligible</w:t>
      </w:r>
      <w:r w:rsidRPr="00A27954">
        <w:rPr>
          <w:rFonts w:eastAsia="?????? Pro W3"/>
          <w:color w:val="000000"/>
        </w:rPr>
        <w:t>, schools in the CEO program apply a standard multiplier of 1.6 to their Identified Students population in order to determine the total percentage of meals for which they will be reimbursed by the USDA.</w:t>
      </w:r>
      <w:r w:rsidRPr="00A27954">
        <w:rPr>
          <w:szCs w:val="22"/>
          <w:vertAlign w:val="superscript"/>
        </w:rPr>
        <w:footnoteReference w:id="382"/>
      </w:r>
      <w:r w:rsidRPr="00A27954">
        <w:rPr>
          <w:szCs w:val="22"/>
        </w:rPr>
        <w:t xml:space="preserve"> </w:t>
      </w:r>
      <w:r w:rsidRPr="00A27954">
        <w:rPr>
          <w:rFonts w:eastAsia="?????? Pro W3"/>
          <w:color w:val="000000"/>
        </w:rPr>
        <w:t xml:space="preserve"> Schools are then responsible </w:t>
      </w:r>
      <w:r w:rsidRPr="00A27954">
        <w:rPr>
          <w:rFonts w:eastAsia="?????? Pro W3"/>
          <w:color w:val="000000"/>
        </w:rPr>
        <w:lastRenderedPageBreak/>
        <w:t>for the difference between the federal reimbursement rate and the total cost of meals for all students.</w:t>
      </w:r>
      <w:r w:rsidRPr="00A27954">
        <w:rPr>
          <w:rFonts w:eastAsia="?????? Pro W3"/>
          <w:vertAlign w:val="superscript"/>
        </w:rPr>
        <w:footnoteReference w:id="383"/>
      </w:r>
      <w:bookmarkEnd w:id="2597"/>
    </w:p>
    <w:p w14:paraId="006ABA4D" w14:textId="1FE3E7EF" w:rsidR="00647347" w:rsidRPr="003073B3" w:rsidRDefault="00647347" w:rsidP="00647347">
      <w:pPr>
        <w:pStyle w:val="ParaNum"/>
        <w:rPr>
          <w:szCs w:val="22"/>
        </w:rPr>
      </w:pPr>
      <w:r w:rsidRPr="001B38D8">
        <w:rPr>
          <w:color w:val="000000"/>
          <w:szCs w:val="22"/>
        </w:rPr>
        <w:t>Becau</w:t>
      </w:r>
      <w:r w:rsidRPr="003073B3">
        <w:rPr>
          <w:color w:val="000000"/>
          <w:szCs w:val="22"/>
        </w:rPr>
        <w:t xml:space="preserve">se </w:t>
      </w:r>
      <w:r w:rsidRPr="003073B3">
        <w:rPr>
          <w:rFonts w:eastAsia="?????? Pro W3"/>
        </w:rPr>
        <w:t>schools</w:t>
      </w:r>
      <w:r w:rsidRPr="008707E2">
        <w:rPr>
          <w:rFonts w:eastAsia="?????? Pro W3"/>
        </w:rPr>
        <w:t xml:space="preserve"> that participate in the CEO no longer collect individual eligibility data from participating students</w:t>
      </w:r>
      <w:r w:rsidRPr="003073B3">
        <w:rPr>
          <w:rFonts w:eastAsia="?????? Pro W3"/>
        </w:rPr>
        <w:t xml:space="preserve">, it could </w:t>
      </w:r>
      <w:r>
        <w:rPr>
          <w:rFonts w:eastAsia="?????? Pro W3"/>
        </w:rPr>
        <w:t>affec</w:t>
      </w:r>
      <w:r w:rsidRPr="003073B3">
        <w:rPr>
          <w:rFonts w:eastAsia="?????? Pro W3"/>
        </w:rPr>
        <w:t xml:space="preserve">t </w:t>
      </w:r>
      <w:r w:rsidRPr="003073B3">
        <w:rPr>
          <w:color w:val="000000"/>
          <w:szCs w:val="22"/>
        </w:rPr>
        <w:t>student eligibility for free school meals.</w:t>
      </w:r>
      <w:r w:rsidRPr="008707E2">
        <w:rPr>
          <w:rFonts w:eastAsia="?????? Pro W3"/>
        </w:rPr>
        <w:t xml:space="preserve"> </w:t>
      </w:r>
      <w:r w:rsidR="00104952">
        <w:rPr>
          <w:rFonts w:eastAsia="?????? Pro W3"/>
        </w:rPr>
        <w:t xml:space="preserve"> </w:t>
      </w:r>
      <w:r w:rsidRPr="008707E2">
        <w:rPr>
          <w:color w:val="000000"/>
        </w:rPr>
        <w:t xml:space="preserve">If the </w:t>
      </w:r>
      <w:r>
        <w:rPr>
          <w:color w:val="000000"/>
        </w:rPr>
        <w:t>E-rate</w:t>
      </w:r>
      <w:r w:rsidRPr="008707E2">
        <w:rPr>
          <w:color w:val="000000"/>
        </w:rPr>
        <w:t xml:space="preserve"> program were to use the same </w:t>
      </w:r>
      <w:r w:rsidRPr="00AB168E">
        <w:rPr>
          <w:rFonts w:eastAsia="?????? Pro W3"/>
        </w:rPr>
        <w:t>eligibility</w:t>
      </w:r>
      <w:r w:rsidRPr="008707E2">
        <w:rPr>
          <w:color w:val="000000"/>
        </w:rPr>
        <w:t xml:space="preserve"> criteria as the CEO</w:t>
      </w:r>
      <w:r>
        <w:rPr>
          <w:color w:val="000000"/>
        </w:rPr>
        <w:t xml:space="preserve"> </w:t>
      </w:r>
      <w:r w:rsidRPr="008707E2">
        <w:rPr>
          <w:color w:val="000000"/>
        </w:rPr>
        <w:t xml:space="preserve">program to determine </w:t>
      </w:r>
      <w:r>
        <w:rPr>
          <w:color w:val="000000"/>
        </w:rPr>
        <w:t>E-rate</w:t>
      </w:r>
      <w:r w:rsidRPr="008707E2">
        <w:rPr>
          <w:color w:val="000000"/>
        </w:rPr>
        <w:t xml:space="preserve"> discounts</w:t>
      </w:r>
      <w:r w:rsidRPr="003073B3">
        <w:rPr>
          <w:color w:val="000000"/>
          <w:szCs w:val="22"/>
        </w:rPr>
        <w:t xml:space="preserve"> against the current discount matrix</w:t>
      </w:r>
      <w:r w:rsidRPr="008707E2">
        <w:rPr>
          <w:color w:val="000000"/>
        </w:rPr>
        <w:t xml:space="preserve">, it could </w:t>
      </w:r>
      <w:r w:rsidRPr="003073B3">
        <w:rPr>
          <w:color w:val="000000"/>
          <w:szCs w:val="22"/>
        </w:rPr>
        <w:t xml:space="preserve">potentially </w:t>
      </w:r>
      <w:r w:rsidRPr="008707E2">
        <w:rPr>
          <w:color w:val="000000"/>
        </w:rPr>
        <w:t xml:space="preserve">increase </w:t>
      </w:r>
      <w:r w:rsidRPr="008707E2">
        <w:t xml:space="preserve">the number of schools eligible for 80 percent discounts and higher on the </w:t>
      </w:r>
      <w:r>
        <w:t>E-rate</w:t>
      </w:r>
      <w:r w:rsidRPr="008707E2">
        <w:t xml:space="preserve"> discount matrix.</w:t>
      </w:r>
      <w:r w:rsidRPr="008707E2">
        <w:rPr>
          <w:vertAlign w:val="superscript"/>
        </w:rPr>
        <w:footnoteReference w:id="384"/>
      </w:r>
    </w:p>
    <w:p w14:paraId="1979D286" w14:textId="05457A9E" w:rsidR="00647347" w:rsidRPr="00A27954" w:rsidRDefault="00647347" w:rsidP="00647347">
      <w:pPr>
        <w:pStyle w:val="ParaNum"/>
        <w:rPr>
          <w:szCs w:val="22"/>
        </w:rPr>
      </w:pPr>
      <w:r w:rsidRPr="00A27954">
        <w:rPr>
          <w:rFonts w:eastAsia="?????? Pro W3"/>
        </w:rPr>
        <w:t xml:space="preserve">In 2011, the Bureau directed USAC to allow schools participating in the CEO program to use their NSLP eligibility data for the most recent </w:t>
      </w:r>
      <w:r>
        <w:rPr>
          <w:rFonts w:eastAsia="?????? Pro W3"/>
        </w:rPr>
        <w:t>E-rate</w:t>
      </w:r>
      <w:r w:rsidRPr="00A27954">
        <w:rPr>
          <w:rFonts w:eastAsia="?????? Pro W3"/>
        </w:rPr>
        <w:t xml:space="preserve"> funding year in which such schools did not participate in the CEO to determine </w:t>
      </w:r>
      <w:r>
        <w:rPr>
          <w:rFonts w:eastAsia="?????? Pro W3"/>
        </w:rPr>
        <w:t xml:space="preserve">their E-rate </w:t>
      </w:r>
      <w:r w:rsidRPr="00A27954">
        <w:rPr>
          <w:rFonts w:eastAsia="?????? Pro W3"/>
        </w:rPr>
        <w:t>discounts.</w:t>
      </w:r>
      <w:r w:rsidRPr="00A27954">
        <w:t xml:space="preserve"> </w:t>
      </w:r>
      <w:r w:rsidR="00104952">
        <w:t xml:space="preserve"> </w:t>
      </w:r>
      <w:r>
        <w:t>I</w:t>
      </w:r>
      <w:r w:rsidRPr="00A27954">
        <w:t xml:space="preserve">n 2012, the Bureau </w:t>
      </w:r>
      <w:r>
        <w:t>repeated this</w:t>
      </w:r>
      <w:r w:rsidRPr="00A27954">
        <w:t xml:space="preserve"> guidance.</w:t>
      </w:r>
      <w:r w:rsidRPr="00A27954">
        <w:rPr>
          <w:szCs w:val="22"/>
          <w:vertAlign w:val="superscript"/>
        </w:rPr>
        <w:footnoteReference w:id="385"/>
      </w:r>
    </w:p>
    <w:p w14:paraId="718E1B25" w14:textId="77777777" w:rsidR="00647347" w:rsidRPr="00A27954" w:rsidRDefault="00647347" w:rsidP="00647347">
      <w:pPr>
        <w:pStyle w:val="ParaNum"/>
        <w:rPr>
          <w:szCs w:val="22"/>
        </w:rPr>
      </w:pPr>
      <w:bookmarkStart w:id="2598" w:name="_Ref360203366"/>
      <w:r>
        <w:t>W</w:t>
      </w:r>
      <w:r w:rsidRPr="00A27954">
        <w:t xml:space="preserve">e </w:t>
      </w:r>
      <w:r>
        <w:t xml:space="preserve">now </w:t>
      </w:r>
      <w:r w:rsidRPr="00A27954">
        <w:t xml:space="preserve">seek to gather data that will inform our ability to assess the extent and impact of challenges related to the CEO and the </w:t>
      </w:r>
      <w:r>
        <w:t>E-rate</w:t>
      </w:r>
      <w:r w:rsidRPr="00A27954">
        <w:t xml:space="preserve"> program.  In particular, we seek comment on six over-arching issues.  First, we seek comment on </w:t>
      </w:r>
      <w:r w:rsidRPr="00A27954">
        <w:rPr>
          <w:szCs w:val="22"/>
        </w:rPr>
        <w:t>how we should calculate student eligibility for schools and school districts electing the CEO as opposed to those schools and school districts not electing the CEO.  If we adopt two separate tracks</w:t>
      </w:r>
      <w:r>
        <w:rPr>
          <w:szCs w:val="22"/>
        </w:rPr>
        <w:t xml:space="preserve"> – CEO schools and school districts and non-CEO schools and school districts–</w:t>
      </w:r>
      <w:r w:rsidRPr="00A27954">
        <w:rPr>
          <w:szCs w:val="22"/>
        </w:rPr>
        <w:t xml:space="preserve">should CEO schools be permitted to qualify under either track, or should they be </w:t>
      </w:r>
      <w:r>
        <w:rPr>
          <w:szCs w:val="22"/>
        </w:rPr>
        <w:t>limited</w:t>
      </w:r>
      <w:r w:rsidRPr="00A27954">
        <w:rPr>
          <w:szCs w:val="22"/>
        </w:rPr>
        <w:t xml:space="preserve"> to the CEO track?  Commenters should address the practical implications of adopting two separate tracks.  Should any adopted methodology for determining discount rates attempt to preserve an applicant’s average discount rate under the current </w:t>
      </w:r>
      <w:r>
        <w:rPr>
          <w:szCs w:val="22"/>
        </w:rPr>
        <w:t>E-rate</w:t>
      </w:r>
      <w:r w:rsidRPr="00A27954">
        <w:rPr>
          <w:szCs w:val="22"/>
        </w:rPr>
        <w:t xml:space="preserve"> program or the current overall distribution of discount rates among the applicants?</w:t>
      </w:r>
      <w:bookmarkEnd w:id="2598"/>
      <w:r w:rsidRPr="00A27954">
        <w:rPr>
          <w:szCs w:val="22"/>
        </w:rPr>
        <w:t xml:space="preserve">  </w:t>
      </w:r>
    </w:p>
    <w:p w14:paraId="73B4562F" w14:textId="7F4169DD" w:rsidR="00647347" w:rsidRPr="00A27954" w:rsidRDefault="00647347" w:rsidP="00647347">
      <w:pPr>
        <w:pStyle w:val="ParaNum"/>
        <w:rPr>
          <w:szCs w:val="22"/>
        </w:rPr>
      </w:pPr>
      <w:r w:rsidRPr="00A27954">
        <w:t xml:space="preserve">Second, we seek comment on whether we should consider alternative ways to measure the poverty level for eligible </w:t>
      </w:r>
      <w:r w:rsidRPr="00A27954">
        <w:lastRenderedPageBreak/>
        <w:t xml:space="preserve">schools and libraries that is minimally burdensome for schools and provides an accurate measure of poverty.  For example, should </w:t>
      </w:r>
      <w:r>
        <w:t xml:space="preserve">the Commission </w:t>
      </w:r>
      <w:r w:rsidRPr="00A27954">
        <w:t>reconsider using U.S. Census Bureau data</w:t>
      </w:r>
      <w:r w:rsidRPr="00A27954">
        <w:rPr>
          <w:szCs w:val="22"/>
        </w:rPr>
        <w:t xml:space="preserve">, such as the </w:t>
      </w:r>
      <w:r w:rsidRPr="00A27954">
        <w:rPr>
          <w:rFonts w:cs="TimesNewRomanPSMT"/>
          <w:szCs w:val="22"/>
        </w:rPr>
        <w:t>American Community Survey (ACS),</w:t>
      </w:r>
      <w:r w:rsidRPr="00A27954">
        <w:rPr>
          <w:rFonts w:cs="TimesNewRomanPSMT"/>
          <w:vertAlign w:val="superscript"/>
        </w:rPr>
        <w:footnoteReference w:id="386"/>
      </w:r>
      <w:r w:rsidRPr="00A27954">
        <w:rPr>
          <w:rFonts w:cs="TimesNewRomanPSMT"/>
          <w:szCs w:val="22"/>
        </w:rPr>
        <w:t xml:space="preserve"> a</w:t>
      </w:r>
      <w:r>
        <w:rPr>
          <w:rFonts w:cs="TimesNewRomanPSMT"/>
          <w:szCs w:val="22"/>
        </w:rPr>
        <w:t>n</w:t>
      </w:r>
      <w:r w:rsidRPr="00A27954">
        <w:rPr>
          <w:rFonts w:cs="TimesNewRomanPSMT"/>
          <w:szCs w:val="22"/>
        </w:rPr>
        <w:t xml:space="preserve"> </w:t>
      </w:r>
      <w:r>
        <w:rPr>
          <w:rFonts w:cs="TimesNewRomanPSMT"/>
          <w:szCs w:val="22"/>
        </w:rPr>
        <w:t xml:space="preserve">annual </w:t>
      </w:r>
      <w:r w:rsidRPr="00A27954">
        <w:rPr>
          <w:rFonts w:cs="TimesNewRomanPSMT"/>
          <w:szCs w:val="22"/>
        </w:rPr>
        <w:t>socioeconomic survey of households</w:t>
      </w:r>
      <w:r w:rsidRPr="00A27954">
        <w:rPr>
          <w:rFonts w:cs="Arial"/>
          <w:szCs w:val="22"/>
        </w:rPr>
        <w:t>,</w:t>
      </w:r>
      <w:r w:rsidRPr="00A27954">
        <w:rPr>
          <w:rFonts w:ascii="TimesNewRomanPSMT" w:hAnsi="TimesNewRomanPSMT" w:cs="TimesNewRomanPSMT"/>
        </w:rPr>
        <w:t xml:space="preserve"> </w:t>
      </w:r>
      <w:r w:rsidRPr="00A27954">
        <w:rPr>
          <w:rFonts w:cs="TimesNewRomanPSMT"/>
          <w:szCs w:val="22"/>
        </w:rPr>
        <w:t>to determine reimbursement</w:t>
      </w:r>
      <w:r>
        <w:rPr>
          <w:rFonts w:cs="TimesNewRomanPSMT"/>
          <w:szCs w:val="22"/>
        </w:rPr>
        <w:t xml:space="preserve"> levels</w:t>
      </w:r>
      <w:r w:rsidRPr="00A27954">
        <w:rPr>
          <w:rFonts w:cs="TimesNewRomanPSMT"/>
          <w:szCs w:val="22"/>
        </w:rPr>
        <w:t>?</w:t>
      </w:r>
      <w:r w:rsidRPr="00A27954">
        <w:rPr>
          <w:vertAlign w:val="superscript"/>
        </w:rPr>
        <w:footnoteReference w:id="387"/>
      </w:r>
      <w:r w:rsidRPr="00A27954">
        <w:t xml:space="preserve"> </w:t>
      </w:r>
      <w:r>
        <w:rPr>
          <w:rFonts w:cs="TimesNewRomanPSMT"/>
          <w:szCs w:val="22"/>
        </w:rPr>
        <w:t xml:space="preserve"> T</w:t>
      </w:r>
      <w:r w:rsidRPr="00A27954">
        <w:rPr>
          <w:rFonts w:cs="TimesNewRomanPSMT"/>
          <w:szCs w:val="22"/>
        </w:rPr>
        <w:t xml:space="preserve">he ACS </w:t>
      </w:r>
      <w:r w:rsidRPr="00A27954">
        <w:rPr>
          <w:szCs w:val="22"/>
        </w:rPr>
        <w:t>is designed to produce relatively precise estimates throughout the nation for small geographic areas, such as school districts, by surveying large samples of households and accumulating data over periods of 1, 3, and 5 years, depending on an area’s population.</w:t>
      </w:r>
      <w:r w:rsidRPr="00A27954">
        <w:rPr>
          <w:vertAlign w:val="superscript"/>
        </w:rPr>
        <w:footnoteReference w:id="388"/>
      </w:r>
      <w:r w:rsidRPr="00A27954">
        <w:rPr>
          <w:szCs w:val="22"/>
        </w:rPr>
        <w:t xml:space="preserve">  If </w:t>
      </w:r>
      <w:r>
        <w:rPr>
          <w:szCs w:val="22"/>
        </w:rPr>
        <w:t xml:space="preserve">we were to </w:t>
      </w:r>
      <w:r w:rsidRPr="00A27954">
        <w:rPr>
          <w:szCs w:val="22"/>
        </w:rPr>
        <w:t>u</w:t>
      </w:r>
      <w:r>
        <w:rPr>
          <w:szCs w:val="22"/>
        </w:rPr>
        <w:t>se</w:t>
      </w:r>
      <w:r w:rsidRPr="00A27954">
        <w:rPr>
          <w:szCs w:val="22"/>
        </w:rPr>
        <w:t xml:space="preserve"> U.S Census data</w:t>
      </w:r>
      <w:r>
        <w:rPr>
          <w:szCs w:val="22"/>
        </w:rPr>
        <w:t xml:space="preserve"> to set subsidy levels</w:t>
      </w:r>
      <w:r w:rsidRPr="00A27954">
        <w:rPr>
          <w:szCs w:val="22"/>
        </w:rPr>
        <w:t>, how would we ensure that such data accurately measures a school’s level of need rather than general community income</w:t>
      </w:r>
      <w:r>
        <w:rPr>
          <w:szCs w:val="22"/>
        </w:rPr>
        <w:t>?</w:t>
      </w:r>
      <w:r w:rsidRPr="00A27954">
        <w:rPr>
          <w:szCs w:val="22"/>
        </w:rPr>
        <w:t xml:space="preserve"> </w:t>
      </w:r>
      <w:r>
        <w:rPr>
          <w:szCs w:val="22"/>
        </w:rPr>
        <w:t>A</w:t>
      </w:r>
      <w:r w:rsidRPr="00A27954">
        <w:rPr>
          <w:szCs w:val="22"/>
        </w:rPr>
        <w:t xml:space="preserve">nd </w:t>
      </w:r>
      <w:r>
        <w:rPr>
          <w:szCs w:val="22"/>
        </w:rPr>
        <w:t xml:space="preserve">how could we ensure </w:t>
      </w:r>
      <w:r w:rsidRPr="00A27954">
        <w:rPr>
          <w:szCs w:val="22"/>
        </w:rPr>
        <w:t xml:space="preserve">that such data is </w:t>
      </w:r>
      <w:r>
        <w:rPr>
          <w:szCs w:val="22"/>
        </w:rPr>
        <w:t>sufficiently current</w:t>
      </w:r>
      <w:r w:rsidRPr="00A27954">
        <w:rPr>
          <w:szCs w:val="22"/>
        </w:rPr>
        <w:t xml:space="preserve">?  </w:t>
      </w:r>
      <w:r w:rsidR="00C63D4D">
        <w:rPr>
          <w:szCs w:val="22"/>
        </w:rPr>
        <w:t xml:space="preserve">Are there any issues regarding the definition of Tribal lands and the collection of data on Tribal lands in the ACS of which we should be aware?  </w:t>
      </w:r>
      <w:r w:rsidRPr="00A27954">
        <w:t>A</w:t>
      </w:r>
      <w:r>
        <w:rPr>
          <w:szCs w:val="22"/>
        </w:rPr>
        <w:t>s more states opt for the CEO, is there a</w:t>
      </w:r>
      <w:r w:rsidRPr="008707E2">
        <w:t xml:space="preserve"> common </w:t>
      </w:r>
      <w:r>
        <w:t xml:space="preserve">way in which to measure the </w:t>
      </w:r>
      <w:r w:rsidRPr="008707E2">
        <w:t xml:space="preserve">poverty </w:t>
      </w:r>
      <w:r>
        <w:t>level for schools</w:t>
      </w:r>
      <w:r w:rsidRPr="008707E2">
        <w:t xml:space="preserve"> that the </w:t>
      </w:r>
      <w:r w:rsidRPr="00A27954">
        <w:t>USDA, the U.S. Department of Education and the Commission could all use for CEO schools</w:t>
      </w:r>
      <w:r>
        <w:t xml:space="preserve"> in implementing their programs based on poverty levels</w:t>
      </w:r>
      <w:r w:rsidRPr="00A27954">
        <w:t xml:space="preserve">?  </w:t>
      </w:r>
      <w:r w:rsidRPr="00A27954">
        <w:rPr>
          <w:szCs w:val="22"/>
        </w:rPr>
        <w:t xml:space="preserve">Are there other ways to accurately measure poverty among schools that are familiar to most schools that we should consider?  </w:t>
      </w:r>
      <w:r w:rsidRPr="00A27954">
        <w:t xml:space="preserve">Specifically, in regard to libraries, is there an alternative method that may more accurately reflect the level of poverty in a library’s service area?  </w:t>
      </w:r>
      <w:r w:rsidRPr="00A27954">
        <w:rPr>
          <w:szCs w:val="22"/>
        </w:rPr>
        <w:t>Commenters should indicate whether any proposed alternatives are accessible to all schools and how difficult, costly, and burdensome such alternatives may be to administer among</w:t>
      </w:r>
      <w:r w:rsidRPr="00A27954">
        <w:t xml:space="preserve"> schools.  </w:t>
      </w:r>
    </w:p>
    <w:p w14:paraId="685B3558" w14:textId="77777777" w:rsidR="00647347" w:rsidRPr="00B7550B" w:rsidRDefault="00647347" w:rsidP="00647347">
      <w:pPr>
        <w:pStyle w:val="ParaNum"/>
        <w:rPr>
          <w:szCs w:val="22"/>
        </w:rPr>
      </w:pPr>
      <w:r w:rsidRPr="00A27954">
        <w:t xml:space="preserve">Third, we seek comment on whether we should require schools and school districts to use a federally-approved alternative mechanism, such as school-wide income survey, to </w:t>
      </w:r>
      <w:r w:rsidRPr="00A27954">
        <w:lastRenderedPageBreak/>
        <w:t>determine their level of poverty.  C</w:t>
      </w:r>
      <w:r w:rsidRPr="00A27954">
        <w:rPr>
          <w:szCs w:val="22"/>
        </w:rPr>
        <w:t xml:space="preserve">urrently, for CEO schools to maintain current free and reduced poverty statistics to determine eligibility for various additional state and federal program benefits that their students may qualify for, they have had to collect Household Information Surveys, which they then process manually following poverty guidelines.  Should the Commission require a similar survey or application for purposes of receiving </w:t>
      </w:r>
      <w:r>
        <w:rPr>
          <w:szCs w:val="22"/>
        </w:rPr>
        <w:t>E-rate</w:t>
      </w:r>
      <w:r w:rsidRPr="00A27954">
        <w:rPr>
          <w:szCs w:val="22"/>
        </w:rPr>
        <w:t xml:space="preserve"> program benefits?  We understand that the requirement of such a survey or form for purposes of the </w:t>
      </w:r>
      <w:r>
        <w:rPr>
          <w:szCs w:val="22"/>
        </w:rPr>
        <w:t>E-rate</w:t>
      </w:r>
      <w:r w:rsidRPr="00A27954">
        <w:rPr>
          <w:szCs w:val="22"/>
        </w:rPr>
        <w:t xml:space="preserve"> program may conflict with the objective of the CEO program to eliminate the effort associated with collecting and processing applications.</w:t>
      </w:r>
      <w:r w:rsidRPr="00A27954">
        <w:rPr>
          <w:szCs w:val="22"/>
          <w:vertAlign w:val="superscript"/>
        </w:rPr>
        <w:footnoteReference w:id="389"/>
      </w:r>
      <w:r w:rsidRPr="00A27954">
        <w:rPr>
          <w:szCs w:val="22"/>
        </w:rPr>
        <w:t xml:space="preserve">  However, does the benefit of receiving </w:t>
      </w:r>
      <w:r>
        <w:rPr>
          <w:szCs w:val="22"/>
        </w:rPr>
        <w:t>E-rate</w:t>
      </w:r>
      <w:r w:rsidRPr="00A27954">
        <w:rPr>
          <w:szCs w:val="22"/>
        </w:rPr>
        <w:t xml:space="preserve"> reimbursements for services outweigh any administrative burdens associated with collecting and processing these forms or surveys, particularly, where schools and school districts have already collected and processed these forms?  </w:t>
      </w:r>
    </w:p>
    <w:p w14:paraId="0E1A5CF2" w14:textId="77777777" w:rsidR="00647347" w:rsidRPr="00A27954" w:rsidRDefault="00647347" w:rsidP="00647347">
      <w:pPr>
        <w:pStyle w:val="ParaNum"/>
      </w:pPr>
      <w:r w:rsidRPr="00E5752B">
        <w:t xml:space="preserve">Currently, if a school uses a school-wide income survey and at least 50 percent of the surveys are returned, the school may calculate the percentage of NSLP-eligible students from the returned surveys and project that percentage of eligibility for the entire school population, for purposes of determining its discount rate under the </w:t>
      </w:r>
      <w:r>
        <w:t>E-rate</w:t>
      </w:r>
      <w:r w:rsidRPr="00E5752B">
        <w:t xml:space="preserve"> program.</w:t>
      </w:r>
      <w:r w:rsidRPr="00E5752B">
        <w:rPr>
          <w:vertAlign w:val="superscript"/>
        </w:rPr>
        <w:footnoteReference w:id="390"/>
      </w:r>
      <w:r w:rsidRPr="00E5752B">
        <w:t xml:space="preserve">  We take this opportunity to revisit that practice, and seek comment on whether allowing schools to project the percentage of their NSLP-eligible students unreasonably distorts the number of needy students by artificially inflating the </w:t>
      </w:r>
      <w:r>
        <w:t>E-rate</w:t>
      </w:r>
      <w:r w:rsidRPr="00E5752B">
        <w:t xml:space="preserve"> discount rate they are able to claim.  Should CEO or other schools that use school-wide surveys be allowed to project the percentage of their NSLP-eligible students based on the surveys they receive</w:t>
      </w:r>
      <w:r>
        <w:t xml:space="preserve"> </w:t>
      </w:r>
      <w:r w:rsidRPr="00E5752B">
        <w:t>as permitted by our current procedures?</w:t>
      </w:r>
      <w:r w:rsidRPr="00E5752B">
        <w:rPr>
          <w:vertAlign w:val="superscript"/>
        </w:rPr>
        <w:footnoteReference w:id="391"/>
      </w:r>
      <w:r w:rsidRPr="00E5752B">
        <w:t xml:space="preserve">  Would those projections be more accurate if we require schools to receive </w:t>
      </w:r>
      <w:r>
        <w:t xml:space="preserve">a higher percentage, such as </w:t>
      </w:r>
      <w:r w:rsidRPr="00E5752B">
        <w:t xml:space="preserve">at least 75 percent of the surveys in order to project their students NSLP-eligibility from </w:t>
      </w:r>
      <w:r>
        <w:t>the</w:t>
      </w:r>
      <w:r w:rsidRPr="00E5752B">
        <w:t xml:space="preserve"> surveys?  In the alternative, should all applicants that use school-wide income surveys be required to base their </w:t>
      </w:r>
      <w:r>
        <w:t>E-rate</w:t>
      </w:r>
      <w:r w:rsidRPr="00E5752B">
        <w:t xml:space="preserve"> discount rate only on the surveys they actually collect?  </w:t>
      </w:r>
      <w:r w:rsidRPr="00A27954">
        <w:t xml:space="preserve">Commenters should indicate what other concerns are associated with requiring schools and </w:t>
      </w:r>
      <w:r w:rsidRPr="00A27954">
        <w:lastRenderedPageBreak/>
        <w:t xml:space="preserve">school districts to collect these poverty statistics for the purposes of the </w:t>
      </w:r>
      <w:r>
        <w:t>E-rate</w:t>
      </w:r>
      <w:r w:rsidRPr="00A27954">
        <w:t xml:space="preserve"> program.</w:t>
      </w:r>
    </w:p>
    <w:p w14:paraId="246C5994" w14:textId="77777777" w:rsidR="00647347" w:rsidRPr="00721A16" w:rsidRDefault="00647347" w:rsidP="00647347">
      <w:pPr>
        <w:pStyle w:val="ParaNum"/>
        <w:rPr>
          <w:szCs w:val="22"/>
        </w:rPr>
      </w:pPr>
      <w:r w:rsidRPr="00A27954">
        <w:t xml:space="preserve">Fourth, we seek comment on whether we should use direct certification data with a multiplier to determine a school’s poverty level.  Using only the direct certification poverty statistic without a multiplier as the basis for a CEO school’s </w:t>
      </w:r>
      <w:r>
        <w:t>E-rate</w:t>
      </w:r>
      <w:r w:rsidRPr="00A27954">
        <w:t xml:space="preserve"> discount would tend to severely underreport a school’s actual poverty statistic, because s</w:t>
      </w:r>
      <w:r>
        <w:t xml:space="preserve">tudents at the reduced-price lunch </w:t>
      </w:r>
      <w:r w:rsidRPr="00A27954">
        <w:t xml:space="preserve">status, along with some free </w:t>
      </w:r>
      <w:r>
        <w:t xml:space="preserve">lunch </w:t>
      </w:r>
      <w:r w:rsidRPr="00A27954">
        <w:t xml:space="preserve">students, would not be included in the counts for determining the </w:t>
      </w:r>
      <w:r>
        <w:t>E-rate</w:t>
      </w:r>
      <w:r w:rsidRPr="00A27954">
        <w:t xml:space="preserve"> discount rate.  Not all families who currently receive free or reduced lunch apply for benefits such as Medicaid, SSI, Section 8 and SNAP and those students would not be included in the direct certification data.  </w:t>
      </w:r>
      <w:r w:rsidRPr="00A27954">
        <w:rPr>
          <w:color w:val="000000"/>
        </w:rPr>
        <w:t>While the current multiplier of 1.6 is applied to the direct certification data under the CEO program through school year 2013-2014, USDA’s FNS is permitted to change the multiplier to a number between 1.3 and 1.6 after school year 2013-2014.</w:t>
      </w:r>
      <w:r w:rsidRPr="00A27954">
        <w:rPr>
          <w:vertAlign w:val="superscript"/>
        </w:rPr>
        <w:footnoteReference w:id="392"/>
      </w:r>
      <w:r w:rsidRPr="00A27954">
        <w:rPr>
          <w:color w:val="000000"/>
        </w:rPr>
        <w:t xml:space="preserve">  </w:t>
      </w:r>
      <w:r w:rsidRPr="00A27954">
        <w:rPr>
          <w:color w:val="000000"/>
          <w:szCs w:val="22"/>
        </w:rPr>
        <w:t xml:space="preserve">We thus seek comment on whether we should establish a multiplier between 1.3 and 1.6, consistent with </w:t>
      </w:r>
      <w:r>
        <w:rPr>
          <w:color w:val="000000"/>
          <w:szCs w:val="22"/>
        </w:rPr>
        <w:t xml:space="preserve">the </w:t>
      </w:r>
      <w:r w:rsidRPr="00A27954">
        <w:rPr>
          <w:color w:val="000000"/>
          <w:szCs w:val="22"/>
        </w:rPr>
        <w:t xml:space="preserve">CEO, or some other multiplier to the direct certification data?  For schools and school districts currently participating in the CEO, we seek data on the difference in the poverty level when using NSLP eligibility, direct certification, and direct certification with the 1.6 multiplier currently used by USDA.  </w:t>
      </w:r>
      <w:r w:rsidRPr="00A27954">
        <w:rPr>
          <w:szCs w:val="22"/>
        </w:rPr>
        <w:t xml:space="preserve">Commenters should indicate what multiplier </w:t>
      </w:r>
      <w:r>
        <w:rPr>
          <w:szCs w:val="22"/>
        </w:rPr>
        <w:t xml:space="preserve">they </w:t>
      </w:r>
      <w:r w:rsidRPr="00A27954">
        <w:rPr>
          <w:szCs w:val="22"/>
        </w:rPr>
        <w:t>believe is fair and reasonable and will adequately capture schools’ poverty levels</w:t>
      </w:r>
      <w:r>
        <w:rPr>
          <w:szCs w:val="22"/>
        </w:rPr>
        <w:t xml:space="preserve">.  </w:t>
      </w:r>
      <w:r w:rsidRPr="00A27954">
        <w:rPr>
          <w:szCs w:val="22"/>
        </w:rPr>
        <w:t>Should we develop a dif</w:t>
      </w:r>
      <w:r>
        <w:rPr>
          <w:szCs w:val="22"/>
        </w:rPr>
        <w:t xml:space="preserve">ferent multiplier for priority one and priority two </w:t>
      </w:r>
      <w:r w:rsidRPr="00A27954">
        <w:rPr>
          <w:szCs w:val="22"/>
        </w:rPr>
        <w:t xml:space="preserve">services? </w:t>
      </w:r>
      <w:r w:rsidRPr="00A27954">
        <w:rPr>
          <w:color w:val="000000"/>
          <w:szCs w:val="22"/>
        </w:rPr>
        <w:t xml:space="preserve">Additionally, we seek comment on whether the direct certification data and nationwide multiplier should be used for determining an applicant’s discount rate or should we apply this eligibility figure to the current </w:t>
      </w:r>
      <w:r>
        <w:rPr>
          <w:color w:val="000000"/>
          <w:szCs w:val="22"/>
        </w:rPr>
        <w:t>E-rate</w:t>
      </w:r>
      <w:r w:rsidRPr="00A27954">
        <w:rPr>
          <w:color w:val="000000"/>
          <w:szCs w:val="22"/>
        </w:rPr>
        <w:t xml:space="preserve"> discount matrix?  If so, should we make any adjustments to the current </w:t>
      </w:r>
      <w:r>
        <w:rPr>
          <w:color w:val="000000"/>
          <w:szCs w:val="22"/>
        </w:rPr>
        <w:t>E-rate</w:t>
      </w:r>
      <w:r w:rsidRPr="00A27954">
        <w:rPr>
          <w:color w:val="000000"/>
          <w:szCs w:val="22"/>
        </w:rPr>
        <w:t xml:space="preserve"> discount matrix given the advent of the CEO?  </w:t>
      </w:r>
      <w:r w:rsidRPr="00A27954">
        <w:rPr>
          <w:szCs w:val="22"/>
        </w:rPr>
        <w:t xml:space="preserve">Commenters should set forth with specificity any alternative proposed discount matrix.  </w:t>
      </w:r>
    </w:p>
    <w:p w14:paraId="6BB535F0" w14:textId="77777777" w:rsidR="00647347" w:rsidRPr="00281043" w:rsidRDefault="00647347" w:rsidP="00434A8B">
      <w:pPr>
        <w:pStyle w:val="ParaNum"/>
      </w:pPr>
      <w:r w:rsidRPr="00A27954">
        <w:t xml:space="preserve">Fifth, we seek comment on whether there are scenarios under which we should provide a mechanism for CEO schools to qualify for higher discounts than they would under whatever </w:t>
      </w:r>
      <w:r>
        <w:t xml:space="preserve">default </w:t>
      </w:r>
      <w:r w:rsidRPr="00A27954">
        <w:t>approach we adopt.</w:t>
      </w:r>
      <w:r>
        <w:t xml:space="preserve">  </w:t>
      </w:r>
      <w:r w:rsidRPr="00A27954">
        <w:t xml:space="preserve">The </w:t>
      </w:r>
      <w:r w:rsidRPr="00281043">
        <w:t xml:space="preserve">CEO operates on four-year cycles, but it provides a mechanism whereby schools may demonstrate that their poverty levels have changed, thus making </w:t>
      </w:r>
      <w:r w:rsidRPr="00281043">
        <w:lastRenderedPageBreak/>
        <w:t>them eligible for additional reimbursement.</w:t>
      </w:r>
      <w:r w:rsidRPr="00281043">
        <w:rPr>
          <w:vertAlign w:val="superscript"/>
        </w:rPr>
        <w:footnoteReference w:id="393"/>
      </w:r>
      <w:r w:rsidRPr="00281043">
        <w:t xml:space="preserve">  The current </w:t>
      </w:r>
      <w:r>
        <w:t>E-rate</w:t>
      </w:r>
      <w:r w:rsidRPr="00281043">
        <w:t xml:space="preserve"> program requires applicants to demonstrate discount eligibility on an annual basis.</w:t>
      </w:r>
      <w:r w:rsidRPr="00281043">
        <w:rPr>
          <w:vertAlign w:val="superscript"/>
        </w:rPr>
        <w:footnoteReference w:id="394"/>
      </w:r>
      <w:r w:rsidRPr="00281043">
        <w:t xml:space="preserve">  If the Commission adopts a mechanism that permits schools to establish their discount level for multiple funding years, as current CEO schools are now able to do, should there be a process by which they may demonstrate that their </w:t>
      </w:r>
      <w:r>
        <w:t>E-rate</w:t>
      </w:r>
      <w:r w:rsidRPr="00281043">
        <w:t xml:space="preserve"> discount level has increased?  If so, what information should we require from applicants seeking an exception?  Should the applicant then be required to establish the discount level annually for successive years in a cycle, or would the new discount level be retained for multiple years?  How would this operate if the applicant were a consortium, or a consortium comprised of CEO and non-CEO schools (and potentially libraries)?  </w:t>
      </w:r>
    </w:p>
    <w:p w14:paraId="21E33AB7" w14:textId="41E94E09" w:rsidR="00647347" w:rsidRPr="00827AAD" w:rsidRDefault="00647347" w:rsidP="00647347">
      <w:pPr>
        <w:pStyle w:val="ParaNum"/>
      </w:pPr>
      <w:r w:rsidRPr="00827AAD">
        <w:t>Lastly, we seek comment on what procedural and administrative issues are impacted by the CEO?  For example, USAC annually requests states to provide a spreadsheet listing NSLP data by school that is used for application review.  While many states attempt to comply with these requests, a states</w:t>
      </w:r>
      <w:r>
        <w:t xml:space="preserve">’ </w:t>
      </w:r>
      <w:r w:rsidRPr="00827AAD">
        <w:t>database system</w:t>
      </w:r>
      <w:r>
        <w:t>s</w:t>
      </w:r>
      <w:r w:rsidRPr="00827AAD">
        <w:t xml:space="preserve"> vary by state and may not easily lend themselves to producing reports in USAC’s requested format.  The introduction of CEO schools potentially compounds the state reporting problem, particularly because CEO states and those that will become CEO states may not yet have determined how, or if, CEO schools will be accounted for within their NSLP-based database.</w:t>
      </w:r>
      <w:r w:rsidRPr="008707E2">
        <w:t xml:space="preserve">  </w:t>
      </w:r>
      <w:r w:rsidRPr="00827AAD">
        <w:t>What procedural mechanisms can we establish to minimize the burden upon states, while mitigating any additional administrative burden for USAC in reviewing the data for CEO schools?  Additionally, USAC has</w:t>
      </w:r>
      <w:r>
        <w:t xml:space="preserve"> provided a specific designation to identify those </w:t>
      </w:r>
      <w:r w:rsidRPr="00827AAD">
        <w:t xml:space="preserve">schools providing free meals for all students under </w:t>
      </w:r>
      <w:r>
        <w:t xml:space="preserve">the USDA’s CEO </w:t>
      </w:r>
      <w:r w:rsidRPr="00827AAD">
        <w:t xml:space="preserve">in Block 4 </w:t>
      </w:r>
      <w:r>
        <w:t xml:space="preserve">(Discount Calculation Worksheet) </w:t>
      </w:r>
      <w:r w:rsidRPr="00827AAD">
        <w:t>of a school’s FCC</w:t>
      </w:r>
      <w:r>
        <w:t xml:space="preserve"> Form 471 application</w:t>
      </w:r>
      <w:r w:rsidRPr="00827AAD">
        <w:t>.  S</w:t>
      </w:r>
      <w:r>
        <w:t xml:space="preserve">hould the Commission </w:t>
      </w:r>
      <w:r w:rsidRPr="00827AAD">
        <w:t xml:space="preserve">revise the FCC Form 471 application or any of the other forms in order to accurately identify a CEO school?  Commenters should specifically </w:t>
      </w:r>
      <w:r>
        <w:t xml:space="preserve">indicate any proposed changes.  </w:t>
      </w:r>
      <w:r w:rsidRPr="00827AAD">
        <w:t>Commenters should also indicate what other administrative or procedural barriers or concerns may need to be addressed as part of any proposed alternative.  For example, what information or document</w:t>
      </w:r>
      <w:r>
        <w:t xml:space="preserve">ation should be required by USAC, as necessary, </w:t>
      </w:r>
      <w:r w:rsidRPr="00827AAD">
        <w:t xml:space="preserve">for </w:t>
      </w:r>
      <w:r>
        <w:t xml:space="preserve">state </w:t>
      </w:r>
      <w:r w:rsidRPr="00827AAD">
        <w:t>v</w:t>
      </w:r>
      <w:r>
        <w:t xml:space="preserve">alidation </w:t>
      </w:r>
      <w:r w:rsidRPr="00827AAD">
        <w:t xml:space="preserve">of the student eligibility data depending upon the method used?  </w:t>
      </w:r>
      <w:r w:rsidR="00C63D4D">
        <w:t xml:space="preserve">Should we consider a different approach for schools operated by federal or Tribal entities, such as the Bureau of Indian Education  or Tribal governments?  </w:t>
      </w:r>
      <w:r w:rsidRPr="00827AAD">
        <w:t xml:space="preserve">What should USAC’s review processes entail for CEO schools?  What, if any, other </w:t>
      </w:r>
      <w:r w:rsidRPr="00827AAD">
        <w:lastRenderedPageBreak/>
        <w:t xml:space="preserve">procedural or administrative issues may need to be addressed if applying the direct certification data with a multiplier to the </w:t>
      </w:r>
      <w:r>
        <w:t>E-rate</w:t>
      </w:r>
      <w:r w:rsidRPr="00827AAD">
        <w:t xml:space="preserve"> program? </w:t>
      </w:r>
    </w:p>
    <w:p w14:paraId="25504225" w14:textId="3FB1789A" w:rsidR="00647347" w:rsidRPr="00C479C1" w:rsidRDefault="00647347" w:rsidP="00647347">
      <w:pPr>
        <w:pStyle w:val="ParaNum"/>
      </w:pPr>
      <w:bookmarkStart w:id="2599" w:name="_Ref360204671"/>
      <w:r w:rsidRPr="00281043">
        <w:t xml:space="preserve">We also seek to identify best practices by those currently participating in the CEO program, so that we can fully consider possible programmatic changes, including potential rule changes. </w:t>
      </w:r>
      <w:r w:rsidR="00104952">
        <w:t xml:space="preserve"> </w:t>
      </w:r>
      <w:r w:rsidRPr="00281043">
        <w:t xml:space="preserve">We are most interested in ways to mitigate the impact of the CEO on the </w:t>
      </w:r>
      <w:r>
        <w:t>E-rate</w:t>
      </w:r>
      <w:r w:rsidRPr="00281043">
        <w:t xml:space="preserve"> program regarding discount eligibility, administrative burdens, and </w:t>
      </w:r>
      <w:r>
        <w:t>E-rate</w:t>
      </w:r>
      <w:r w:rsidRPr="00281043">
        <w:t xml:space="preserve"> processes as a whole.  So that we may have a factual basis and detailed record upon which to determine the nature and extent of any problems, we encourage commenters that currently participate in the CEO and those that will become eligible in the future, to provide us with detailed information regarding their experiences, both positive and negative.  We believe that input from those schools and school districts that currently participate in the CEO and those libraries and library systems affected by the CEO is crucial in fully evaluating the impact of the CEO on the </w:t>
      </w:r>
      <w:r>
        <w:t>E-rate</w:t>
      </w:r>
      <w:r w:rsidRPr="00281043">
        <w:t xml:space="preserve"> program.  Further, identifying with specificity particular examples or concerns will ensure that we have a complete understanding of the issues involved.  In responding to the questions posed above, commenters should address what, if any, additional burden any new reporting or data collections requirements may place on service providers and/or applicants.</w:t>
      </w:r>
      <w:bookmarkEnd w:id="2599"/>
    </w:p>
    <w:p w14:paraId="52D1BF09" w14:textId="77777777" w:rsidR="000627C7" w:rsidRPr="00CD7DD8" w:rsidRDefault="000627C7" w:rsidP="00B9652C">
      <w:pPr>
        <w:pStyle w:val="Heading2"/>
      </w:pPr>
      <w:bookmarkStart w:id="2600" w:name="_Toc359853210"/>
      <w:bookmarkStart w:id="2601" w:name="_Toc359853446"/>
      <w:bookmarkStart w:id="2602" w:name="_Toc359853709"/>
      <w:bookmarkStart w:id="2603" w:name="_Toc359858677"/>
      <w:bookmarkStart w:id="2604" w:name="_Toc359859625"/>
      <w:bookmarkStart w:id="2605" w:name="_Toc359940091"/>
      <w:bookmarkStart w:id="2606" w:name="_Toc360025466"/>
      <w:bookmarkStart w:id="2607" w:name="_Toc360107517"/>
      <w:bookmarkStart w:id="2608" w:name="_Toc360111641"/>
      <w:bookmarkStart w:id="2609" w:name="_Toc360172826"/>
      <w:bookmarkStart w:id="2610" w:name="_Toc360186167"/>
      <w:bookmarkStart w:id="2611" w:name="_Toc360186244"/>
      <w:bookmarkStart w:id="2612" w:name="_Toc360186448"/>
      <w:bookmarkStart w:id="2613" w:name="_Toc360186520"/>
      <w:bookmarkStart w:id="2614" w:name="_Toc360187321"/>
      <w:bookmarkStart w:id="2615" w:name="_Toc360187482"/>
      <w:bookmarkStart w:id="2616" w:name="_Toc360208927"/>
      <w:bookmarkStart w:id="2617" w:name="_Toc360212060"/>
      <w:bookmarkStart w:id="2618" w:name="_Toc361663130"/>
      <w:bookmarkStart w:id="2619" w:name="_Toc361857708"/>
      <w:bookmarkStart w:id="2620" w:name="_Toc361918800"/>
      <w:bookmarkStart w:id="2621" w:name="_Toc362272578"/>
      <w:r w:rsidRPr="00B03906">
        <w:t>Additional Measures to Prevent Waste, Fraud and Abuse</w:t>
      </w:r>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bookmarkEnd w:id="2577"/>
      <w:bookmarkEnd w:id="2578"/>
      <w:bookmarkEnd w:id="2579"/>
      <w:bookmarkEnd w:id="2580"/>
      <w:bookmarkEnd w:id="2581"/>
      <w:bookmarkEnd w:id="2582"/>
      <w:bookmarkEnd w:id="2583"/>
      <w:bookmarkEnd w:id="2584"/>
      <w:bookmarkEnd w:id="2585"/>
      <w:bookmarkEnd w:id="2586"/>
      <w:bookmarkEnd w:id="2587"/>
      <w:bookmarkEnd w:id="2588"/>
      <w:bookmarkEnd w:id="2600"/>
      <w:bookmarkEnd w:id="2601"/>
      <w:bookmarkEnd w:id="2602"/>
      <w:bookmarkEnd w:id="2603"/>
      <w:bookmarkEnd w:id="2604"/>
      <w:bookmarkEnd w:id="2605"/>
      <w:bookmarkEnd w:id="2606"/>
      <w:bookmarkEnd w:id="2607"/>
      <w:bookmarkEnd w:id="2608"/>
      <w:bookmarkEnd w:id="2609"/>
      <w:bookmarkEnd w:id="2610"/>
      <w:bookmarkEnd w:id="2611"/>
      <w:bookmarkEnd w:id="2612"/>
      <w:bookmarkEnd w:id="2613"/>
      <w:bookmarkEnd w:id="2614"/>
      <w:bookmarkEnd w:id="2615"/>
      <w:bookmarkEnd w:id="2616"/>
      <w:bookmarkEnd w:id="2617"/>
      <w:bookmarkEnd w:id="2618"/>
      <w:bookmarkEnd w:id="2619"/>
      <w:bookmarkEnd w:id="2620"/>
      <w:bookmarkEnd w:id="2621"/>
      <w:r w:rsidRPr="00B03906">
        <w:t xml:space="preserve"> </w:t>
      </w:r>
      <w:bookmarkEnd w:id="2589"/>
      <w:bookmarkEnd w:id="2590"/>
      <w:bookmarkEnd w:id="2591"/>
      <w:bookmarkEnd w:id="2592"/>
      <w:bookmarkEnd w:id="2593"/>
      <w:bookmarkEnd w:id="2594"/>
      <w:bookmarkEnd w:id="2595"/>
    </w:p>
    <w:p w14:paraId="539AAD09" w14:textId="166C7DB2" w:rsidR="000627C7" w:rsidRPr="00CD7DD8" w:rsidRDefault="000627C7" w:rsidP="00AB168E">
      <w:pPr>
        <w:pStyle w:val="ParaNum"/>
      </w:pPr>
      <w:r w:rsidRPr="00AB168E">
        <w:t xml:space="preserve">The Commission </w:t>
      </w:r>
      <w:r w:rsidRPr="00F47042">
        <w:t>is committed</w:t>
      </w:r>
      <w:r w:rsidRPr="00AB168E">
        <w:t xml:space="preserve"> to </w:t>
      </w:r>
      <w:r w:rsidRPr="00F47042">
        <w:t>guarding</w:t>
      </w:r>
      <w:r w:rsidRPr="00AB168E">
        <w:t xml:space="preserve"> the </w:t>
      </w:r>
      <w:r w:rsidRPr="00F47042">
        <w:t>Fund against</w:t>
      </w:r>
      <w:r w:rsidRPr="00AB168E">
        <w:t xml:space="preserve"> waste, fraud</w:t>
      </w:r>
      <w:r w:rsidRPr="00F47042">
        <w:t>,</w:t>
      </w:r>
      <w:r w:rsidRPr="00AB168E">
        <w:t xml:space="preserve"> and abuse and </w:t>
      </w:r>
      <w:r w:rsidRPr="00F47042">
        <w:t>ensuring that funds disbursed through</w:t>
      </w:r>
      <w:r w:rsidRPr="00AB168E">
        <w:t xml:space="preserve"> the E-rate program</w:t>
      </w:r>
      <w:r w:rsidRPr="00F47042">
        <w:t xml:space="preserve"> are used for appropriate purposes.  During</w:t>
      </w:r>
      <w:r w:rsidRPr="00AB168E">
        <w:t xml:space="preserve"> the </w:t>
      </w:r>
      <w:r w:rsidRPr="00F47042">
        <w:t>last 15 years,</w:t>
      </w:r>
      <w:r w:rsidRPr="00AB168E">
        <w:t xml:space="preserve"> the </w:t>
      </w:r>
      <w:r w:rsidRPr="00F47042">
        <w:t>Commission has</w:t>
      </w:r>
      <w:r w:rsidRPr="00AB168E">
        <w:t xml:space="preserve"> assisted with several dozen criminal prosecutions of individuals who have sought to defraud the E-rate program,</w:t>
      </w:r>
      <w:r w:rsidR="000408F0">
        <w:rPr>
          <w:rStyle w:val="FootnoteReference"/>
          <w:szCs w:val="22"/>
        </w:rPr>
        <w:footnoteReference w:id="395"/>
      </w:r>
      <w:r w:rsidRPr="00AB168E">
        <w:t xml:space="preserve"> entered into compliance plans with individuals, schools and companies that </w:t>
      </w:r>
      <w:r w:rsidR="000408F0" w:rsidRPr="00F47042">
        <w:t>are alleged to</w:t>
      </w:r>
      <w:r w:rsidR="004679D9">
        <w:t xml:space="preserve"> </w:t>
      </w:r>
      <w:r w:rsidR="004679D9" w:rsidRPr="00AB168E">
        <w:t xml:space="preserve">have </w:t>
      </w:r>
      <w:r w:rsidR="004679D9">
        <w:t>violated</w:t>
      </w:r>
      <w:r w:rsidR="004679D9" w:rsidRPr="00AB168E">
        <w:t xml:space="preserve"> the </w:t>
      </w:r>
      <w:r w:rsidR="004679D9">
        <w:t>E-rate rules</w:t>
      </w:r>
      <w:r w:rsidRPr="00F47042">
        <w:t>,</w:t>
      </w:r>
      <w:r w:rsidR="000408F0">
        <w:rPr>
          <w:rStyle w:val="FootnoteReference"/>
          <w:szCs w:val="22"/>
        </w:rPr>
        <w:footnoteReference w:id="396"/>
      </w:r>
      <w:r w:rsidR="000408F0" w:rsidRPr="00AB168E">
        <w:t xml:space="preserve"> </w:t>
      </w:r>
      <w:r w:rsidRPr="00AB168E">
        <w:t xml:space="preserve">and </w:t>
      </w:r>
      <w:r w:rsidR="000408F0" w:rsidRPr="00F47042">
        <w:t xml:space="preserve">suspended or </w:t>
      </w:r>
      <w:r w:rsidRPr="00AB168E">
        <w:t xml:space="preserve">debarred </w:t>
      </w:r>
      <w:r w:rsidRPr="00AB168E">
        <w:lastRenderedPageBreak/>
        <w:t>dozens of persons from participating</w:t>
      </w:r>
      <w:r w:rsidR="000408F0" w:rsidRPr="00F47042">
        <w:t xml:space="preserve"> in the E-rate program</w:t>
      </w:r>
      <w:r w:rsidRPr="00F47042">
        <w:t>.</w:t>
      </w:r>
      <w:r w:rsidR="000408F0">
        <w:rPr>
          <w:rStyle w:val="FootnoteReference"/>
          <w:szCs w:val="22"/>
        </w:rPr>
        <w:footnoteReference w:id="397"/>
      </w:r>
      <w:r w:rsidRPr="00AB168E">
        <w:t xml:space="preserve"> We invite commenters to identify and discuss ways that the Commission can </w:t>
      </w:r>
      <w:r w:rsidR="00110D29">
        <w:t>continue to combat</w:t>
      </w:r>
      <w:r w:rsidR="00110D29" w:rsidRPr="00AB168E">
        <w:t xml:space="preserve"> </w:t>
      </w:r>
      <w:r w:rsidRPr="00AB168E">
        <w:t xml:space="preserve">waste, fraud and abuse in the E-rate program. </w:t>
      </w:r>
      <w:r w:rsidR="00104952">
        <w:t xml:space="preserve"> </w:t>
      </w:r>
      <w:r w:rsidRPr="00AB168E">
        <w:t>We seek to identify additional policies and procedures that we can put in place to protect against waste, fraud, and abuse; to identify waste fraud and abuse; and to aggressively pursue actions against those engaged in waste fraud and abuse.  We</w:t>
      </w:r>
      <w:r w:rsidRPr="00B03906">
        <w:t xml:space="preserve"> also specifically seek comment on our proposal to extend document retention requirements for participants in the </w:t>
      </w:r>
      <w:r>
        <w:t>E-rate</w:t>
      </w:r>
      <w:r w:rsidRPr="00B03906">
        <w:t xml:space="preserve"> program from five years to at least ten years to ensure documents are available when needed for investigations and prosecutions involving waste, fraud and abuse in the </w:t>
      </w:r>
      <w:r>
        <w:t>E-rate</w:t>
      </w:r>
      <w:r w:rsidRPr="00B03906">
        <w:t xml:space="preserve"> program</w:t>
      </w:r>
      <w:r w:rsidR="00EA2AB9">
        <w:t xml:space="preserve"> </w:t>
      </w:r>
      <w:r w:rsidR="00EA2AB9">
        <w:rPr>
          <w:color w:val="000000"/>
        </w:rPr>
        <w:t>consistent with the time frame for pursuing recovery under the False Claims Act</w:t>
      </w:r>
      <w:r w:rsidRPr="00B03906">
        <w:t xml:space="preserve">.  </w:t>
      </w:r>
    </w:p>
    <w:p w14:paraId="6FED25BB" w14:textId="7EA508BE" w:rsidR="000627C7" w:rsidRPr="00CD7DD8" w:rsidRDefault="000627C7" w:rsidP="008B687A">
      <w:pPr>
        <w:pStyle w:val="Heading3"/>
        <w:keepNext w:val="0"/>
      </w:pPr>
      <w:bookmarkStart w:id="2622" w:name="_Toc352064566"/>
      <w:bookmarkStart w:id="2623" w:name="_Toc352078343"/>
      <w:bookmarkStart w:id="2624" w:name="_Toc352078395"/>
      <w:bookmarkStart w:id="2625" w:name="_Toc352078457"/>
      <w:bookmarkStart w:id="2626" w:name="_Toc352079049"/>
      <w:bookmarkStart w:id="2627" w:name="_Toc352080410"/>
      <w:bookmarkStart w:id="2628" w:name="_Toc352139793"/>
      <w:bookmarkStart w:id="2629" w:name="_Toc354478096"/>
      <w:bookmarkStart w:id="2630" w:name="_Toc354478718"/>
      <w:bookmarkStart w:id="2631" w:name="_Toc354660734"/>
      <w:bookmarkStart w:id="2632" w:name="_Toc358208816"/>
      <w:bookmarkStart w:id="2633" w:name="_Toc358210319"/>
      <w:bookmarkStart w:id="2634" w:name="_Toc358210466"/>
      <w:bookmarkStart w:id="2635" w:name="_Toc358210644"/>
      <w:bookmarkStart w:id="2636" w:name="_Toc358210745"/>
      <w:bookmarkStart w:id="2637" w:name="_Toc358213679"/>
      <w:bookmarkStart w:id="2638" w:name="_Toc358213811"/>
      <w:bookmarkStart w:id="2639" w:name="_Toc358301305"/>
      <w:bookmarkStart w:id="2640" w:name="_Toc358720051"/>
      <w:bookmarkStart w:id="2641" w:name="_Toc358971277"/>
      <w:bookmarkStart w:id="2642" w:name="_Toc358974878"/>
      <w:bookmarkStart w:id="2643" w:name="_Toc358975776"/>
      <w:bookmarkStart w:id="2644" w:name="_Toc358975938"/>
      <w:bookmarkStart w:id="2645" w:name="_Toc358976179"/>
      <w:bookmarkStart w:id="2646" w:name="_Toc358981034"/>
      <w:bookmarkStart w:id="2647" w:name="_Toc358981150"/>
      <w:bookmarkStart w:id="2648" w:name="_Toc358982414"/>
      <w:bookmarkStart w:id="2649" w:name="_Toc358982504"/>
      <w:bookmarkStart w:id="2650" w:name="_Toc359239286"/>
      <w:bookmarkStart w:id="2651" w:name="_Toc359239343"/>
      <w:bookmarkStart w:id="2652" w:name="_Toc359252302"/>
      <w:bookmarkStart w:id="2653" w:name="_Toc359326051"/>
      <w:bookmarkStart w:id="2654" w:name="_Toc359333299"/>
      <w:bookmarkStart w:id="2655" w:name="_Toc359339953"/>
      <w:bookmarkStart w:id="2656" w:name="_Toc359343217"/>
      <w:bookmarkStart w:id="2657" w:name="_Toc359347026"/>
      <w:bookmarkStart w:id="2658" w:name="_Toc359598716"/>
      <w:bookmarkStart w:id="2659" w:name="_Toc359853211"/>
      <w:bookmarkStart w:id="2660" w:name="_Toc359853447"/>
      <w:bookmarkStart w:id="2661" w:name="_Toc359853710"/>
      <w:bookmarkStart w:id="2662" w:name="_Toc359858678"/>
      <w:bookmarkStart w:id="2663" w:name="_Toc359859626"/>
      <w:bookmarkStart w:id="2664" w:name="_Toc359940092"/>
      <w:bookmarkStart w:id="2665" w:name="_Toc360025467"/>
      <w:bookmarkStart w:id="2666" w:name="_Toc360107518"/>
      <w:bookmarkStart w:id="2667" w:name="_Toc360111642"/>
      <w:bookmarkStart w:id="2668" w:name="_Toc360172827"/>
      <w:bookmarkStart w:id="2669" w:name="_Toc360186168"/>
      <w:bookmarkStart w:id="2670" w:name="_Toc360186245"/>
      <w:bookmarkStart w:id="2671" w:name="_Toc360186449"/>
      <w:bookmarkStart w:id="2672" w:name="_Toc360186521"/>
      <w:bookmarkStart w:id="2673" w:name="_Toc360187322"/>
      <w:bookmarkStart w:id="2674" w:name="_Toc360187483"/>
      <w:bookmarkStart w:id="2675" w:name="_Toc360208928"/>
      <w:bookmarkStart w:id="2676" w:name="_Toc360212061"/>
      <w:bookmarkStart w:id="2677" w:name="_Toc361663131"/>
      <w:bookmarkStart w:id="2678" w:name="_Toc361857709"/>
      <w:bookmarkStart w:id="2679" w:name="_Toc361918801"/>
      <w:bookmarkStart w:id="2680" w:name="_Toc362272579"/>
      <w:r w:rsidRPr="00B03906">
        <w:t xml:space="preserve">Extending the </w:t>
      </w:r>
      <w:r>
        <w:t>E-rate</w:t>
      </w:r>
      <w:r w:rsidRPr="00B03906">
        <w:t xml:space="preserve"> Document Retention Requirements</w:t>
      </w:r>
      <w:bookmarkEnd w:id="2622"/>
      <w:bookmarkEnd w:id="2623"/>
      <w:bookmarkEnd w:id="2624"/>
      <w:bookmarkEnd w:id="2625"/>
      <w:bookmarkEnd w:id="2626"/>
      <w:bookmarkEnd w:id="2627"/>
      <w:bookmarkEnd w:id="2628"/>
      <w:bookmarkEnd w:id="2629"/>
      <w:bookmarkEnd w:id="2630"/>
      <w:bookmarkEnd w:id="2631"/>
      <w:bookmarkEnd w:id="2632"/>
      <w:bookmarkEnd w:id="2633"/>
      <w:bookmarkEnd w:id="2634"/>
      <w:bookmarkEnd w:id="2635"/>
      <w:bookmarkEnd w:id="2636"/>
      <w:bookmarkEnd w:id="2637"/>
      <w:bookmarkEnd w:id="2638"/>
      <w:bookmarkEnd w:id="2639"/>
      <w:bookmarkEnd w:id="2640"/>
      <w:bookmarkEnd w:id="2641"/>
      <w:bookmarkEnd w:id="2642"/>
      <w:bookmarkEnd w:id="2643"/>
      <w:bookmarkEnd w:id="2644"/>
      <w:bookmarkEnd w:id="2645"/>
      <w:bookmarkEnd w:id="2646"/>
      <w:bookmarkEnd w:id="2647"/>
      <w:bookmarkEnd w:id="2648"/>
      <w:bookmarkEnd w:id="2649"/>
      <w:bookmarkEnd w:id="2650"/>
      <w:bookmarkEnd w:id="2651"/>
      <w:bookmarkEnd w:id="2652"/>
      <w:bookmarkEnd w:id="2653"/>
      <w:bookmarkEnd w:id="2654"/>
      <w:bookmarkEnd w:id="2655"/>
      <w:bookmarkEnd w:id="2656"/>
      <w:bookmarkEnd w:id="2657"/>
      <w:bookmarkEnd w:id="2658"/>
      <w:bookmarkEnd w:id="2659"/>
      <w:bookmarkEnd w:id="2660"/>
      <w:bookmarkEnd w:id="2661"/>
      <w:bookmarkEnd w:id="2662"/>
      <w:bookmarkEnd w:id="2663"/>
      <w:bookmarkEnd w:id="2664"/>
      <w:bookmarkEnd w:id="2665"/>
      <w:bookmarkEnd w:id="2666"/>
      <w:bookmarkEnd w:id="2667"/>
      <w:bookmarkEnd w:id="2668"/>
      <w:bookmarkEnd w:id="2669"/>
      <w:bookmarkEnd w:id="2670"/>
      <w:bookmarkEnd w:id="2671"/>
      <w:bookmarkEnd w:id="2672"/>
      <w:bookmarkEnd w:id="2673"/>
      <w:bookmarkEnd w:id="2674"/>
      <w:bookmarkEnd w:id="2675"/>
      <w:bookmarkEnd w:id="2676"/>
      <w:bookmarkEnd w:id="2677"/>
      <w:bookmarkEnd w:id="2678"/>
      <w:bookmarkEnd w:id="2679"/>
      <w:bookmarkEnd w:id="2680"/>
    </w:p>
    <w:p w14:paraId="77CD739C" w14:textId="5B1ECFA8" w:rsidR="000627C7" w:rsidRPr="00CD7DD8" w:rsidRDefault="000627C7" w:rsidP="00F47042">
      <w:pPr>
        <w:pStyle w:val="ParaNum"/>
      </w:pPr>
      <w:r w:rsidRPr="00B03906">
        <w:t xml:space="preserve">We propose to extend the </w:t>
      </w:r>
      <w:r>
        <w:t>E-rate</w:t>
      </w:r>
      <w:r w:rsidRPr="00B03906">
        <w:t xml:space="preserve"> program document retention requirements from five to at least ten years.  </w:t>
      </w:r>
      <w:r>
        <w:t xml:space="preserve">We seek comments on the benefits and burdens of </w:t>
      </w:r>
      <w:r w:rsidR="00112767">
        <w:t>doing so</w:t>
      </w:r>
      <w:r>
        <w:t xml:space="preserve">.  </w:t>
      </w:r>
      <w:r w:rsidRPr="00B03906">
        <w:t xml:space="preserve">Access to relevant documents is crucial to conducting effective audits of </w:t>
      </w:r>
      <w:r>
        <w:t>E-rate</w:t>
      </w:r>
      <w:r w:rsidRPr="00B03906">
        <w:t xml:space="preserve"> applicants and service providers, and otherwise investigating compliance with the requirements of the </w:t>
      </w:r>
      <w:r>
        <w:t>E-rate</w:t>
      </w:r>
      <w:r w:rsidRPr="00B03906">
        <w:t xml:space="preserve"> program.  Our rules currently require schools and libraries to retain all documents related to the application, receipt, and delivery of eligible services received under the </w:t>
      </w:r>
      <w:r>
        <w:t>E-rate</w:t>
      </w:r>
      <w:r w:rsidRPr="00B03906">
        <w:t xml:space="preserve"> program for at least five years after the last day of the delivery of services.</w:t>
      </w:r>
      <w:r w:rsidRPr="00AC64AA">
        <w:rPr>
          <w:vertAlign w:val="superscript"/>
        </w:rPr>
        <w:footnoteReference w:id="398"/>
      </w:r>
      <w:r w:rsidRPr="00B03906">
        <w:t xml:space="preserve">  Schools and libraries must also retain all other documentation that demonstrates compliance with the statutory or regulatory requirements for the </w:t>
      </w:r>
      <w:r>
        <w:t>E-rate</w:t>
      </w:r>
      <w:r w:rsidRPr="00B03906">
        <w:t xml:space="preserve"> program as well as all asset and inventory records of equipment purchased as components of supported internal connections services sufficient to verify the actual location of such equipment for a period of five years after purchase.</w:t>
      </w:r>
      <w:r w:rsidRPr="00AC64AA">
        <w:rPr>
          <w:vertAlign w:val="superscript"/>
        </w:rPr>
        <w:footnoteReference w:id="399"/>
      </w:r>
      <w:r w:rsidRPr="00B03906">
        <w:t xml:space="preserve">  Service providers are also required to retain documents related to the delivery of eligible services for at least five years after the last day of service delivery and all other documentation that demonstrates compliance with the statutory or regulatory requirements for the </w:t>
      </w:r>
      <w:r>
        <w:t>E-rate</w:t>
      </w:r>
      <w:r w:rsidRPr="00B03906">
        <w:t xml:space="preserve"> program.</w:t>
      </w:r>
      <w:r w:rsidRPr="00AC64AA">
        <w:rPr>
          <w:vertAlign w:val="superscript"/>
        </w:rPr>
        <w:footnoteReference w:id="400"/>
      </w:r>
    </w:p>
    <w:p w14:paraId="1FD93178" w14:textId="77777777" w:rsidR="000627C7" w:rsidRPr="00CD7DD8" w:rsidRDefault="000627C7" w:rsidP="00F47042">
      <w:pPr>
        <w:pStyle w:val="ParaNum"/>
      </w:pPr>
      <w:bookmarkStart w:id="2681" w:name="_Ref360206449"/>
      <w:r w:rsidRPr="00B03906">
        <w:lastRenderedPageBreak/>
        <w:t xml:space="preserve">In the </w:t>
      </w:r>
      <w:r w:rsidRPr="00B03906">
        <w:rPr>
          <w:i/>
        </w:rPr>
        <w:t>USF/ICC Transformation Order and FNPRM</w:t>
      </w:r>
      <w:r w:rsidRPr="00B03906">
        <w:t>, the Commission revised the record retention requirements for recipients of high-cost support to extend the retention period from five years to ten years.</w:t>
      </w:r>
      <w:r w:rsidRPr="00AC64AA">
        <w:rPr>
          <w:vertAlign w:val="superscript"/>
        </w:rPr>
        <w:footnoteReference w:id="401"/>
      </w:r>
      <w:r w:rsidRPr="00B03906">
        <w:t xml:space="preserve">  In doing so, the Commission determined that the high-cost retention requirement of five years was inadequate for the purposes of litigation under the False Claims Act,</w:t>
      </w:r>
      <w:r w:rsidRPr="00AC64AA">
        <w:rPr>
          <w:vertAlign w:val="superscript"/>
        </w:rPr>
        <w:footnoteReference w:id="402"/>
      </w:r>
      <w:r w:rsidRPr="00B03906">
        <w:t xml:space="preserve"> which can involve conduct that relates back substantially more than five years.</w:t>
      </w:r>
      <w:r w:rsidRPr="00AC64AA">
        <w:rPr>
          <w:vertAlign w:val="superscript"/>
        </w:rPr>
        <w:footnoteReference w:id="403"/>
      </w:r>
      <w:r w:rsidRPr="00B03906">
        <w:t xml:space="preserve">  Similarly, in the </w:t>
      </w:r>
      <w:r w:rsidRPr="00B03906">
        <w:rPr>
          <w:i/>
        </w:rPr>
        <w:t>Lifeline Reform Order</w:t>
      </w:r>
      <w:r w:rsidRPr="00B03906">
        <w:t xml:space="preserve">, the Commission proposed to amend its rules to extend the retention period for eligible </w:t>
      </w:r>
      <w:r w:rsidRPr="00CD7DD8">
        <w:t>telecommunications carriers receiving low-income universal service support from three years to at least ten years.</w:t>
      </w:r>
      <w:r w:rsidRPr="00CD7DD8">
        <w:rPr>
          <w:vertAlign w:val="superscript"/>
        </w:rPr>
        <w:footnoteReference w:id="404"/>
      </w:r>
      <w:r w:rsidRPr="00CD7DD8">
        <w:t xml:space="preserve">  Similar concerns lead us to propose to amend section 54.516 of the Commission’s rules to read as specified below and we seek comment on this proposed rule:</w:t>
      </w:r>
      <w:bookmarkEnd w:id="2681"/>
    </w:p>
    <w:p w14:paraId="6A4B7D91" w14:textId="79F6DEB8" w:rsidR="000627C7" w:rsidRDefault="000627C7" w:rsidP="004F322C">
      <w:pPr>
        <w:pStyle w:val="NormalWeb"/>
        <w:spacing w:before="0" w:beforeAutospacing="0" w:after="120"/>
        <w:ind w:left="475"/>
        <w:rPr>
          <w:i/>
          <w:szCs w:val="22"/>
        </w:rPr>
      </w:pPr>
      <w:r w:rsidRPr="00B03906">
        <w:rPr>
          <w:i/>
          <w:szCs w:val="22"/>
        </w:rPr>
        <w:t xml:space="preserve">(a) Record keeping requirements </w:t>
      </w:r>
      <w:r w:rsidRPr="00AC64AA">
        <w:rPr>
          <w:i/>
          <w:szCs w:val="22"/>
        </w:rPr>
        <w:t>–</w:t>
      </w:r>
      <w:r w:rsidRPr="00B03906">
        <w:rPr>
          <w:i/>
          <w:szCs w:val="22"/>
        </w:rPr>
        <w:t xml:space="preserve"> (1) Schools, libraries and consortia.  </w:t>
      </w:r>
      <w:r w:rsidRPr="00CD7DD8">
        <w:rPr>
          <w:i/>
          <w:szCs w:val="22"/>
        </w:rPr>
        <w:t>Schools,</w:t>
      </w:r>
      <w:r w:rsidRPr="00B03906">
        <w:rPr>
          <w:i/>
          <w:szCs w:val="22"/>
        </w:rPr>
        <w:t xml:space="preserve"> libraries</w:t>
      </w:r>
      <w:r w:rsidRPr="00CD7DD8">
        <w:rPr>
          <w:i/>
          <w:szCs w:val="22"/>
        </w:rPr>
        <w:t>, and any consortium that includes schools and libraries</w:t>
      </w:r>
      <w:r w:rsidRPr="00B03906">
        <w:rPr>
          <w:i/>
          <w:szCs w:val="22"/>
        </w:rPr>
        <w:t xml:space="preserve"> </w:t>
      </w:r>
      <w:r w:rsidRPr="00CD7DD8">
        <w:rPr>
          <w:i/>
          <w:szCs w:val="22"/>
        </w:rPr>
        <w:t xml:space="preserve">shall </w:t>
      </w:r>
      <w:r w:rsidRPr="00B03906">
        <w:rPr>
          <w:i/>
          <w:szCs w:val="22"/>
        </w:rPr>
        <w:t xml:space="preserve">retain all documents related to the application for, receipt, and delivery of discounted telecommunications and other supported services for at least 10 years after the last day of the delivery of services or from the end of the applicable funding year, whichever is later.  </w:t>
      </w:r>
      <w:r w:rsidRPr="00CD7DD8">
        <w:rPr>
          <w:i/>
          <w:szCs w:val="22"/>
        </w:rPr>
        <w:t>Schools, libraries, and any consortium that include schools or libraries shall also retain a</w:t>
      </w:r>
      <w:r w:rsidRPr="00B03906">
        <w:rPr>
          <w:i/>
          <w:szCs w:val="22"/>
        </w:rPr>
        <w:t xml:space="preserve">ny other document </w:t>
      </w:r>
      <w:r w:rsidRPr="00CD7DD8">
        <w:rPr>
          <w:i/>
          <w:szCs w:val="22"/>
        </w:rPr>
        <w:t>necessary to demonstrate</w:t>
      </w:r>
      <w:r w:rsidRPr="00B03906">
        <w:rPr>
          <w:i/>
          <w:szCs w:val="22"/>
        </w:rPr>
        <w:t xml:space="preserve"> compliance with the statutory or regulatory requirements for the schools and libraries mechanism</w:t>
      </w:r>
      <w:r w:rsidRPr="00CD7DD8">
        <w:rPr>
          <w:i/>
          <w:szCs w:val="22"/>
        </w:rPr>
        <w:t xml:space="preserve">. </w:t>
      </w:r>
      <w:r w:rsidR="00104952">
        <w:rPr>
          <w:i/>
          <w:szCs w:val="22"/>
        </w:rPr>
        <w:t xml:space="preserve"> </w:t>
      </w:r>
      <w:r w:rsidRPr="00CD7DD8">
        <w:rPr>
          <w:i/>
          <w:szCs w:val="22"/>
        </w:rPr>
        <w:t>Schools and libraries shall</w:t>
      </w:r>
      <w:r w:rsidRPr="00B03906">
        <w:rPr>
          <w:i/>
          <w:szCs w:val="22"/>
        </w:rPr>
        <w:t xml:space="preserve"> maintain asset and inventory records of equipment purchased as components of supported internal connections services sufficient to verify the actual location of such equipment for a period of five years after purchase.</w:t>
      </w:r>
    </w:p>
    <w:p w14:paraId="0EA086D3" w14:textId="77777777" w:rsidR="000627C7" w:rsidRPr="00B03906" w:rsidRDefault="000627C7" w:rsidP="004F322C">
      <w:pPr>
        <w:pStyle w:val="NormalWeb"/>
        <w:spacing w:before="0" w:beforeAutospacing="0" w:after="120"/>
        <w:ind w:left="475"/>
        <w:rPr>
          <w:i/>
          <w:szCs w:val="22"/>
        </w:rPr>
      </w:pPr>
      <w:r w:rsidRPr="004F322C">
        <w:rPr>
          <w:i/>
          <w:szCs w:val="22"/>
        </w:rPr>
        <w:t>(2)</w:t>
      </w:r>
      <w:r w:rsidRPr="00CD7DD8">
        <w:rPr>
          <w:i/>
          <w:szCs w:val="22"/>
        </w:rPr>
        <w:t xml:space="preserve"> Service providers. Service providers shall</w:t>
      </w:r>
      <w:r w:rsidRPr="00B03906">
        <w:rPr>
          <w:i/>
          <w:szCs w:val="22"/>
        </w:rPr>
        <w:t xml:space="preserve"> retain documents related to the delivery of discounted telecommunications and other supported services for at least 10 years after the last day of the delivery of services or from the end of the applicable funding year, whichever is later. </w:t>
      </w:r>
      <w:r w:rsidRPr="00CD7DD8">
        <w:rPr>
          <w:i/>
          <w:szCs w:val="22"/>
        </w:rPr>
        <w:t>Service providers shall also retain a</w:t>
      </w:r>
      <w:r w:rsidRPr="00B03906">
        <w:rPr>
          <w:i/>
          <w:szCs w:val="22"/>
        </w:rPr>
        <w:t xml:space="preserve">ny other document that demonstrates compliance with the statutory or regulatory </w:t>
      </w:r>
      <w:r w:rsidRPr="00B03906">
        <w:rPr>
          <w:i/>
          <w:szCs w:val="22"/>
        </w:rPr>
        <w:lastRenderedPageBreak/>
        <w:t xml:space="preserve">requirements for the schools and libraries </w:t>
      </w:r>
      <w:r w:rsidRPr="00CD7DD8">
        <w:rPr>
          <w:i/>
          <w:szCs w:val="22"/>
        </w:rPr>
        <w:t>universal service support mechanism.</w:t>
      </w:r>
    </w:p>
    <w:p w14:paraId="06B38AA6" w14:textId="272820C2" w:rsidR="000627C7" w:rsidRDefault="000627C7" w:rsidP="00F47042">
      <w:pPr>
        <w:pStyle w:val="ParaNum"/>
      </w:pPr>
      <w:r w:rsidRPr="00CD7DD8">
        <w:t xml:space="preserve">We also seek comment on whether there are other changes we should make to our document retention requirements.  For example, should </w:t>
      </w:r>
      <w:r w:rsidR="001B38D8">
        <w:t xml:space="preserve">our rules specify that </w:t>
      </w:r>
      <w:r w:rsidRPr="00CD7DD8">
        <w:t xml:space="preserve">applicants and service providers </w:t>
      </w:r>
      <w:r w:rsidR="001B38D8">
        <w:t xml:space="preserve">must </w:t>
      </w:r>
      <w:r w:rsidRPr="00CD7DD8">
        <w:t xml:space="preserve">keep records of all their communications relating to bids for and purchases of </w:t>
      </w:r>
      <w:r>
        <w:t>E-rate</w:t>
      </w:r>
      <w:r w:rsidRPr="00CD7DD8">
        <w:t xml:space="preserve"> supported services?  Should we extend the required retention of records in the event of any Governmental investigation, audit, or other governmental inquiry involving a particular participant or applicant for funding in the </w:t>
      </w:r>
      <w:r>
        <w:t>E-rate</w:t>
      </w:r>
      <w:r w:rsidRPr="00CD7DD8">
        <w:t xml:space="preserve"> program to avoid destruction of potentially relevant documents.</w:t>
      </w:r>
      <w:r>
        <w:t xml:space="preserve">  </w:t>
      </w:r>
      <w:r w:rsidRPr="00CD7DD8">
        <w:t>We further seek comment</w:t>
      </w:r>
      <w:r w:rsidRPr="00FB27C9">
        <w:t xml:space="preserve"> on the manner in which such an extension would be implemented.  For example, should the obligation for an extended retention period be immediately and automatically triggered by a participant or applicant’s knowledge that an investigation of its </w:t>
      </w:r>
      <w:r>
        <w:t>E-rate</w:t>
      </w:r>
      <w:r w:rsidRPr="00FB27C9">
        <w:t xml:space="preserve"> funding or </w:t>
      </w:r>
      <w:r>
        <w:t>E-rate</w:t>
      </w:r>
      <w:r w:rsidRPr="00FB27C9">
        <w:t xml:space="preserve"> requests is ongoing?  If so, should the record retention extension be a blanket extension applying to all existing </w:t>
      </w:r>
      <w:r>
        <w:t>E-rate</w:t>
      </w:r>
      <w:r w:rsidRPr="00FB27C9">
        <w:t xml:space="preserve"> documents in its possession or should an extension be implemented only at the discretion of the Commission, upon direction from the Commission or USAC, to the party involved?  In other words, should additional retention be required and permitted “as directed by the Commission or USAC” and targeted to those documents determined to be appropriate in the Commission’s sole discretion? Would such a targeted “hold” requirement be better than an automatic, blanket hold?  We seek comment on these options. </w:t>
      </w:r>
    </w:p>
    <w:p w14:paraId="2C4542B7" w14:textId="7A5A8A22" w:rsidR="000627C7" w:rsidRDefault="000627C7" w:rsidP="008B687A">
      <w:pPr>
        <w:pStyle w:val="Heading3"/>
        <w:keepNext w:val="0"/>
      </w:pPr>
      <w:bookmarkStart w:id="2682" w:name="_Toc361663132"/>
      <w:bookmarkStart w:id="2683" w:name="_Toc361663133"/>
      <w:bookmarkStart w:id="2684" w:name="_Toc358208817"/>
      <w:bookmarkStart w:id="2685" w:name="_Toc358210320"/>
      <w:bookmarkStart w:id="2686" w:name="_Toc358210467"/>
      <w:bookmarkStart w:id="2687" w:name="_Toc358210645"/>
      <w:bookmarkStart w:id="2688" w:name="_Toc358210746"/>
      <w:bookmarkStart w:id="2689" w:name="_Toc358213680"/>
      <w:bookmarkStart w:id="2690" w:name="_Toc358213812"/>
      <w:bookmarkStart w:id="2691" w:name="_Toc358210647"/>
      <w:bookmarkStart w:id="2692" w:name="_Toc358210748"/>
      <w:bookmarkStart w:id="2693" w:name="_Toc358213682"/>
      <w:bookmarkStart w:id="2694" w:name="_Toc358213814"/>
      <w:bookmarkStart w:id="2695" w:name="_Toc358301307"/>
      <w:bookmarkStart w:id="2696" w:name="_Toc358720053"/>
      <w:bookmarkStart w:id="2697" w:name="_Toc358971279"/>
      <w:bookmarkStart w:id="2698" w:name="_Toc358974880"/>
      <w:bookmarkStart w:id="2699" w:name="_Toc358975778"/>
      <w:bookmarkStart w:id="2700" w:name="_Toc358975940"/>
      <w:bookmarkStart w:id="2701" w:name="_Toc358976181"/>
      <w:bookmarkStart w:id="2702" w:name="_Toc358981037"/>
      <w:bookmarkStart w:id="2703" w:name="_Toc358981153"/>
      <w:bookmarkStart w:id="2704" w:name="_Toc358982415"/>
      <w:bookmarkStart w:id="2705" w:name="_Toc358982505"/>
      <w:bookmarkStart w:id="2706" w:name="_Toc359239287"/>
      <w:bookmarkStart w:id="2707" w:name="_Toc359239344"/>
      <w:bookmarkStart w:id="2708" w:name="_Toc359252303"/>
      <w:bookmarkStart w:id="2709" w:name="_Toc359326052"/>
      <w:bookmarkStart w:id="2710" w:name="_Toc359333300"/>
      <w:bookmarkStart w:id="2711" w:name="_Toc359339954"/>
      <w:bookmarkStart w:id="2712" w:name="_Toc359343218"/>
      <w:bookmarkStart w:id="2713" w:name="_Toc359347027"/>
      <w:bookmarkStart w:id="2714" w:name="_Toc359598717"/>
      <w:bookmarkStart w:id="2715" w:name="_Toc359853212"/>
      <w:bookmarkStart w:id="2716" w:name="_Toc359853448"/>
      <w:bookmarkStart w:id="2717" w:name="_Toc359853711"/>
      <w:bookmarkStart w:id="2718" w:name="_Toc359858679"/>
      <w:bookmarkStart w:id="2719" w:name="_Toc359859627"/>
      <w:bookmarkStart w:id="2720" w:name="_Toc359940093"/>
      <w:bookmarkStart w:id="2721" w:name="_Toc360025468"/>
      <w:bookmarkStart w:id="2722" w:name="_Toc360107519"/>
      <w:bookmarkStart w:id="2723" w:name="_Toc360111643"/>
      <w:bookmarkStart w:id="2724" w:name="_Toc360172828"/>
      <w:bookmarkStart w:id="2725" w:name="_Toc360186169"/>
      <w:bookmarkStart w:id="2726" w:name="_Toc360186246"/>
      <w:bookmarkStart w:id="2727" w:name="_Toc360186450"/>
      <w:bookmarkStart w:id="2728" w:name="_Toc360186522"/>
      <w:bookmarkStart w:id="2729" w:name="_Toc360187323"/>
      <w:bookmarkStart w:id="2730" w:name="_Toc360187484"/>
      <w:bookmarkStart w:id="2731" w:name="_Toc360208929"/>
      <w:bookmarkStart w:id="2732" w:name="_Toc360212062"/>
      <w:bookmarkStart w:id="2733" w:name="_Toc361663134"/>
      <w:bookmarkStart w:id="2734" w:name="_Toc361857710"/>
      <w:bookmarkStart w:id="2735" w:name="_Toc361918802"/>
      <w:bookmarkStart w:id="2736" w:name="_Toc362272580"/>
      <w:bookmarkEnd w:id="2682"/>
      <w:bookmarkEnd w:id="2683"/>
      <w:bookmarkEnd w:id="2684"/>
      <w:bookmarkEnd w:id="2685"/>
      <w:bookmarkEnd w:id="2686"/>
      <w:bookmarkEnd w:id="2687"/>
      <w:bookmarkEnd w:id="2688"/>
      <w:bookmarkEnd w:id="2689"/>
      <w:bookmarkEnd w:id="2690"/>
      <w:r>
        <w:rPr>
          <w:noProof/>
        </w:rPr>
        <w:t>Documentation of Competitive Bidding</w:t>
      </w:r>
      <w:bookmarkEnd w:id="2691"/>
      <w:bookmarkEnd w:id="2692"/>
      <w:bookmarkEnd w:id="2693"/>
      <w:bookmarkEnd w:id="2694"/>
      <w:bookmarkEnd w:id="2695"/>
      <w:bookmarkEnd w:id="2696"/>
      <w:bookmarkEnd w:id="2697"/>
      <w:bookmarkEnd w:id="2698"/>
      <w:bookmarkEnd w:id="2699"/>
      <w:bookmarkEnd w:id="2700"/>
      <w:bookmarkEnd w:id="2701"/>
      <w:bookmarkEnd w:id="2702"/>
      <w:bookmarkEnd w:id="2703"/>
      <w:bookmarkEnd w:id="2704"/>
      <w:bookmarkEnd w:id="2705"/>
      <w:bookmarkEnd w:id="2706"/>
      <w:bookmarkEnd w:id="2707"/>
      <w:bookmarkEnd w:id="2708"/>
      <w:bookmarkEnd w:id="2709"/>
      <w:bookmarkEnd w:id="2710"/>
      <w:bookmarkEnd w:id="2711"/>
      <w:bookmarkEnd w:id="2712"/>
      <w:bookmarkEnd w:id="2713"/>
      <w:bookmarkEnd w:id="2714"/>
      <w:bookmarkEnd w:id="2715"/>
      <w:bookmarkEnd w:id="2716"/>
      <w:bookmarkEnd w:id="2717"/>
      <w:bookmarkEnd w:id="2718"/>
      <w:bookmarkEnd w:id="2719"/>
      <w:bookmarkEnd w:id="2720"/>
      <w:bookmarkEnd w:id="2721"/>
      <w:bookmarkEnd w:id="2722"/>
      <w:bookmarkEnd w:id="2723"/>
      <w:bookmarkEnd w:id="2724"/>
      <w:bookmarkEnd w:id="2725"/>
      <w:bookmarkEnd w:id="2726"/>
      <w:bookmarkEnd w:id="2727"/>
      <w:bookmarkEnd w:id="2728"/>
      <w:bookmarkEnd w:id="2729"/>
      <w:bookmarkEnd w:id="2730"/>
      <w:bookmarkEnd w:id="2731"/>
      <w:bookmarkEnd w:id="2732"/>
      <w:bookmarkEnd w:id="2733"/>
      <w:bookmarkEnd w:id="2734"/>
      <w:bookmarkEnd w:id="2735"/>
      <w:bookmarkEnd w:id="2736"/>
    </w:p>
    <w:p w14:paraId="781D329B" w14:textId="067E08F2" w:rsidR="000627C7" w:rsidRDefault="000627C7" w:rsidP="00F47042">
      <w:pPr>
        <w:pStyle w:val="ParaNum"/>
      </w:pPr>
      <w:bookmarkStart w:id="2737" w:name="_Toc358210322"/>
      <w:bookmarkStart w:id="2738" w:name="_Toc358210469"/>
      <w:bookmarkEnd w:id="2737"/>
      <w:bookmarkEnd w:id="2738"/>
      <w:r>
        <w:t xml:space="preserve">As discussed above, E-rate applicants are currently required to </w:t>
      </w:r>
      <w:r w:rsidRPr="00FB27C9">
        <w:t xml:space="preserve">retain documentation that demonstrates compliance with the statutory or regulatory requirements for the </w:t>
      </w:r>
      <w:r>
        <w:t>E-rate</w:t>
      </w:r>
      <w:r w:rsidRPr="00FB27C9">
        <w:t xml:space="preserve"> program as well as all asset and inventory records of equipment purchased as components of supported internal connections services sufficient to verify the actual location of such equipment for a period of five years after purchase.</w:t>
      </w:r>
      <w:r w:rsidRPr="00FB27C9">
        <w:rPr>
          <w:vertAlign w:val="superscript"/>
        </w:rPr>
        <w:footnoteReference w:id="405"/>
      </w:r>
      <w:r>
        <w:t xml:space="preserve"> </w:t>
      </w:r>
      <w:r w:rsidRPr="00FB27C9">
        <w:t xml:space="preserve"> </w:t>
      </w:r>
      <w:r>
        <w:t xml:space="preserve">In the </w:t>
      </w:r>
      <w:r w:rsidRPr="00B03906">
        <w:rPr>
          <w:i/>
        </w:rPr>
        <w:t>Health</w:t>
      </w:r>
      <w:r w:rsidR="007E49DD">
        <w:rPr>
          <w:i/>
        </w:rPr>
        <w:t>c</w:t>
      </w:r>
      <w:r w:rsidRPr="00B03906">
        <w:rPr>
          <w:i/>
        </w:rPr>
        <w:t xml:space="preserve">are Connect </w:t>
      </w:r>
      <w:r w:rsidR="00231CD5">
        <w:rPr>
          <w:i/>
        </w:rPr>
        <w:t xml:space="preserve">Fund </w:t>
      </w:r>
      <w:r w:rsidRPr="00B03906">
        <w:rPr>
          <w:i/>
        </w:rPr>
        <w:t>Order</w:t>
      </w:r>
      <w:r>
        <w:t xml:space="preserve"> the Commission required applicants to the HealthCare Connect Fund to submit to USAC competitive bidding documents, including a copy of each bid received, the bid evaluation criteria, bid sheets, a list of people who evaluated bids, memos, board minutes, or similar documents, and any correspondence with vendors during the bidding, evaluation, and award phase of the process.  </w:t>
      </w:r>
      <w:r w:rsidR="001D6BAC">
        <w:t xml:space="preserve">Having such documents from E-rate recipients would allow USAC to evaluate more fully the competitive bidding process conducted by E-rate applicants and </w:t>
      </w:r>
      <w:r w:rsidR="001D6BAC">
        <w:lastRenderedPageBreak/>
        <w:t>ensure that documentation of the competitive bidding process was retained in the event of an audit.  At the same time, providing such documents would impose additional burdens on E-rate applicants and could increase application review time and administrative costs.  We therefore seek comment on whether we should similarly require E-rate applicants to submit competitive bidding documents with their FCC Forms 471.  Are there specific documents, such as the bid selection sheet, that would allow USAC to review an applicant’s competitive bidding process while minimizing the burden on applicants?</w:t>
      </w:r>
    </w:p>
    <w:p w14:paraId="3929C4BF" w14:textId="10C447FA" w:rsidR="009511F9" w:rsidRDefault="009511F9" w:rsidP="009511F9">
      <w:pPr>
        <w:pStyle w:val="Heading3"/>
      </w:pPr>
      <w:bookmarkStart w:id="2739" w:name="_Ref358989658"/>
      <w:bookmarkStart w:id="2740" w:name="_Toc359239288"/>
      <w:bookmarkStart w:id="2741" w:name="_Toc359239345"/>
      <w:bookmarkStart w:id="2742" w:name="_Toc359252304"/>
      <w:bookmarkStart w:id="2743" w:name="_Toc359326053"/>
      <w:bookmarkStart w:id="2744" w:name="_Toc359333301"/>
      <w:bookmarkStart w:id="2745" w:name="_Toc359339955"/>
      <w:bookmarkStart w:id="2746" w:name="_Toc359343219"/>
      <w:bookmarkStart w:id="2747" w:name="_Toc359347028"/>
      <w:bookmarkStart w:id="2748" w:name="_Toc359598718"/>
      <w:bookmarkStart w:id="2749" w:name="_Toc359853213"/>
      <w:bookmarkStart w:id="2750" w:name="_Toc359853449"/>
      <w:bookmarkStart w:id="2751" w:name="_Toc359853712"/>
      <w:bookmarkStart w:id="2752" w:name="_Toc359858680"/>
      <w:bookmarkStart w:id="2753" w:name="_Toc359859628"/>
      <w:bookmarkStart w:id="2754" w:name="_Toc359940094"/>
      <w:bookmarkStart w:id="2755" w:name="_Toc360025469"/>
      <w:bookmarkStart w:id="2756" w:name="_Toc360107520"/>
      <w:bookmarkStart w:id="2757" w:name="_Toc360111644"/>
      <w:bookmarkStart w:id="2758" w:name="_Toc360172829"/>
      <w:bookmarkStart w:id="2759" w:name="_Toc360186170"/>
      <w:bookmarkStart w:id="2760" w:name="_Toc360186247"/>
      <w:bookmarkStart w:id="2761" w:name="_Toc360186451"/>
      <w:bookmarkStart w:id="2762" w:name="_Toc360186523"/>
      <w:bookmarkStart w:id="2763" w:name="_Toc360187324"/>
      <w:bookmarkStart w:id="2764" w:name="_Toc360187485"/>
      <w:bookmarkStart w:id="2765" w:name="_Toc360208930"/>
      <w:bookmarkStart w:id="2766" w:name="_Toc360212063"/>
      <w:bookmarkStart w:id="2767" w:name="_Toc361663135"/>
      <w:bookmarkStart w:id="2768" w:name="_Toc361857711"/>
      <w:bookmarkStart w:id="2769" w:name="_Toc361918803"/>
      <w:bookmarkStart w:id="2770" w:name="_Toc362272581"/>
      <w:r w:rsidRPr="00B4386B">
        <w:t>E-rate FCC Form Certification Requirements</w:t>
      </w:r>
      <w:bookmarkEnd w:id="2739"/>
      <w:bookmarkEnd w:id="2740"/>
      <w:bookmarkEnd w:id="2741"/>
      <w:bookmarkEnd w:id="2742"/>
      <w:bookmarkEnd w:id="2743"/>
      <w:bookmarkEnd w:id="2744"/>
      <w:bookmarkEnd w:id="2745"/>
      <w:bookmarkEnd w:id="2746"/>
      <w:bookmarkEnd w:id="2747"/>
      <w:bookmarkEnd w:id="2748"/>
      <w:bookmarkEnd w:id="2749"/>
      <w:bookmarkEnd w:id="2750"/>
      <w:bookmarkEnd w:id="2751"/>
      <w:bookmarkEnd w:id="2752"/>
      <w:bookmarkEnd w:id="2753"/>
      <w:bookmarkEnd w:id="2754"/>
      <w:bookmarkEnd w:id="2755"/>
      <w:bookmarkEnd w:id="2756"/>
      <w:bookmarkEnd w:id="2757"/>
      <w:bookmarkEnd w:id="2758"/>
      <w:bookmarkEnd w:id="2759"/>
      <w:bookmarkEnd w:id="2760"/>
      <w:bookmarkEnd w:id="2761"/>
      <w:bookmarkEnd w:id="2762"/>
      <w:bookmarkEnd w:id="2763"/>
      <w:bookmarkEnd w:id="2764"/>
      <w:bookmarkEnd w:id="2765"/>
      <w:bookmarkEnd w:id="2766"/>
      <w:bookmarkEnd w:id="2767"/>
      <w:bookmarkEnd w:id="2768"/>
      <w:bookmarkEnd w:id="2769"/>
      <w:bookmarkEnd w:id="2770"/>
    </w:p>
    <w:p w14:paraId="09899783" w14:textId="195481DD" w:rsidR="009511F9" w:rsidRPr="00F415CF" w:rsidRDefault="009511F9" w:rsidP="009511F9">
      <w:pPr>
        <w:pStyle w:val="ParaNum"/>
      </w:pPr>
      <w:bookmarkStart w:id="2771" w:name="_Ref358989712"/>
      <w:r w:rsidRPr="00B4386B">
        <w:t xml:space="preserve">As the custodian of the universal service fund, we are committed to ensuring that universal service funds are used in a manner consistent with the E-rate program rules.  One way to encourage compliance and to ensure that we hold entities responsible for failing to follow our rules is to require applicants and service providers to certify their compliance with various requirements of the E-rate program when submitting forms to USAC.  Certifications of compliance with our rules will help protect against waste, fraud and abuse in the program by imposing a duty on the person submitting the certification to consider whether the applicant or service provider is in compliance with all E-rate rules.  Moreover, the certifications are an important enforcement tool in protecting the USF from waste, fraud and abuse.  </w:t>
      </w:r>
      <w:bookmarkEnd w:id="2771"/>
    </w:p>
    <w:p w14:paraId="7E862B31" w14:textId="0064A365" w:rsidR="009511F9" w:rsidRPr="00B4386B" w:rsidRDefault="009511F9" w:rsidP="009511F9">
      <w:pPr>
        <w:pStyle w:val="ParaNum"/>
      </w:pPr>
      <w:bookmarkStart w:id="2772" w:name="_Ref362341148"/>
      <w:r w:rsidRPr="00B4386B">
        <w:t>Currently, most E-rate forms submitted to USAC require an “authorized person” to attest to the certifications contained on those forms on behalf of the entity submitting the form.</w:t>
      </w:r>
      <w:r w:rsidRPr="00B4386B">
        <w:rPr>
          <w:rStyle w:val="FootnoteReference"/>
          <w:szCs w:val="22"/>
        </w:rPr>
        <w:footnoteReference w:id="406"/>
      </w:r>
      <w:r w:rsidRPr="00B4386B">
        <w:t xml:space="preserve">  While a signatory may be </w:t>
      </w:r>
      <w:r w:rsidRPr="00B4386B">
        <w:rPr>
          <w:color w:val="000000"/>
        </w:rPr>
        <w:t xml:space="preserve">“authorized” to sign an E-rate form pursuant to a general delegation by the applicant or service provider, occasionally signatories on the E-rate forms do not have sufficient knowledge about the actual operation of the E-rate program or a sufficient understanding of the Commission’s E-rate program rules to provide a meaningful or accurate certification.  </w:t>
      </w:r>
      <w:r w:rsidRPr="00B4386B">
        <w:t xml:space="preserve">As a way to further guard against waste, fraud and abuse, we therefore propose to amend our rules to require that an officer of the service provider sign certain forms submitted to USAC in support of an application for eligible services and any requests for payment.  </w:t>
      </w:r>
      <w:r w:rsidRPr="00B4386B">
        <w:rPr>
          <w:color w:val="000000"/>
        </w:rPr>
        <w:t xml:space="preserve">We also propose to codify the current certifications contained on our E-rate forms.  We further propose to require service providers </w:t>
      </w:r>
      <w:r w:rsidRPr="00B4386B">
        <w:t>to certify their compliance with the lowest corresponding price rule and with state and local procurement laws.</w:t>
      </w:r>
      <w:bookmarkEnd w:id="2772"/>
      <w:r w:rsidRPr="00B4386B">
        <w:t xml:space="preserve">  </w:t>
      </w:r>
    </w:p>
    <w:p w14:paraId="707AF467" w14:textId="77777777" w:rsidR="009511F9" w:rsidRPr="00B4386B" w:rsidRDefault="009511F9" w:rsidP="009511F9">
      <w:pPr>
        <w:pStyle w:val="Heading4"/>
      </w:pPr>
      <w:bookmarkStart w:id="2773" w:name="_Toc359598719"/>
      <w:bookmarkStart w:id="2774" w:name="_Toc359853450"/>
      <w:bookmarkStart w:id="2775" w:name="_Toc359858681"/>
      <w:bookmarkStart w:id="2776" w:name="_Toc359940095"/>
      <w:bookmarkStart w:id="2777" w:name="_Toc360025470"/>
      <w:bookmarkStart w:id="2778" w:name="_Toc360107521"/>
      <w:bookmarkStart w:id="2779" w:name="_Toc360111645"/>
      <w:bookmarkStart w:id="2780" w:name="_Toc360172830"/>
      <w:bookmarkStart w:id="2781" w:name="_Toc360186171"/>
      <w:bookmarkStart w:id="2782" w:name="_Toc360186248"/>
      <w:bookmarkStart w:id="2783" w:name="_Toc360186452"/>
      <w:bookmarkStart w:id="2784" w:name="_Toc360187325"/>
      <w:bookmarkStart w:id="2785" w:name="_Toc360208931"/>
      <w:bookmarkStart w:id="2786" w:name="_Toc360212064"/>
      <w:bookmarkStart w:id="2787" w:name="_Toc361663136"/>
      <w:bookmarkStart w:id="2788" w:name="_Toc361857712"/>
      <w:bookmarkStart w:id="2789" w:name="_Toc361918804"/>
      <w:r w:rsidRPr="00B4386B">
        <w:lastRenderedPageBreak/>
        <w:t>E-rate FCC Form Signatories</w:t>
      </w:r>
      <w:bookmarkEnd w:id="2773"/>
      <w:bookmarkEnd w:id="2774"/>
      <w:bookmarkEnd w:id="2775"/>
      <w:bookmarkEnd w:id="2776"/>
      <w:bookmarkEnd w:id="2777"/>
      <w:bookmarkEnd w:id="2778"/>
      <w:bookmarkEnd w:id="2779"/>
      <w:bookmarkEnd w:id="2780"/>
      <w:bookmarkEnd w:id="2781"/>
      <w:bookmarkEnd w:id="2782"/>
      <w:bookmarkEnd w:id="2783"/>
      <w:bookmarkEnd w:id="2784"/>
      <w:bookmarkEnd w:id="2785"/>
      <w:bookmarkEnd w:id="2786"/>
      <w:bookmarkEnd w:id="2787"/>
      <w:bookmarkEnd w:id="2788"/>
      <w:bookmarkEnd w:id="2789"/>
      <w:r w:rsidRPr="00B4386B">
        <w:t xml:space="preserve">  </w:t>
      </w:r>
    </w:p>
    <w:p w14:paraId="4B4AFE6E" w14:textId="23612D7C" w:rsidR="009511F9" w:rsidRPr="00B4386B" w:rsidRDefault="009511F9" w:rsidP="009511F9">
      <w:pPr>
        <w:pStyle w:val="ParaNum"/>
      </w:pPr>
      <w:bookmarkStart w:id="2790" w:name="_Ref362341327"/>
      <w:r w:rsidRPr="00B4386B">
        <w:t>First, we seek comment on whether the current signatories on the following E-rate forms and any other E-rate forms are sufficiently knowledgeable about the E-rate program to accurately certify to program compliance.  The relevant E-rate forms include:</w:t>
      </w:r>
      <w:bookmarkEnd w:id="2790"/>
    </w:p>
    <w:p w14:paraId="170F8DCB" w14:textId="77777777" w:rsidR="009511F9" w:rsidRPr="00B4386B" w:rsidRDefault="009511F9" w:rsidP="009511F9">
      <w:pPr>
        <w:tabs>
          <w:tab w:val="num" w:pos="720"/>
        </w:tabs>
        <w:ind w:left="720"/>
        <w:rPr>
          <w:szCs w:val="22"/>
        </w:rPr>
      </w:pPr>
    </w:p>
    <w:p w14:paraId="4ABF5154" w14:textId="77777777" w:rsidR="009511F9" w:rsidRPr="00B4386B" w:rsidRDefault="009511F9" w:rsidP="004F322C">
      <w:pPr>
        <w:tabs>
          <w:tab w:val="num" w:pos="720"/>
        </w:tabs>
        <w:spacing w:after="120"/>
        <w:ind w:left="720"/>
        <w:rPr>
          <w:szCs w:val="22"/>
        </w:rPr>
      </w:pPr>
      <w:r w:rsidRPr="00B4386B">
        <w:rPr>
          <w:i/>
          <w:szCs w:val="22"/>
        </w:rPr>
        <w:t>FCC Form 470</w:t>
      </w:r>
      <w:r w:rsidRPr="00B4386B">
        <w:rPr>
          <w:bCs/>
          <w:i/>
          <w:szCs w:val="22"/>
        </w:rPr>
        <w:t xml:space="preserve"> (Description of Services Requested and Certification Form)</w:t>
      </w:r>
      <w:r w:rsidRPr="00B4386B">
        <w:rPr>
          <w:i/>
          <w:szCs w:val="22"/>
        </w:rPr>
        <w:t>.</w:t>
      </w:r>
      <w:r w:rsidRPr="00B4386B">
        <w:rPr>
          <w:szCs w:val="22"/>
        </w:rPr>
        <w:t xml:space="preserve">  The FCC Form 470 is used by an applicant to open a competitive bidding process for desired eligible services.</w:t>
      </w:r>
      <w:r w:rsidRPr="00B4386B">
        <w:rPr>
          <w:rStyle w:val="FootnoteReference"/>
          <w:szCs w:val="22"/>
        </w:rPr>
        <w:footnoteReference w:id="407"/>
      </w:r>
      <w:r w:rsidRPr="00B4386B">
        <w:rPr>
          <w:szCs w:val="22"/>
        </w:rPr>
        <w:t xml:space="preserve">  It requires an “authorized person” on behalf of the school or library to certify certain information to ensure, among other things, that the applicant will conduct a competitive bidding process in accordance with Commission rules, the applicant has not received anything of value from the service provider other than the requested services, and that only eligible entities receive support under the E-rate program.</w:t>
      </w:r>
      <w:r w:rsidRPr="00B4386B">
        <w:rPr>
          <w:rStyle w:val="FootnoteReference"/>
          <w:szCs w:val="22"/>
        </w:rPr>
        <w:footnoteReference w:id="408"/>
      </w:r>
    </w:p>
    <w:p w14:paraId="186BD8B1" w14:textId="77777777" w:rsidR="009511F9" w:rsidRPr="00B4386B" w:rsidRDefault="009511F9" w:rsidP="004F322C">
      <w:pPr>
        <w:tabs>
          <w:tab w:val="num" w:pos="720"/>
        </w:tabs>
        <w:spacing w:after="120"/>
        <w:ind w:left="720"/>
        <w:rPr>
          <w:szCs w:val="22"/>
        </w:rPr>
      </w:pPr>
      <w:r w:rsidRPr="00B4386B">
        <w:rPr>
          <w:i/>
          <w:szCs w:val="22"/>
        </w:rPr>
        <w:t>FCC Form 471 (</w:t>
      </w:r>
      <w:r w:rsidRPr="00B4386B">
        <w:rPr>
          <w:bCs/>
          <w:i/>
          <w:szCs w:val="22"/>
        </w:rPr>
        <w:t>Services Ordered and Certification Form</w:t>
      </w:r>
      <w:r w:rsidRPr="00B4386B">
        <w:rPr>
          <w:bCs/>
          <w:szCs w:val="22"/>
        </w:rPr>
        <w:t xml:space="preserve">).  The FCC Form 471 is used by an applicant to request funding from USAC for the services selected by the applicant during its competitive bidding process, and to </w:t>
      </w:r>
      <w:r w:rsidRPr="00B4386B">
        <w:rPr>
          <w:szCs w:val="22"/>
        </w:rPr>
        <w:t>provide USAC with information about the requested services and the discount(s) for which an applicant is eligible to receive on eligible services under the E-rate program.</w:t>
      </w:r>
      <w:r w:rsidRPr="00B4386B">
        <w:rPr>
          <w:rStyle w:val="FootnoteReference"/>
          <w:szCs w:val="22"/>
        </w:rPr>
        <w:footnoteReference w:id="409"/>
      </w:r>
      <w:r w:rsidRPr="00B4386B">
        <w:rPr>
          <w:szCs w:val="22"/>
        </w:rPr>
        <w:t xml:space="preserve">  As with the FCC Form 470, the FCC Form 471 requires an “authorized person” to certify to certain information to ensure, among other things, that only eligible entities will receive support under the E-rate program.</w:t>
      </w:r>
      <w:r w:rsidRPr="00B4386B">
        <w:rPr>
          <w:rStyle w:val="FootnoteReference"/>
          <w:szCs w:val="22"/>
        </w:rPr>
        <w:footnoteReference w:id="410"/>
      </w:r>
    </w:p>
    <w:p w14:paraId="3CDCDE49" w14:textId="77777777" w:rsidR="009511F9" w:rsidRPr="00B4386B" w:rsidRDefault="009511F9" w:rsidP="004F322C">
      <w:pPr>
        <w:tabs>
          <w:tab w:val="num" w:pos="720"/>
        </w:tabs>
        <w:spacing w:after="120"/>
        <w:ind w:left="720"/>
        <w:rPr>
          <w:szCs w:val="22"/>
        </w:rPr>
      </w:pPr>
      <w:r w:rsidRPr="00B4386B">
        <w:rPr>
          <w:i/>
          <w:szCs w:val="22"/>
        </w:rPr>
        <w:t>FCC Form 472 (Billed Entity Applicant Reimbursement (BEAR) Form).</w:t>
      </w:r>
      <w:r w:rsidRPr="00B4386B">
        <w:rPr>
          <w:szCs w:val="22"/>
        </w:rPr>
        <w:t xml:space="preserve">  The FCC Form 472 is used by an applicant to seek reimbursement from USAC for discounts on services paid in full.</w:t>
      </w:r>
      <w:r w:rsidRPr="00B4386B">
        <w:rPr>
          <w:rStyle w:val="FootnoteReference"/>
          <w:szCs w:val="22"/>
        </w:rPr>
        <w:footnoteReference w:id="411"/>
      </w:r>
      <w:r w:rsidRPr="00B4386B">
        <w:rPr>
          <w:szCs w:val="22"/>
        </w:rPr>
        <w:t xml:space="preserve">  This form requires certifications by an “authorized person” on behalf of both the applicant and service provider to ensure that the applicant has paid for the services, that the service provider has provided discounted </w:t>
      </w:r>
      <w:r w:rsidRPr="00B4386B">
        <w:rPr>
          <w:szCs w:val="22"/>
        </w:rPr>
        <w:lastRenderedPageBreak/>
        <w:t>services within the current funding year for which it submits an invoice to USAC, and that invoices submitted from service providers for the costs of discounted eligible services do not exceed the amount that has been approved.</w:t>
      </w:r>
      <w:r w:rsidRPr="00B4386B">
        <w:rPr>
          <w:rStyle w:val="FootnoteReference"/>
          <w:szCs w:val="22"/>
        </w:rPr>
        <w:footnoteReference w:id="412"/>
      </w:r>
      <w:r w:rsidRPr="00B4386B">
        <w:rPr>
          <w:szCs w:val="22"/>
        </w:rPr>
        <w:t xml:space="preserve"> </w:t>
      </w:r>
    </w:p>
    <w:p w14:paraId="765BC778" w14:textId="77777777" w:rsidR="009511F9" w:rsidRPr="00B4386B" w:rsidRDefault="009511F9" w:rsidP="004F322C">
      <w:pPr>
        <w:tabs>
          <w:tab w:val="num" w:pos="720"/>
        </w:tabs>
        <w:spacing w:after="120"/>
        <w:ind w:left="720"/>
        <w:rPr>
          <w:szCs w:val="22"/>
        </w:rPr>
      </w:pPr>
      <w:r w:rsidRPr="00B4386B">
        <w:rPr>
          <w:i/>
          <w:szCs w:val="22"/>
        </w:rPr>
        <w:t>FCC Form 473 (Service Provider Annual Certification Form</w:t>
      </w:r>
      <w:r w:rsidRPr="00B4386B">
        <w:rPr>
          <w:szCs w:val="22"/>
        </w:rPr>
        <w:t>).  The FCC Form 473 is used to establish that the participating service provider is eligible to participate in the E-rate program and to confirm that the invoices submitted by the service provider are in compliance with the E-rate rules.</w:t>
      </w:r>
      <w:r w:rsidRPr="00B4386B">
        <w:rPr>
          <w:rStyle w:val="FootnoteReference"/>
          <w:szCs w:val="22"/>
        </w:rPr>
        <w:footnoteReference w:id="413"/>
      </w:r>
      <w:r w:rsidRPr="00B4386B">
        <w:rPr>
          <w:szCs w:val="22"/>
        </w:rPr>
        <w:t xml:space="preserve">  This form requires certain annual certifications by an “authorized person” on behalf of the service provider to ensure that the service provider is in compliance with the Commission’s rules.</w:t>
      </w:r>
      <w:r w:rsidRPr="00B4386B">
        <w:rPr>
          <w:rStyle w:val="FootnoteReference"/>
          <w:szCs w:val="22"/>
        </w:rPr>
        <w:footnoteReference w:id="414"/>
      </w:r>
    </w:p>
    <w:p w14:paraId="378C2163" w14:textId="77777777" w:rsidR="009511F9" w:rsidRPr="00B4386B" w:rsidRDefault="009511F9" w:rsidP="004F322C">
      <w:pPr>
        <w:tabs>
          <w:tab w:val="num" w:pos="720"/>
        </w:tabs>
        <w:spacing w:after="120"/>
        <w:ind w:left="720"/>
        <w:rPr>
          <w:szCs w:val="22"/>
        </w:rPr>
      </w:pPr>
      <w:r w:rsidRPr="00B4386B">
        <w:rPr>
          <w:i/>
          <w:szCs w:val="22"/>
        </w:rPr>
        <w:t>FCC Form 474 (Service Provider Invoice (SPI) Form).</w:t>
      </w:r>
      <w:r w:rsidRPr="00B4386B">
        <w:rPr>
          <w:szCs w:val="22"/>
        </w:rPr>
        <w:t xml:space="preserve">  The FCC Form 474 is used by service providers to seek payment from USAC for the discounted costs of services it provided to applicants for eligible services.</w:t>
      </w:r>
      <w:r w:rsidRPr="00B4386B">
        <w:rPr>
          <w:rStyle w:val="FootnoteReference"/>
          <w:szCs w:val="22"/>
        </w:rPr>
        <w:footnoteReference w:id="415"/>
      </w:r>
      <w:r w:rsidRPr="00B4386B">
        <w:rPr>
          <w:szCs w:val="22"/>
        </w:rPr>
        <w:t xml:space="preserve">  The FCC Form 474 is also used to ensure that each service provider has provided discounted services within the current funding year for which it submits an invoice to USAC, and that invoices submitted from service providers for the costs of discounted eligible services do not exceed the amount that has been approved.</w:t>
      </w:r>
      <w:r w:rsidRPr="00B4386B">
        <w:rPr>
          <w:rStyle w:val="FootnoteReference"/>
          <w:szCs w:val="22"/>
        </w:rPr>
        <w:footnoteReference w:id="416"/>
      </w:r>
      <w:r w:rsidRPr="00B4386B">
        <w:rPr>
          <w:szCs w:val="22"/>
        </w:rPr>
        <w:t xml:space="preserve">  While this form does not currently require attestation to certifications, we have recently sought renewal of this form and have proposed to include certifications by an “authorized person” on behalf of a service provider.</w:t>
      </w:r>
      <w:r w:rsidRPr="00B4386B">
        <w:rPr>
          <w:rStyle w:val="FootnoteReference"/>
          <w:szCs w:val="22"/>
        </w:rPr>
        <w:footnoteReference w:id="417"/>
      </w:r>
    </w:p>
    <w:p w14:paraId="3F2FDCAD" w14:textId="77777777" w:rsidR="009511F9" w:rsidRPr="00B4386B" w:rsidRDefault="009511F9" w:rsidP="004F322C">
      <w:pPr>
        <w:tabs>
          <w:tab w:val="num" w:pos="720"/>
        </w:tabs>
        <w:spacing w:after="120"/>
        <w:ind w:left="720"/>
        <w:rPr>
          <w:szCs w:val="22"/>
        </w:rPr>
      </w:pPr>
      <w:r w:rsidRPr="00B4386B">
        <w:rPr>
          <w:i/>
          <w:szCs w:val="22"/>
        </w:rPr>
        <w:t>FCC Form 479 (</w:t>
      </w:r>
      <w:r w:rsidRPr="00B4386B">
        <w:rPr>
          <w:bCs/>
          <w:i/>
          <w:szCs w:val="22"/>
        </w:rPr>
        <w:t>Certification by Administrative Authority to Billed Entity of Compliance with the Children’s Internet Protection Act)</w:t>
      </w:r>
      <w:r w:rsidRPr="00B4386B">
        <w:rPr>
          <w:bCs/>
          <w:szCs w:val="22"/>
        </w:rPr>
        <w:t>.</w:t>
      </w:r>
      <w:r w:rsidRPr="00B4386B">
        <w:rPr>
          <w:szCs w:val="22"/>
        </w:rPr>
        <w:t xml:space="preserve">  The FCC Form 479 is used by the Administrative Authority for one or more schools or libraries, for which universal service discounts have been requested or approved for eligible services, to certify their compliance with CIPA.</w:t>
      </w:r>
      <w:r w:rsidRPr="00B4386B">
        <w:rPr>
          <w:rStyle w:val="FootnoteReference"/>
          <w:szCs w:val="22"/>
        </w:rPr>
        <w:footnoteReference w:id="418"/>
      </w:r>
      <w:r w:rsidRPr="00B4386B">
        <w:rPr>
          <w:szCs w:val="22"/>
        </w:rPr>
        <w:t xml:space="preserve">  This form requires an </w:t>
      </w:r>
      <w:r w:rsidRPr="00B4386B">
        <w:rPr>
          <w:szCs w:val="22"/>
        </w:rPr>
        <w:lastRenderedPageBreak/>
        <w:t>“authorized person” on behalf of the Administrative Authority to certify that an Internet safety policy is being enforced.</w:t>
      </w:r>
      <w:r w:rsidRPr="00B4386B">
        <w:rPr>
          <w:rStyle w:val="FootnoteReference"/>
          <w:szCs w:val="22"/>
        </w:rPr>
        <w:footnoteReference w:id="419"/>
      </w:r>
      <w:r w:rsidRPr="00B4386B">
        <w:rPr>
          <w:szCs w:val="22"/>
        </w:rPr>
        <w:t xml:space="preserve">  </w:t>
      </w:r>
    </w:p>
    <w:p w14:paraId="4C456247" w14:textId="77777777" w:rsidR="009511F9" w:rsidRPr="00B4386B" w:rsidRDefault="009511F9" w:rsidP="004F322C">
      <w:pPr>
        <w:tabs>
          <w:tab w:val="num" w:pos="720"/>
        </w:tabs>
        <w:spacing w:after="120"/>
        <w:ind w:left="720"/>
        <w:rPr>
          <w:szCs w:val="22"/>
        </w:rPr>
      </w:pPr>
      <w:r w:rsidRPr="00B4386B">
        <w:rPr>
          <w:i/>
          <w:szCs w:val="22"/>
        </w:rPr>
        <w:t>FCC Form 486 (</w:t>
      </w:r>
      <w:r w:rsidRPr="00B4386B">
        <w:rPr>
          <w:bCs/>
          <w:i/>
          <w:color w:val="000000"/>
          <w:szCs w:val="22"/>
        </w:rPr>
        <w:t>Receipt of Service Confirmation Form</w:t>
      </w:r>
      <w:r w:rsidRPr="00B4386B">
        <w:rPr>
          <w:bCs/>
          <w:i/>
          <w:szCs w:val="22"/>
        </w:rPr>
        <w:t>).</w:t>
      </w:r>
      <w:r w:rsidRPr="00B4386B">
        <w:rPr>
          <w:bCs/>
          <w:szCs w:val="22"/>
        </w:rPr>
        <w:t xml:space="preserve">  The purpose of the FCC Form 486 </w:t>
      </w:r>
      <w:r w:rsidRPr="00B4386B">
        <w:rPr>
          <w:szCs w:val="22"/>
        </w:rPr>
        <w:t>is to authorize the payment of invoices from service providers, indicate approval of technology plans, and indicate compliance with CIPA.</w:t>
      </w:r>
      <w:r w:rsidRPr="00B4386B">
        <w:rPr>
          <w:rStyle w:val="FootnoteReference"/>
          <w:szCs w:val="22"/>
        </w:rPr>
        <w:footnoteReference w:id="420"/>
      </w:r>
      <w:r w:rsidRPr="00B4386B">
        <w:rPr>
          <w:szCs w:val="22"/>
        </w:rPr>
        <w:t xml:space="preserve">  This form requires an “authorized person” on behalf of the applicant to certify that, for example, the discounted services indicated on the form are covered by the technology plan that has been approved by the state or other authorized body and that the services listed on FCC Form 486 have been, are planned to be, or are being provided to all or some of the eligible entities identified on the FCC Form 471.</w:t>
      </w:r>
      <w:r w:rsidRPr="00B4386B">
        <w:rPr>
          <w:rStyle w:val="FootnoteReference"/>
          <w:szCs w:val="22"/>
        </w:rPr>
        <w:footnoteReference w:id="421"/>
      </w:r>
      <w:r w:rsidRPr="00B4386B">
        <w:rPr>
          <w:szCs w:val="22"/>
        </w:rPr>
        <w:t xml:space="preserve">  </w:t>
      </w:r>
    </w:p>
    <w:p w14:paraId="29AD8C6A" w14:textId="77777777" w:rsidR="009511F9" w:rsidRPr="00B4386B" w:rsidRDefault="009511F9" w:rsidP="004F322C">
      <w:pPr>
        <w:tabs>
          <w:tab w:val="num" w:pos="720"/>
        </w:tabs>
        <w:spacing w:after="120"/>
        <w:ind w:left="720"/>
        <w:rPr>
          <w:szCs w:val="22"/>
        </w:rPr>
      </w:pPr>
      <w:r w:rsidRPr="00B4386B">
        <w:rPr>
          <w:bCs/>
          <w:i/>
          <w:szCs w:val="22"/>
        </w:rPr>
        <w:t>FCC Form 500 (Adjustment of Funding Commitment and Modification to Receipt of Service Confirmation Form).</w:t>
      </w:r>
      <w:r w:rsidRPr="00B4386B">
        <w:rPr>
          <w:bCs/>
          <w:szCs w:val="22"/>
        </w:rPr>
        <w:t xml:space="preserve">  </w:t>
      </w:r>
      <w:r w:rsidRPr="00B4386B">
        <w:rPr>
          <w:szCs w:val="22"/>
        </w:rPr>
        <w:t>The FCC Form 500 is used by the applicant to make adjustments to previously filed forms, such as changing the contract expiration date filed with the FCC Form 471, changing the funding year service start date filed with the FCC Form 486, or cancelling or reducing the amount of funding commitments.</w:t>
      </w:r>
      <w:r w:rsidRPr="00B4386B">
        <w:rPr>
          <w:rStyle w:val="FootnoteReference"/>
          <w:szCs w:val="22"/>
        </w:rPr>
        <w:footnoteReference w:id="422"/>
      </w:r>
      <w:r w:rsidRPr="00B4386B">
        <w:rPr>
          <w:szCs w:val="22"/>
        </w:rPr>
        <w:t xml:space="preserve">  This form requires an “authorized person” on behalf of the applicant to certify as to the veracity of the information within the form, the applicability of the discount level, and that any records relied on to complete the form will be retained for five years.</w:t>
      </w:r>
      <w:r w:rsidRPr="00B4386B">
        <w:rPr>
          <w:rStyle w:val="FootnoteReference"/>
          <w:szCs w:val="22"/>
        </w:rPr>
        <w:footnoteReference w:id="423"/>
      </w:r>
      <w:r w:rsidRPr="00B4386B">
        <w:rPr>
          <w:szCs w:val="22"/>
        </w:rPr>
        <w:t xml:space="preserve">  </w:t>
      </w:r>
    </w:p>
    <w:p w14:paraId="00C77CEC" w14:textId="621AB48D" w:rsidR="009511F9" w:rsidRPr="00B4386B" w:rsidRDefault="009511F9" w:rsidP="009511F9">
      <w:pPr>
        <w:pStyle w:val="ParaNum"/>
      </w:pPr>
      <w:r w:rsidRPr="00B4386B">
        <w:t>We propose to require that an officer of the service provider make the required certifications on the FCC Form 472 (BEAR Form), FCC Form 473 (Service Provider Annual Certification Form) and the FCC Form 474 (SPI Form), the key documents provided by service providers to USAC attesting to the service provider’s compliance with the E-rate rules and seeking payment for supported services provided.  Requiring an officer to certify compliance will help ensure</w:t>
      </w:r>
      <w:r w:rsidRPr="00B4386B">
        <w:rPr>
          <w:color w:val="000000"/>
        </w:rPr>
        <w:t xml:space="preserve"> that the certification reflects the service provider’s commitment to understand and comply with the E-rate program rules and requirements</w:t>
      </w:r>
      <w:r w:rsidRPr="00B4386B">
        <w:t xml:space="preserve">.  </w:t>
      </w:r>
    </w:p>
    <w:p w14:paraId="02D944D6" w14:textId="632C484B" w:rsidR="009511F9" w:rsidRPr="00B4386B" w:rsidRDefault="009511F9" w:rsidP="009511F9">
      <w:pPr>
        <w:pStyle w:val="ParaNum"/>
      </w:pPr>
      <w:bookmarkStart w:id="2791" w:name="_Ref362341314"/>
      <w:r>
        <w:lastRenderedPageBreak/>
        <w:t>Specifically, i</w:t>
      </w:r>
      <w:r w:rsidRPr="00B4386B">
        <w:t>n proposing to require officer certification on the FCC Form 472, we seek comment on amending section 54.504(f) to read:</w:t>
      </w:r>
      <w:bookmarkEnd w:id="2791"/>
    </w:p>
    <w:p w14:paraId="0026CC49" w14:textId="77777777" w:rsidR="009511F9" w:rsidRPr="00B4386B" w:rsidRDefault="009511F9" w:rsidP="004F322C">
      <w:pPr>
        <w:numPr>
          <w:ilvl w:val="0"/>
          <w:numId w:val="8"/>
        </w:numPr>
        <w:spacing w:after="120"/>
        <w:rPr>
          <w:i/>
          <w:szCs w:val="22"/>
        </w:rPr>
      </w:pPr>
      <w:r w:rsidRPr="00B4386B">
        <w:rPr>
          <w:i/>
          <w:szCs w:val="22"/>
        </w:rPr>
        <w:t xml:space="preserve"> Filing of FCC Form 472.  All service providers must submit a Service Provider Acknowledgement as part of the Applicant’s FCC Form 472 seeking reimbursement from the Administrator for eligible services.  The FCC Form 472 shall be signed by an officer of the service provider and shall include the officer’s certifications under oath that:</w:t>
      </w:r>
    </w:p>
    <w:p w14:paraId="6B9D505A" w14:textId="48115080" w:rsidR="009511F9" w:rsidRPr="002C26FC" w:rsidRDefault="00371DB8" w:rsidP="00DA25DB">
      <w:pPr>
        <w:spacing w:after="120"/>
        <w:ind w:left="1440"/>
        <w:rPr>
          <w:i/>
          <w:szCs w:val="22"/>
        </w:rPr>
      </w:pPr>
      <w:r w:rsidRPr="002C26FC">
        <w:rPr>
          <w:i/>
          <w:szCs w:val="22"/>
        </w:rPr>
        <w:t xml:space="preserve"> </w:t>
      </w:r>
      <w:r w:rsidR="009511F9" w:rsidRPr="002C26FC">
        <w:rPr>
          <w:i/>
          <w:szCs w:val="22"/>
        </w:rPr>
        <w:t>(1)  This service provider will remit the discount amount authorized by the fund administrator to the Billed Entity Applicant who prepared and submitted the Billed Entity Applicant Reimbursement Form as soon as possible after the fund administrator’s notification to the service provider of the amount of the approved discounts on this Billed Entity Applicant Reimbursement Form, but in no event later than 20 business days after receipt of the reimbursement payment from the fund administrator, subject to the restriction set forth in subsection (2) below.</w:t>
      </w:r>
    </w:p>
    <w:p w14:paraId="3235030C" w14:textId="77777777" w:rsidR="009511F9" w:rsidRPr="00B4386B" w:rsidRDefault="009511F9" w:rsidP="004F322C">
      <w:pPr>
        <w:spacing w:after="120"/>
        <w:ind w:left="1440"/>
        <w:rPr>
          <w:i/>
          <w:szCs w:val="22"/>
        </w:rPr>
      </w:pPr>
      <w:r w:rsidRPr="002C26FC">
        <w:rPr>
          <w:i/>
          <w:szCs w:val="22"/>
        </w:rPr>
        <w:t>(2)  This service provider will remit payment of the approved discount amount to the Billed Entity Applicant prior to tendering or</w:t>
      </w:r>
      <w:r w:rsidRPr="00B4386B">
        <w:rPr>
          <w:i/>
          <w:szCs w:val="22"/>
        </w:rPr>
        <w:t xml:space="preserve"> making use of the payment issued by the Universal Service Administrative Company to the service provider of the approved discounts for the Billed Entity Applicant Reimbursement Form.</w:t>
      </w:r>
    </w:p>
    <w:p w14:paraId="672C0758" w14:textId="77777777" w:rsidR="009511F9" w:rsidRPr="00B4386B" w:rsidRDefault="009511F9" w:rsidP="004F322C">
      <w:pPr>
        <w:spacing w:after="120"/>
        <w:ind w:left="1440"/>
        <w:rPr>
          <w:i/>
          <w:szCs w:val="22"/>
        </w:rPr>
      </w:pPr>
      <w:r w:rsidRPr="00B4386B">
        <w:rPr>
          <w:i/>
          <w:szCs w:val="22"/>
        </w:rPr>
        <w:t>(3)  This service provider is in compliance with the rules and orders governing the schools and libraries universal service support program and that failure to be in compliance and remain in compliance with those rules and orders may result in the denial of discount funding and/or cancellation of funding commitment.</w:t>
      </w:r>
    </w:p>
    <w:p w14:paraId="110C08D3" w14:textId="77777777" w:rsidR="009511F9" w:rsidRPr="00B4386B" w:rsidRDefault="009511F9" w:rsidP="004F322C">
      <w:pPr>
        <w:spacing w:after="120"/>
        <w:ind w:left="1440"/>
        <w:rPr>
          <w:i/>
          <w:szCs w:val="22"/>
        </w:rPr>
      </w:pPr>
      <w:r w:rsidRPr="00B4386B">
        <w:rPr>
          <w:i/>
          <w:szCs w:val="22"/>
        </w:rPr>
        <w:t>(4)  Failure to comply with the rules and orders governing the schools and libraries universal service support program could result in civil or criminal prosecution by law enforcement authorities.</w:t>
      </w:r>
    </w:p>
    <w:p w14:paraId="4D161A1D" w14:textId="77777777" w:rsidR="009511F9" w:rsidRPr="00B4386B" w:rsidRDefault="009511F9" w:rsidP="004F322C">
      <w:pPr>
        <w:spacing w:after="120"/>
        <w:rPr>
          <w:szCs w:val="22"/>
        </w:rPr>
      </w:pPr>
      <w:r w:rsidRPr="00B4386B">
        <w:rPr>
          <w:szCs w:val="22"/>
        </w:rPr>
        <w:t xml:space="preserve">What are </w:t>
      </w:r>
      <w:r>
        <w:rPr>
          <w:szCs w:val="22"/>
        </w:rPr>
        <w:t xml:space="preserve">the </w:t>
      </w:r>
      <w:r w:rsidRPr="00B4386B">
        <w:rPr>
          <w:szCs w:val="22"/>
        </w:rPr>
        <w:t xml:space="preserve">benefits and burdens of requiring an officer signature on the FCC Form 472?  </w:t>
      </w:r>
    </w:p>
    <w:p w14:paraId="3BF0E16F" w14:textId="34DE5591" w:rsidR="009511F9" w:rsidRPr="00B4386B" w:rsidRDefault="009511F9" w:rsidP="009511F9">
      <w:pPr>
        <w:pStyle w:val="ParaNum"/>
      </w:pPr>
      <w:bookmarkStart w:id="2792" w:name="_Ref360207067"/>
      <w:r w:rsidRPr="00B4386B">
        <w:t xml:space="preserve">Recently, in seeking to renew the information collection requirements associated with the FCC Form 473, we sought comment on amending that form to require an officer of the service provider, rather than just an “authorized person” to </w:t>
      </w:r>
      <w:r w:rsidRPr="00B4386B">
        <w:lastRenderedPageBreak/>
        <w:t>make the required attestations on the FCC Form 473.</w:t>
      </w:r>
      <w:r w:rsidRPr="00B4386B">
        <w:rPr>
          <w:rStyle w:val="FootnoteReference"/>
          <w:szCs w:val="22"/>
        </w:rPr>
        <w:footnoteReference w:id="424"/>
      </w:r>
      <w:r w:rsidRPr="00B4386B">
        <w:t xml:space="preserve">  While we received comments in response to our proposal, we do not consider the record robust enough to support changes to the form.</w:t>
      </w:r>
      <w:r w:rsidRPr="00B4386B">
        <w:rPr>
          <w:rStyle w:val="FootnoteReference"/>
          <w:szCs w:val="22"/>
        </w:rPr>
        <w:footnoteReference w:id="425"/>
      </w:r>
      <w:r w:rsidRPr="00B4386B">
        <w:t xml:space="preserve">  However, the issue is important to our efforts at reducing waste and abuse in the program and we therefore renew our request for comments.  </w:t>
      </w:r>
      <w:r>
        <w:t>W</w:t>
      </w:r>
      <w:r w:rsidRPr="00B4386B">
        <w:t xml:space="preserve">e </w:t>
      </w:r>
      <w:r>
        <w:t xml:space="preserve">thus </w:t>
      </w:r>
      <w:r w:rsidRPr="00B4386B">
        <w:t xml:space="preserve">seek comment on </w:t>
      </w:r>
      <w:r>
        <w:t xml:space="preserve">redesignating current section 54.504(f) of our rules as newly added </w:t>
      </w:r>
      <w:r w:rsidRPr="00B4386B">
        <w:t>sec</w:t>
      </w:r>
      <w:r>
        <w:t xml:space="preserve">tion 54.504(g) and revise subsection (g) </w:t>
      </w:r>
      <w:r w:rsidRPr="00B4386B">
        <w:t>to read:</w:t>
      </w:r>
      <w:bookmarkEnd w:id="2792"/>
    </w:p>
    <w:p w14:paraId="1AE4ACA1" w14:textId="42868AF2" w:rsidR="009511F9" w:rsidRPr="00B4386B" w:rsidRDefault="009511F9" w:rsidP="004F322C">
      <w:pPr>
        <w:numPr>
          <w:ilvl w:val="0"/>
          <w:numId w:val="8"/>
        </w:numPr>
        <w:spacing w:after="120"/>
        <w:rPr>
          <w:i/>
          <w:szCs w:val="22"/>
        </w:rPr>
      </w:pPr>
      <w:r w:rsidRPr="00B4386B">
        <w:rPr>
          <w:i/>
          <w:szCs w:val="22"/>
        </w:rPr>
        <w:t xml:space="preserve">Filing of FCC Form 473. All service providers eligible to provide telecommunications services and other supported services under this subpart shall submit annually a completed FCC Form 473 to the Administrator.  The FCC Form 473 shall be signed by an officer of the service provider and shall include that officer’s certifications under oath that: </w:t>
      </w:r>
    </w:p>
    <w:p w14:paraId="36C701BC" w14:textId="77777777" w:rsidR="009511F9" w:rsidRPr="00B4386B" w:rsidRDefault="009511F9" w:rsidP="004F322C">
      <w:pPr>
        <w:spacing w:after="120"/>
        <w:rPr>
          <w:szCs w:val="22"/>
        </w:rPr>
      </w:pPr>
      <w:r w:rsidRPr="00B4386B">
        <w:rPr>
          <w:szCs w:val="22"/>
        </w:rPr>
        <w:t>What are the benefits and burdens of requiring officer certification on the FCC Form 473?</w:t>
      </w:r>
    </w:p>
    <w:p w14:paraId="3C19700D" w14:textId="543AEC4E" w:rsidR="009511F9" w:rsidRPr="00B4386B" w:rsidRDefault="009511F9" w:rsidP="000720A3">
      <w:pPr>
        <w:pStyle w:val="ParaNum"/>
      </w:pPr>
      <w:bookmarkStart w:id="2793" w:name="_Ref360207277"/>
      <w:r w:rsidRPr="00B4386B">
        <w:t>Further, in proposing to require officer certification on the F</w:t>
      </w:r>
      <w:r>
        <w:t xml:space="preserve">CC Form 474, we seek comment on </w:t>
      </w:r>
      <w:r w:rsidRPr="00B4386B">
        <w:t>adding a new provision to our rules at section 54.504(h) that would read:</w:t>
      </w:r>
      <w:bookmarkEnd w:id="2793"/>
    </w:p>
    <w:p w14:paraId="2A8485B3" w14:textId="49CB5831" w:rsidR="009511F9" w:rsidRPr="00B4386B" w:rsidRDefault="009511F9" w:rsidP="000720A3">
      <w:pPr>
        <w:numPr>
          <w:ilvl w:val="0"/>
          <w:numId w:val="8"/>
        </w:numPr>
        <w:spacing w:after="120"/>
        <w:rPr>
          <w:i/>
          <w:szCs w:val="22"/>
        </w:rPr>
      </w:pPr>
      <w:r w:rsidRPr="00B4386B">
        <w:rPr>
          <w:i/>
          <w:szCs w:val="22"/>
        </w:rPr>
        <w:t xml:space="preserve">Filing of FCC Form 474.  All service providers seeking reimbursement from the Administrator for eligible services shall submit a completed FCC Form 474 to the Administrator.  The FCC Form 474 shall be signed by an officer of the service provider and shall include the officer’s certifications under oath that: </w:t>
      </w:r>
    </w:p>
    <w:p w14:paraId="4E1DEDAD" w14:textId="77777777" w:rsidR="009511F9" w:rsidRPr="00B4386B" w:rsidRDefault="009511F9" w:rsidP="000720A3">
      <w:pPr>
        <w:spacing w:after="120"/>
        <w:ind w:left="1440"/>
        <w:rPr>
          <w:i/>
          <w:szCs w:val="22"/>
        </w:rPr>
      </w:pPr>
      <w:r w:rsidRPr="00B4386B">
        <w:rPr>
          <w:i/>
          <w:szCs w:val="22"/>
        </w:rPr>
        <w:t>(1)  This service provider is in compliance with the rules and orders governing the schools and libraries universal service support program and that failure to be in compliance and remain in compliance with those rules and orders may result in the denial of discount funding and/or cancellation of funding commitment.</w:t>
      </w:r>
    </w:p>
    <w:p w14:paraId="7997DA6D" w14:textId="77777777" w:rsidR="009511F9" w:rsidRPr="00B4386B" w:rsidRDefault="009511F9" w:rsidP="000720A3">
      <w:pPr>
        <w:spacing w:after="120"/>
        <w:ind w:left="1440"/>
        <w:rPr>
          <w:i/>
          <w:szCs w:val="22"/>
        </w:rPr>
      </w:pPr>
      <w:r w:rsidRPr="00B4386B">
        <w:rPr>
          <w:i/>
          <w:szCs w:val="22"/>
        </w:rPr>
        <w:t>(2)  Failure to comply with the rules and orders governing the schools and libraries universal service support program could result in civil or criminal prosecution by law enforcement authorities.</w:t>
      </w:r>
    </w:p>
    <w:p w14:paraId="089AE0DD" w14:textId="77777777" w:rsidR="009511F9" w:rsidRPr="00B4386B" w:rsidRDefault="009511F9" w:rsidP="000720A3">
      <w:pPr>
        <w:spacing w:after="120"/>
        <w:rPr>
          <w:szCs w:val="22"/>
        </w:rPr>
      </w:pPr>
      <w:r w:rsidRPr="00B4386B">
        <w:rPr>
          <w:szCs w:val="22"/>
        </w:rPr>
        <w:lastRenderedPageBreak/>
        <w:t>What are benefits and burdens of requiring officer certification on the FCC Form 474?</w:t>
      </w:r>
    </w:p>
    <w:p w14:paraId="7FE0423E" w14:textId="73883FBA" w:rsidR="009511F9" w:rsidRPr="00B4386B" w:rsidRDefault="009511F9" w:rsidP="00434A8B">
      <w:pPr>
        <w:pStyle w:val="ParaNum"/>
      </w:pPr>
      <w:r w:rsidRPr="00B4386B">
        <w:t xml:space="preserve">Similarly, we propose and seek comment on whether we should also require all E-rate forms submitted by E-rate applicants be signed by someone with authority equivalent to that of a corporate officer.  For example, we propose amending section 54.503(a)(2) </w:t>
      </w:r>
      <w:r>
        <w:t xml:space="preserve">of our rules </w:t>
      </w:r>
      <w:r w:rsidRPr="00B4386B">
        <w:t>to read:</w:t>
      </w:r>
    </w:p>
    <w:p w14:paraId="767E8B93" w14:textId="77777777" w:rsidR="009511F9" w:rsidRPr="00B4386B" w:rsidRDefault="009511F9" w:rsidP="004F322C">
      <w:pPr>
        <w:spacing w:after="120"/>
        <w:ind w:left="1440"/>
        <w:rPr>
          <w:i/>
          <w:szCs w:val="22"/>
        </w:rPr>
      </w:pPr>
      <w:r w:rsidRPr="00B4386B">
        <w:rPr>
          <w:i/>
          <w:szCs w:val="22"/>
        </w:rPr>
        <w:t>(2) The FCC Form 470 shall be signed by the person authorized to order eligible services for the eligible school, library, or consortium including such entities, and with authority equivalent to that of a corporate officer, and shall include that person's certification under oath that:</w:t>
      </w:r>
    </w:p>
    <w:p w14:paraId="5654894C" w14:textId="77777777" w:rsidR="009511F9" w:rsidRPr="00B4386B" w:rsidRDefault="009511F9" w:rsidP="004F322C">
      <w:pPr>
        <w:spacing w:after="120"/>
        <w:rPr>
          <w:szCs w:val="22"/>
        </w:rPr>
      </w:pPr>
      <w:r w:rsidRPr="00B4386B">
        <w:rPr>
          <w:szCs w:val="22"/>
        </w:rPr>
        <w:t xml:space="preserve">We also propose amending section 54.504(a)(1) </w:t>
      </w:r>
      <w:r>
        <w:rPr>
          <w:szCs w:val="22"/>
        </w:rPr>
        <w:t xml:space="preserve">of our rules </w:t>
      </w:r>
      <w:r w:rsidRPr="00B4386B">
        <w:rPr>
          <w:szCs w:val="22"/>
        </w:rPr>
        <w:t>to read:</w:t>
      </w:r>
    </w:p>
    <w:p w14:paraId="16C54D6F" w14:textId="39E0D752" w:rsidR="00C739D8" w:rsidRDefault="009511F9" w:rsidP="000720A3">
      <w:pPr>
        <w:spacing w:after="120"/>
        <w:ind w:left="1440"/>
        <w:rPr>
          <w:szCs w:val="22"/>
        </w:rPr>
      </w:pPr>
      <w:r w:rsidRPr="00B4386B">
        <w:rPr>
          <w:i/>
          <w:szCs w:val="22"/>
        </w:rPr>
        <w:t>(1) The FCC Form 471 shall be signed by person authorized to order eligible services for the eligible school, library, or consortium, and with authority equivalent to that of a corporate officer, and shall include that person’s certifications under oath that:</w:t>
      </w:r>
    </w:p>
    <w:p w14:paraId="55D96DB5" w14:textId="77777777" w:rsidR="009511F9" w:rsidRPr="00B4386B" w:rsidRDefault="009511F9" w:rsidP="004F322C">
      <w:pPr>
        <w:spacing w:after="120"/>
        <w:rPr>
          <w:szCs w:val="22"/>
        </w:rPr>
      </w:pPr>
      <w:r w:rsidRPr="00B4386B">
        <w:rPr>
          <w:szCs w:val="22"/>
        </w:rPr>
        <w:t>Commenters should provide comments on both the benefits and burdens of requiring an equivalent signature for applicants on the FCC Forms 470, 471, 472, 479, 486, and 500, and any other E-rate forms attested to by the applicant.</w:t>
      </w:r>
    </w:p>
    <w:p w14:paraId="2B18DD00" w14:textId="33497EB6" w:rsidR="009511F9" w:rsidRPr="00B4386B" w:rsidRDefault="009511F9" w:rsidP="009511F9">
      <w:pPr>
        <w:pStyle w:val="ParaNum"/>
      </w:pPr>
      <w:r w:rsidRPr="00B4386B">
        <w:t>In the alternative, we seek comment on whether we should require that the certifications on the FCC Forms submitted by applicants, service providers or both be made by an individual with substantial knowledge of E-rate program requirements who is also responsible for ensuring program compliance by the service provider or the applicant.  Commenters should provide comments on the benefits and burdens of requiring such a knowledgeable individual to sign the FCC Forms 470, 471, 472, 473, and 474, and any other E-rate forms.</w:t>
      </w:r>
    </w:p>
    <w:p w14:paraId="68F0A3FA" w14:textId="77777777" w:rsidR="009511F9" w:rsidRPr="00B4386B" w:rsidRDefault="009511F9" w:rsidP="009511F9">
      <w:pPr>
        <w:pStyle w:val="Heading4"/>
      </w:pPr>
      <w:bookmarkStart w:id="2794" w:name="_Toc359598720"/>
      <w:bookmarkStart w:id="2795" w:name="_Toc359853451"/>
      <w:bookmarkStart w:id="2796" w:name="_Toc359858682"/>
      <w:bookmarkStart w:id="2797" w:name="_Toc359940096"/>
      <w:bookmarkStart w:id="2798" w:name="_Toc360025471"/>
      <w:bookmarkStart w:id="2799" w:name="_Toc360107522"/>
      <w:bookmarkStart w:id="2800" w:name="_Toc360111646"/>
      <w:bookmarkStart w:id="2801" w:name="_Toc360172831"/>
      <w:bookmarkStart w:id="2802" w:name="_Toc360186172"/>
      <w:bookmarkStart w:id="2803" w:name="_Toc360186249"/>
      <w:bookmarkStart w:id="2804" w:name="_Toc360186453"/>
      <w:bookmarkStart w:id="2805" w:name="_Toc360187326"/>
      <w:bookmarkStart w:id="2806" w:name="_Toc360208932"/>
      <w:bookmarkStart w:id="2807" w:name="_Toc360212065"/>
      <w:bookmarkStart w:id="2808" w:name="_Toc361663137"/>
      <w:bookmarkStart w:id="2809" w:name="_Toc361857713"/>
      <w:bookmarkStart w:id="2810" w:name="_Toc361918805"/>
      <w:r w:rsidRPr="00B4386B">
        <w:t>Existing Certifications</w:t>
      </w:r>
      <w:bookmarkEnd w:id="2794"/>
      <w:bookmarkEnd w:id="2795"/>
      <w:bookmarkEnd w:id="2796"/>
      <w:bookmarkEnd w:id="2797"/>
      <w:bookmarkEnd w:id="2798"/>
      <w:bookmarkEnd w:id="2799"/>
      <w:bookmarkEnd w:id="2800"/>
      <w:bookmarkEnd w:id="2801"/>
      <w:bookmarkEnd w:id="2802"/>
      <w:bookmarkEnd w:id="2803"/>
      <w:bookmarkEnd w:id="2804"/>
      <w:bookmarkEnd w:id="2805"/>
      <w:bookmarkEnd w:id="2806"/>
      <w:bookmarkEnd w:id="2807"/>
      <w:bookmarkEnd w:id="2808"/>
      <w:bookmarkEnd w:id="2809"/>
      <w:bookmarkEnd w:id="2810"/>
      <w:r w:rsidRPr="00B4386B">
        <w:t xml:space="preserve">    </w:t>
      </w:r>
    </w:p>
    <w:p w14:paraId="22D2BF2F" w14:textId="271ACA25" w:rsidR="009511F9" w:rsidRPr="00B4386B" w:rsidRDefault="009511F9" w:rsidP="009511F9">
      <w:pPr>
        <w:pStyle w:val="ParaNum"/>
      </w:pPr>
      <w:r w:rsidRPr="00B4386B">
        <w:t>Our rules currently require certain certifications be made as part of the FCC Forms 470, 471, 472, 479, 486, and 500, but we recognize that many of the certifications on the current E-rate forms are not codified in the Commission’s rules.</w:t>
      </w:r>
      <w:r w:rsidRPr="00B4386B">
        <w:rPr>
          <w:rStyle w:val="FootnoteReference"/>
          <w:szCs w:val="22"/>
        </w:rPr>
        <w:footnoteReference w:id="426"/>
      </w:r>
      <w:r w:rsidRPr="00B4386B">
        <w:t xml:space="preserve">  For example, the FCC Form 471 requires that a person authorized by </w:t>
      </w:r>
      <w:r w:rsidRPr="00B4386B">
        <w:lastRenderedPageBreak/>
        <w:t>the applicant certify that no kickbacks were paid to anyone within the applicant.  This certification, however, is not specified in section 54.504(a)(1) of our rules.</w:t>
      </w:r>
      <w:r w:rsidRPr="00B4386B">
        <w:rPr>
          <w:rStyle w:val="FootnoteReference"/>
          <w:szCs w:val="22"/>
        </w:rPr>
        <w:footnoteReference w:id="427"/>
      </w:r>
      <w:r w:rsidRPr="00B4386B">
        <w:t xml:space="preserve">  We thus seek comment on whether we should amend our rules to include all of the certifications currently found on the E-rate FCC Forms.</w:t>
      </w:r>
      <w:r w:rsidRPr="00B4386B">
        <w:rPr>
          <w:rStyle w:val="FootnoteReference"/>
          <w:color w:val="000000"/>
          <w:szCs w:val="22"/>
        </w:rPr>
        <w:footnoteReference w:id="428"/>
      </w:r>
      <w:r w:rsidRPr="00B4386B">
        <w:rPr>
          <w:color w:val="000000"/>
        </w:rPr>
        <w:t xml:space="preserve">  </w:t>
      </w:r>
      <w:r w:rsidRPr="00B4386B">
        <w:t xml:space="preserve">If we do so, </w:t>
      </w:r>
      <w:r w:rsidR="00112767">
        <w:t xml:space="preserve">should </w:t>
      </w:r>
      <w:r w:rsidRPr="00B4386B">
        <w:t>we make the list of certifications non-exclusive and to continue to delegate authority to the Bureau to consider including additional certifications on E-rate forms as necessary and appropriate</w:t>
      </w:r>
      <w:r w:rsidR="00112767">
        <w:t>?</w:t>
      </w:r>
      <w:r w:rsidRPr="00B4386B">
        <w:t xml:space="preserve">  We seek comment on that approach. </w:t>
      </w:r>
    </w:p>
    <w:p w14:paraId="5130568C" w14:textId="26D2689E" w:rsidR="009511F9" w:rsidRPr="00B4386B" w:rsidRDefault="009511F9" w:rsidP="009511F9">
      <w:pPr>
        <w:pStyle w:val="Heading4"/>
      </w:pPr>
      <w:bookmarkStart w:id="2811" w:name="_Toc359598721"/>
      <w:bookmarkStart w:id="2812" w:name="_Toc359853452"/>
      <w:bookmarkStart w:id="2813" w:name="_Toc359858683"/>
      <w:bookmarkStart w:id="2814" w:name="_Toc359940097"/>
      <w:bookmarkStart w:id="2815" w:name="_Toc360025472"/>
      <w:bookmarkStart w:id="2816" w:name="_Toc360107523"/>
      <w:bookmarkStart w:id="2817" w:name="_Toc360111647"/>
      <w:bookmarkStart w:id="2818" w:name="_Toc360172832"/>
      <w:bookmarkStart w:id="2819" w:name="_Toc360186173"/>
      <w:bookmarkStart w:id="2820" w:name="_Toc360186250"/>
      <w:bookmarkStart w:id="2821" w:name="_Toc360186454"/>
      <w:bookmarkStart w:id="2822" w:name="_Toc360187327"/>
      <w:bookmarkStart w:id="2823" w:name="_Toc360208933"/>
      <w:bookmarkStart w:id="2824" w:name="_Toc360212066"/>
      <w:bookmarkStart w:id="2825" w:name="_Toc361663138"/>
      <w:bookmarkStart w:id="2826" w:name="_Toc361857714"/>
      <w:bookmarkStart w:id="2827" w:name="_Toc361918806"/>
      <w:r w:rsidRPr="00B4386B">
        <w:t>Additional Certifications</w:t>
      </w:r>
      <w:bookmarkEnd w:id="2811"/>
      <w:bookmarkEnd w:id="2812"/>
      <w:bookmarkEnd w:id="2813"/>
      <w:bookmarkEnd w:id="2814"/>
      <w:bookmarkEnd w:id="2815"/>
      <w:bookmarkEnd w:id="2816"/>
      <w:bookmarkEnd w:id="2817"/>
      <w:bookmarkEnd w:id="2818"/>
      <w:bookmarkEnd w:id="2819"/>
      <w:bookmarkEnd w:id="2820"/>
      <w:bookmarkEnd w:id="2821"/>
      <w:bookmarkEnd w:id="2822"/>
      <w:bookmarkEnd w:id="2823"/>
      <w:bookmarkEnd w:id="2824"/>
      <w:bookmarkEnd w:id="2825"/>
      <w:bookmarkEnd w:id="2826"/>
      <w:bookmarkEnd w:id="2827"/>
      <w:r w:rsidRPr="00B4386B">
        <w:t xml:space="preserve"> </w:t>
      </w:r>
    </w:p>
    <w:p w14:paraId="13F97319" w14:textId="419C3008" w:rsidR="009511F9" w:rsidRPr="00B4386B" w:rsidRDefault="009511F9" w:rsidP="009511F9">
      <w:pPr>
        <w:pStyle w:val="ParaNum"/>
      </w:pPr>
      <w:r w:rsidRPr="00B4386B">
        <w:rPr>
          <w:i/>
        </w:rPr>
        <w:t>Lowest Corresponding Price Certification</w:t>
      </w:r>
      <w:r w:rsidRPr="00B4386B">
        <w:t>.  We also propose to amend section 54.511 to require service providers to certify their compliance with the lowest corresponding price rule.</w:t>
      </w:r>
      <w:r w:rsidRPr="00B4386B">
        <w:rPr>
          <w:rStyle w:val="FootnoteReference"/>
          <w:szCs w:val="22"/>
        </w:rPr>
        <w:footnoteReference w:id="429"/>
      </w:r>
      <w:r w:rsidRPr="00B4386B">
        <w:t xml:space="preserve">  The lowest corresponding price rule requires service providers to provide applicants with prices no higher than the lowest price that it charges to similarly-situated non-residential customer for similar services.</w:t>
      </w:r>
      <w:r w:rsidRPr="00B4386B">
        <w:rPr>
          <w:vertAlign w:val="superscript"/>
        </w:rPr>
        <w:footnoteReference w:id="430"/>
      </w:r>
      <w:r w:rsidRPr="00B4386B">
        <w:t xml:space="preserve">  Requiring such a certification will provide additional incentive for service providers to offer schools and libraries with competitive prices for supported E-rate services and hold service providers further accountable for complying with this rule.  We seek comments on the benefits and burdens of such a requirement.  Specifically, we seek comment on the following proposed amendment to section 54.511(b) of our rules:</w:t>
      </w:r>
    </w:p>
    <w:p w14:paraId="0A78CA35" w14:textId="77777777" w:rsidR="009511F9" w:rsidRPr="00B4386B" w:rsidRDefault="009511F9" w:rsidP="004F322C">
      <w:pPr>
        <w:spacing w:after="120"/>
        <w:ind w:left="720"/>
        <w:rPr>
          <w:i/>
          <w:szCs w:val="22"/>
        </w:rPr>
      </w:pPr>
      <w:r w:rsidRPr="00B4386B">
        <w:rPr>
          <w:i/>
          <w:szCs w:val="22"/>
        </w:rPr>
        <w:t xml:space="preserve">(e) The service provider must certify on the FCC Form 473 and FCC Form 474 that it is charging schools, school districts, libraries, library consortia or consortia including any of these entities, the lowest corresponding price for supported services, unless the Commission, with respect to interstate services, or the state commission, </w:t>
      </w:r>
      <w:r w:rsidRPr="00B4386B">
        <w:rPr>
          <w:i/>
          <w:szCs w:val="22"/>
        </w:rPr>
        <w:lastRenderedPageBreak/>
        <w:t>with respect to intrastate prices, had found that the lowest corresponding prices is not compensatory.</w:t>
      </w:r>
    </w:p>
    <w:p w14:paraId="1C8ED5E7" w14:textId="147D8F71" w:rsidR="009511F9" w:rsidRPr="00B4386B" w:rsidRDefault="009511F9" w:rsidP="009511F9">
      <w:pPr>
        <w:pStyle w:val="ParaNum"/>
      </w:pPr>
      <w:r w:rsidRPr="00B4386B">
        <w:rPr>
          <w:i/>
        </w:rPr>
        <w:t>State and Local Law Compliance by Service Providers</w:t>
      </w:r>
      <w:r w:rsidRPr="00B4386B">
        <w:t>.  There are state and local procurement laws that protect against waste, fraud, and abuse.  Currently, our rules require applicants to comply with state and local competitive bidding requirements, but do not impose any such duty on service providers.</w:t>
      </w:r>
      <w:r w:rsidRPr="00B4386B">
        <w:rPr>
          <w:rStyle w:val="FootnoteReference"/>
          <w:szCs w:val="22"/>
        </w:rPr>
        <w:footnoteReference w:id="431"/>
      </w:r>
      <w:r w:rsidR="006C6CC7">
        <w:t xml:space="preserve">  </w:t>
      </w:r>
      <w:r w:rsidRPr="00B4386B">
        <w:t>State and local procurement requirements protect against waste, fraud and abuse.  Therefore, we propose to amend section 54.503 and 54.504 to require service providers to comply with state and local procurement laws, and to require service providers to certify compliance with that requirement.  Specifically, we seek comment on the following proposed rule changes to section 54.503(b) of our rules:</w:t>
      </w:r>
    </w:p>
    <w:p w14:paraId="4EBAFBB4" w14:textId="04D1B592" w:rsidR="009511F9" w:rsidRPr="00B4386B" w:rsidRDefault="009511F9" w:rsidP="004F322C">
      <w:pPr>
        <w:spacing w:after="120"/>
        <w:ind w:firstLine="720"/>
        <w:rPr>
          <w:i/>
          <w:szCs w:val="22"/>
        </w:rPr>
      </w:pPr>
      <w:r w:rsidRPr="00B4386B">
        <w:rPr>
          <w:i/>
          <w:szCs w:val="22"/>
        </w:rPr>
        <w:t xml:space="preserve">(b) Competitive Bid Requirements.  </w:t>
      </w:r>
    </w:p>
    <w:p w14:paraId="042295EB" w14:textId="77777777" w:rsidR="009511F9" w:rsidRPr="00B4386B" w:rsidRDefault="009511F9" w:rsidP="004F322C">
      <w:pPr>
        <w:spacing w:after="120"/>
        <w:ind w:left="1440"/>
        <w:rPr>
          <w:i/>
          <w:szCs w:val="22"/>
        </w:rPr>
      </w:pPr>
      <w:r w:rsidRPr="00B4386B">
        <w:rPr>
          <w:i/>
          <w:szCs w:val="22"/>
        </w:rPr>
        <w:t xml:space="preserve">(1) Except as provided in § 54.511(c), an eligible school, school districts, library, or consortium that includes an eligible school or library shall seek competitive bids, pursuant to the requirements established in this subpart, for all services eligible for support under § 54.502.  These competitive bid requirements apply in addition to state and local competitive bid requirements and are not intended to preempt such state or local requirements.  </w:t>
      </w:r>
    </w:p>
    <w:p w14:paraId="0AA75370" w14:textId="77777777" w:rsidR="009511F9" w:rsidRDefault="009511F9" w:rsidP="004F322C">
      <w:pPr>
        <w:spacing w:after="120"/>
        <w:ind w:left="1440"/>
        <w:rPr>
          <w:i/>
          <w:szCs w:val="22"/>
        </w:rPr>
      </w:pPr>
      <w:r w:rsidRPr="00B4386B">
        <w:rPr>
          <w:i/>
          <w:szCs w:val="22"/>
        </w:rPr>
        <w:t xml:space="preserve">(2) Service providers must certify that they are in compliance with state and local procurement laws. </w:t>
      </w:r>
    </w:p>
    <w:p w14:paraId="29650216" w14:textId="26741033" w:rsidR="009511F9" w:rsidRPr="00B4386B" w:rsidRDefault="009511F9" w:rsidP="009511F9">
      <w:pPr>
        <w:pStyle w:val="ParaNum"/>
      </w:pPr>
      <w:r w:rsidRPr="00B4386B">
        <w:t>We also propose to require service providers to certify that the service provider complied with all applicable state and local procurement laws when it participated in the competitive bidding processes as part of submitting an FCC Form 474.  Thus, in addition to seeking comments a</w:t>
      </w:r>
      <w:r>
        <w:t>bove on adding subsection (h</w:t>
      </w:r>
      <w:r w:rsidRPr="00B4386B">
        <w:t>) in section 54.504 of our rules,</w:t>
      </w:r>
      <w:r w:rsidRPr="00B4386B">
        <w:rPr>
          <w:rStyle w:val="FootnoteReference"/>
          <w:szCs w:val="22"/>
        </w:rPr>
        <w:footnoteReference w:id="432"/>
      </w:r>
      <w:r w:rsidRPr="00B4386B">
        <w:t xml:space="preserve"> we also seek comment on adding the following required certification:</w:t>
      </w:r>
    </w:p>
    <w:p w14:paraId="61827767" w14:textId="77777777" w:rsidR="009511F9" w:rsidRPr="00B4386B" w:rsidRDefault="009511F9" w:rsidP="004F322C">
      <w:pPr>
        <w:spacing w:after="120"/>
        <w:ind w:left="720" w:firstLine="720"/>
        <w:rPr>
          <w:i/>
          <w:szCs w:val="22"/>
        </w:rPr>
      </w:pPr>
      <w:r w:rsidRPr="00B4386B">
        <w:rPr>
          <w:i/>
          <w:szCs w:val="22"/>
        </w:rPr>
        <w:t>(</w:t>
      </w:r>
      <w:r>
        <w:rPr>
          <w:i/>
          <w:szCs w:val="22"/>
        </w:rPr>
        <w:t>3</w:t>
      </w:r>
      <w:r w:rsidRPr="00B4386B">
        <w:rPr>
          <w:i/>
          <w:szCs w:val="22"/>
        </w:rPr>
        <w:t>) The service provider is in compliance with state and local procurement laws.</w:t>
      </w:r>
    </w:p>
    <w:p w14:paraId="71E52901" w14:textId="7F62FD67" w:rsidR="00C8620A" w:rsidRDefault="00C8620A" w:rsidP="009511F9">
      <w:pPr>
        <w:pStyle w:val="ParaNum"/>
      </w:pPr>
      <w:bookmarkStart w:id="2828" w:name="_Ref358989967"/>
      <w:r>
        <w:t>As we move forward with other reforms of the E-rate program, we also seek comment on additional certifications that may be necessary to ensure that funds are being used for their intended purpose.</w:t>
      </w:r>
    </w:p>
    <w:p w14:paraId="5149EBFA" w14:textId="4D9E4A05" w:rsidR="009511F9" w:rsidRDefault="009511F9" w:rsidP="009511F9">
      <w:pPr>
        <w:pStyle w:val="ParaNum"/>
      </w:pPr>
      <w:r w:rsidRPr="00B4386B">
        <w:t xml:space="preserve">We seek comment on the benefits and burdens on service providers and applicants should we adopt these proposed changes </w:t>
      </w:r>
      <w:r w:rsidRPr="00B4386B">
        <w:lastRenderedPageBreak/>
        <w:t>to our rules.  Are there state or local procurement requirements that do not currently apply to E-rate service providers?  We also seek comment on whether there are other obligations on applicants within the rules that do not have corresponding obligations on service providers that we should consider adopting to ensure that service providers are held responsible where appropriate and necessary to guard against waste, fraud and abuse.</w:t>
      </w:r>
      <w:bookmarkEnd w:id="2828"/>
      <w:r w:rsidRPr="00B4386B">
        <w:t xml:space="preserve"> </w:t>
      </w:r>
    </w:p>
    <w:p w14:paraId="236B7CD7" w14:textId="77777777" w:rsidR="00892925" w:rsidRDefault="00892925" w:rsidP="00892925">
      <w:pPr>
        <w:pStyle w:val="Heading3"/>
      </w:pPr>
      <w:bookmarkStart w:id="2829" w:name="_Toc359239289"/>
      <w:bookmarkStart w:id="2830" w:name="_Toc359239346"/>
      <w:bookmarkStart w:id="2831" w:name="_Toc359252305"/>
      <w:bookmarkStart w:id="2832" w:name="_Toc359326054"/>
      <w:bookmarkStart w:id="2833" w:name="_Toc359333302"/>
      <w:bookmarkStart w:id="2834" w:name="_Toc359339956"/>
      <w:bookmarkStart w:id="2835" w:name="_Toc359343220"/>
      <w:bookmarkStart w:id="2836" w:name="_Toc359347029"/>
      <w:bookmarkStart w:id="2837" w:name="_Toc359598722"/>
      <w:bookmarkStart w:id="2838" w:name="_Toc359853214"/>
      <w:bookmarkStart w:id="2839" w:name="_Toc359853453"/>
      <w:bookmarkStart w:id="2840" w:name="_Toc359853713"/>
      <w:bookmarkStart w:id="2841" w:name="_Toc359858684"/>
      <w:bookmarkStart w:id="2842" w:name="_Toc359859629"/>
      <w:bookmarkStart w:id="2843" w:name="_Toc359940098"/>
      <w:bookmarkStart w:id="2844" w:name="_Toc360025473"/>
      <w:bookmarkStart w:id="2845" w:name="_Toc360107524"/>
      <w:bookmarkStart w:id="2846" w:name="_Toc360111648"/>
      <w:bookmarkStart w:id="2847" w:name="_Toc360172833"/>
      <w:bookmarkStart w:id="2848" w:name="_Toc360186174"/>
      <w:bookmarkStart w:id="2849" w:name="_Toc360186251"/>
      <w:bookmarkStart w:id="2850" w:name="_Toc360186455"/>
      <w:bookmarkStart w:id="2851" w:name="_Toc360186524"/>
      <w:bookmarkStart w:id="2852" w:name="_Toc360187328"/>
      <w:bookmarkStart w:id="2853" w:name="_Toc360187486"/>
      <w:bookmarkStart w:id="2854" w:name="_Toc360208934"/>
      <w:bookmarkStart w:id="2855" w:name="_Toc360212067"/>
      <w:bookmarkStart w:id="2856" w:name="_Toc361663139"/>
      <w:bookmarkStart w:id="2857" w:name="_Toc361857715"/>
      <w:bookmarkStart w:id="2858" w:name="_Toc361918807"/>
      <w:bookmarkStart w:id="2859" w:name="_Toc362272582"/>
      <w:r>
        <w:t>Post-Commitment Compliance and Enforcement.</w:t>
      </w:r>
      <w:bookmarkEnd w:id="2829"/>
      <w:bookmarkEnd w:id="2830"/>
      <w:bookmarkEnd w:id="2831"/>
      <w:bookmarkEnd w:id="2832"/>
      <w:bookmarkEnd w:id="2833"/>
      <w:bookmarkEnd w:id="2834"/>
      <w:bookmarkEnd w:id="2835"/>
      <w:bookmarkEnd w:id="2836"/>
      <w:bookmarkEnd w:id="2837"/>
      <w:bookmarkEnd w:id="2838"/>
      <w:bookmarkEnd w:id="2839"/>
      <w:bookmarkEnd w:id="2840"/>
      <w:bookmarkEnd w:id="2841"/>
      <w:bookmarkEnd w:id="2842"/>
      <w:bookmarkEnd w:id="2843"/>
      <w:bookmarkEnd w:id="2844"/>
      <w:bookmarkEnd w:id="2845"/>
      <w:bookmarkEnd w:id="2846"/>
      <w:bookmarkEnd w:id="2847"/>
      <w:bookmarkEnd w:id="2848"/>
      <w:bookmarkEnd w:id="2849"/>
      <w:bookmarkEnd w:id="2850"/>
      <w:bookmarkEnd w:id="2851"/>
      <w:bookmarkEnd w:id="2852"/>
      <w:bookmarkEnd w:id="2853"/>
      <w:bookmarkEnd w:id="2854"/>
      <w:bookmarkEnd w:id="2855"/>
      <w:bookmarkEnd w:id="2856"/>
      <w:bookmarkEnd w:id="2857"/>
      <w:bookmarkEnd w:id="2858"/>
      <w:bookmarkEnd w:id="2859"/>
      <w:r>
        <w:t xml:space="preserve">  </w:t>
      </w:r>
    </w:p>
    <w:p w14:paraId="53230301" w14:textId="20A71FC7" w:rsidR="0098101D" w:rsidRDefault="00892925" w:rsidP="00892925">
      <w:pPr>
        <w:pStyle w:val="ParaNum"/>
      </w:pPr>
      <w:r>
        <w:t xml:space="preserve">The Commission currently has tools available to ensure compliance with our rules and to impose penalties upon those parties who willfully violate our rules.  </w:t>
      </w:r>
      <w:r w:rsidR="0098101D">
        <w:t>T</w:t>
      </w:r>
      <w:r>
        <w:t xml:space="preserve">he Commission’s USF audit program, called the Beneficiary and Contributor Audit Program (BCAP), </w:t>
      </w:r>
      <w:r w:rsidR="0098101D">
        <w:t xml:space="preserve">is one of our most important tools for </w:t>
      </w:r>
      <w:r>
        <w:t xml:space="preserve">identifying and deterring program </w:t>
      </w:r>
      <w:r w:rsidR="0098101D">
        <w:t>rule violations, and for recovering funding that has been improperly disbursed.</w:t>
      </w:r>
      <w:r>
        <w:rPr>
          <w:vertAlign w:val="superscript"/>
        </w:rPr>
        <w:footnoteReference w:id="433"/>
      </w:r>
      <w:r>
        <w:t xml:space="preserve">  </w:t>
      </w:r>
      <w:r w:rsidR="0098101D">
        <w:t>We take this opportunity to reinforce our continuing commitment to ensuring that the Commission and USAC have a rigorous audit program that includes both targeted audits of high-risk applicants and vendors as well as random audits to ensure that all applicants and vendors comply with our rules.</w:t>
      </w:r>
      <w:r w:rsidR="00227056">
        <w:t xml:space="preserve">  We also take this opportunity to seek comment on whether there are ways to further strengthen the BCAP audit procedures to ensure that compliance issues, particularly substantial ones, are identified.</w:t>
      </w:r>
    </w:p>
    <w:p w14:paraId="62127151" w14:textId="54447749" w:rsidR="00892925" w:rsidRPr="00033580" w:rsidRDefault="00892925" w:rsidP="00434A8B">
      <w:pPr>
        <w:pStyle w:val="ParaNum"/>
      </w:pPr>
      <w:r>
        <w:t xml:space="preserve">Recently, in </w:t>
      </w:r>
      <w:r w:rsidR="0098101D">
        <w:t xml:space="preserve">reforming </w:t>
      </w:r>
      <w:r>
        <w:t>the USF Lifeline program, the Commission required that every eligible telecommunications carrier (ETC) providing Lifeline services and drawing $5 million or more in the aggregate on an annual basis from the Lifeline program hire an independent audit firm to assess the ETC’s overall compliance with the program’s requirements.</w:t>
      </w:r>
      <w:r>
        <w:rPr>
          <w:rStyle w:val="FootnoteReference"/>
        </w:rPr>
        <w:footnoteReference w:id="434"/>
      </w:r>
      <w:r>
        <w:t xml:space="preserve">  Those audits must be performed once every two years, unless otherwise directed by the Commission.  We seek comment on whether we </w:t>
      </w:r>
      <w:r>
        <w:lastRenderedPageBreak/>
        <w:t xml:space="preserve">should adopt a similar third-party independent audit requirement for E-rate applicants or service providers as a method of augmenting the current BCAP program.  If so, what should we establish as </w:t>
      </w:r>
      <w:r w:rsidR="006C6CC7">
        <w:t xml:space="preserve">the threshold for the audits?  </w:t>
      </w:r>
      <w:r>
        <w:t>Should it be a set dollar amount or should it be the top percenta</w:t>
      </w:r>
      <w:r w:rsidR="004679D9">
        <w:t>ge of recipients</w:t>
      </w:r>
      <w:r w:rsidR="00110D29">
        <w:t xml:space="preserve"> – for example,</w:t>
      </w:r>
      <w:r w:rsidR="00F95B5E">
        <w:t xml:space="preserve"> </w:t>
      </w:r>
      <w:r w:rsidR="004679D9">
        <w:t>the top 1 percent</w:t>
      </w:r>
      <w:r>
        <w:t xml:space="preserve"> or the top 20 funding requests</w:t>
      </w:r>
      <w:r w:rsidR="00110D29">
        <w:t xml:space="preserve"> – </w:t>
      </w:r>
      <w:r>
        <w:t>regardless of the dollar amounts?  Should the threshold be based on funding requests or funding actually disbursed?  How often should such an audit be required?  Would the frequency of such a requirement be different if the audit identified issues or it had no findings?  What would be the burden of such</w:t>
      </w:r>
      <w:r w:rsidRPr="00800B5E">
        <w:t xml:space="preserve"> a requirement </w:t>
      </w:r>
      <w:r>
        <w:t>on applicants and service providers?</w:t>
      </w:r>
      <w:r w:rsidRPr="00800B5E">
        <w:t xml:space="preserve">  We </w:t>
      </w:r>
      <w:r>
        <w:t xml:space="preserve">recognize that some other federal programs require </w:t>
      </w:r>
      <w:r w:rsidRPr="00800B5E">
        <w:t>funding recipients to conduct annual</w:t>
      </w:r>
      <w:r>
        <w:t xml:space="preserve"> audits, and seek comment on whether there are audit requirements in those programs that we should adopt in the E-rate program.  We also seek comment on any other ways the Commission could im</w:t>
      </w:r>
      <w:r w:rsidR="004C0067">
        <w:t>prove its own audit processes.</w:t>
      </w:r>
    </w:p>
    <w:p w14:paraId="19670BD5" w14:textId="78FB703B" w:rsidR="004029EC" w:rsidRPr="00A438B4" w:rsidRDefault="004029EC" w:rsidP="004029EC">
      <w:pPr>
        <w:pStyle w:val="ParaNum"/>
      </w:pPr>
      <w:r>
        <w:t xml:space="preserve">We also seek comment on whether the Commission should revise its suspension and debarment rules to further ensure that individuals and entities that have violated the E-rate program rules cannot do so in the future.  </w:t>
      </w:r>
      <w:r w:rsidRPr="005465E3">
        <w:t>The Commission currently has rules providing for suspension and debarment from participation in universal service programs when there have been certain criminal convictions or civil judgments.</w:t>
      </w:r>
      <w:r w:rsidRPr="005465E3">
        <w:rPr>
          <w:rStyle w:val="FootnoteReference"/>
        </w:rPr>
        <w:footnoteReference w:id="435"/>
      </w:r>
      <w:r w:rsidRPr="005465E3">
        <w:t xml:space="preserve">  We note that there is a government-wide debarment and suspension system for non</w:t>
      </w:r>
      <w:r>
        <w:t>-</w:t>
      </w:r>
      <w:r w:rsidRPr="005465E3">
        <w:t>procurement programs and activities, for which OMB guidance is set forth in Part 180 of Title 2 of the Code of Federal Regulations.</w:t>
      </w:r>
      <w:r w:rsidRPr="005465E3">
        <w:rPr>
          <w:rStyle w:val="FootnoteReference"/>
        </w:rPr>
        <w:footnoteReference w:id="436"/>
      </w:r>
      <w:r w:rsidRPr="005465E3">
        <w:t xml:space="preserve">  We seek comment on the pros and cons of participating in that government-wide debarment and suspension system in administering our universal service programs.</w:t>
      </w:r>
      <w:r w:rsidRPr="005465E3">
        <w:rPr>
          <w:rStyle w:val="FootnoteReference"/>
        </w:rPr>
        <w:footnoteReference w:id="437"/>
      </w:r>
      <w:r w:rsidRPr="005465E3">
        <w:t xml:space="preserve">  W</w:t>
      </w:r>
      <w:r w:rsidRPr="005465E3">
        <w:rPr>
          <w:bCs/>
        </w:rPr>
        <w:t>e seek comment on any policies or procedures that we should adopt if we were to implement Part 180, and in particular on what procedures would be “consistent with the [OMB] guidance.”</w:t>
      </w:r>
      <w:r w:rsidRPr="005465E3">
        <w:rPr>
          <w:rStyle w:val="FootnoteReference"/>
          <w:bCs/>
        </w:rPr>
        <w:footnoteReference w:id="438"/>
      </w:r>
      <w:r w:rsidRPr="005465E3">
        <w:rPr>
          <w:bCs/>
        </w:rPr>
        <w:t xml:space="preserve"> </w:t>
      </w:r>
      <w:r w:rsidR="006C6CC7">
        <w:t xml:space="preserve"> </w:t>
      </w:r>
      <w:r w:rsidRPr="005465E3">
        <w:t>W</w:t>
      </w:r>
      <w:r w:rsidRPr="005465E3" w:rsidDel="009F422B">
        <w:t>e seek comment on the extent to which our existing procedures for appealing a suspension or debarment could be used, or whether different or additional procedures should be employed</w:t>
      </w:r>
      <w:r w:rsidRPr="005465E3">
        <w:t>.</w:t>
      </w:r>
    </w:p>
    <w:p w14:paraId="213D9A56" w14:textId="3CC96B52" w:rsidR="004029EC" w:rsidRPr="00A438B4" w:rsidRDefault="004029EC" w:rsidP="004029EC">
      <w:pPr>
        <w:pStyle w:val="ParaNum"/>
      </w:pPr>
      <w:r w:rsidRPr="005465E3">
        <w:lastRenderedPageBreak/>
        <w:t>We also seek comment on how we should address those matters for which the OMB guidelines give each agency some discretion, including both those noted below and the other matters identified in the Part 180 rules.</w:t>
      </w:r>
      <w:r w:rsidRPr="005465E3">
        <w:rPr>
          <w:rStyle w:val="FootnoteReference"/>
        </w:rPr>
        <w:footnoteReference w:id="439"/>
      </w:r>
      <w:r w:rsidRPr="005465E3">
        <w:t xml:space="preserve">  For example, under the government-wide system agencies have some discretion to define the scope of transactions that a person excluded or disqualified under those rules generally is restricted from participating in.</w:t>
      </w:r>
      <w:r w:rsidRPr="005465E3">
        <w:rPr>
          <w:rStyle w:val="FootnoteReference"/>
        </w:rPr>
        <w:footnoteReference w:id="440"/>
      </w:r>
      <w:r w:rsidRPr="005465E3">
        <w:t xml:space="preserve">  Under the government-wide system, the guidelines apply to at least these two categories of transactions: a “primary tier between a federal agency and a person”; and a “lower tier between a participant in a covered transaction and another person.”</w:t>
      </w:r>
      <w:r w:rsidRPr="005465E3">
        <w:rPr>
          <w:rStyle w:val="FootnoteReference"/>
        </w:rPr>
        <w:footnoteReference w:id="441"/>
      </w:r>
      <w:r w:rsidRPr="005465E3">
        <w:t xml:space="preserve">  Under this framework, however, each agency’s implementing regulations must address whether certain subcontracts also should be transactions covered by these rules.</w:t>
      </w:r>
      <w:r w:rsidRPr="005465E3">
        <w:rPr>
          <w:rStyle w:val="FootnoteReference"/>
        </w:rPr>
        <w:footnoteReference w:id="442"/>
      </w:r>
      <w:r w:rsidR="006C6CC7">
        <w:t xml:space="preserve">  </w:t>
      </w:r>
      <w:r w:rsidRPr="005465E3">
        <w:t>We seek comment on these issues here.  Would it be appropriate or desirable to designate contracts between a service provider and its subcontractors in the E-rate context as “an additional tier of contracts” that should be included as a “covered transaction?”  Alternatively, should certain transactions be exempted from coverage?</w:t>
      </w:r>
      <w:r w:rsidRPr="005465E3">
        <w:rPr>
          <w:rStyle w:val="FootnoteReference"/>
        </w:rPr>
        <w:footnoteReference w:id="443"/>
      </w:r>
      <w:r w:rsidRPr="005465E3">
        <w:t xml:space="preserve">  Proponents of any expansion or contraction of covered transactions should explain the rationale for their recommendations.  As another example, we</w:t>
      </w:r>
      <w:r w:rsidRPr="005465E3" w:rsidDel="00275EF0">
        <w:t xml:space="preserve"> also seek comment on considerations that might be appropriate in implementing </w:t>
      </w:r>
      <w:r w:rsidR="00CD2FB6">
        <w:t>s</w:t>
      </w:r>
      <w:r w:rsidRPr="005465E3" w:rsidDel="00275EF0">
        <w:t xml:space="preserve">ection 180.135, which allows a Federal agency head or designee to “grant an exception permitting an excluded person to participate in a particular covered transaction.”  </w:t>
      </w:r>
    </w:p>
    <w:p w14:paraId="18362DEF" w14:textId="6163880F" w:rsidR="00892925" w:rsidRPr="00B4386B" w:rsidRDefault="004029EC" w:rsidP="004029EC">
      <w:pPr>
        <w:pStyle w:val="ParaNum"/>
      </w:pPr>
      <w:r w:rsidRPr="005465E3">
        <w:t>In addition, we note that the OMB government-wide guidelines in Part 180 of title 2 afford substantial discretion to agencies to evaluate whether or not to suspend or debar depending on the individual circumstances presented.</w:t>
      </w:r>
      <w:r w:rsidRPr="005465E3">
        <w:rPr>
          <w:rStyle w:val="FootnoteReference"/>
        </w:rPr>
        <w:footnoteReference w:id="444"/>
      </w:r>
      <w:r w:rsidRPr="005465E3">
        <w:t xml:space="preserve">  Even in the absence of full implementation of Part 180 of Title 2 of the Code of Federal  Regulations , should the Commission adopt rules for suspension and debarment similar to those set forth in </w:t>
      </w:r>
      <w:r w:rsidRPr="005465E3">
        <w:lastRenderedPageBreak/>
        <w:t>Subpart G of Part 180 of Title 2 (Suspension) and Subpart H of Par</w:t>
      </w:r>
      <w:r w:rsidR="006C6CC7">
        <w:t xml:space="preserve">t 180 of Title 2 (Debarment)?  </w:t>
      </w:r>
      <w:r w:rsidRPr="005465E3">
        <w:t xml:space="preserve">What other discretionary factors should be considered, if any, in addition to those set forth in Part 180? </w:t>
      </w:r>
      <w:r>
        <w:t xml:space="preserve"> </w:t>
      </w:r>
      <w:r w:rsidRPr="005465E3">
        <w:t xml:space="preserve">For example, should we treat service providers differently than applicants </w:t>
      </w:r>
      <w:r w:rsidR="00925E8C">
        <w:t xml:space="preserve">and consultants </w:t>
      </w:r>
      <w:r w:rsidRPr="005465E3">
        <w:t>in any circumstances?  Should parties in some circumstances have an opportunity to shorten their debarment period by demonstrating that they have instituted a compliance plan with training and oversight that will facilitate program compliance?  Should repeat offenders be treated differently than those violating our rules for the first time?</w:t>
      </w:r>
      <w:r>
        <w:t xml:space="preserve"> </w:t>
      </w:r>
      <w:r w:rsidRPr="005465E3">
        <w:t xml:space="preserve"> We seek comment on these and any other factors we should take into consideration if the Commission revises its suspension and debarment rules to allow for more discretion than exists under the current regulations, which provide for debarment only after certain criminal convictions or civil judgments.</w:t>
      </w:r>
      <w:r w:rsidR="00892925">
        <w:t xml:space="preserve">  </w:t>
      </w:r>
    </w:p>
    <w:p w14:paraId="090B17F8" w14:textId="77777777" w:rsidR="000627C7" w:rsidRPr="009511F9" w:rsidRDefault="000627C7" w:rsidP="00B9652C">
      <w:pPr>
        <w:pStyle w:val="Heading2"/>
        <w:rPr>
          <w:rStyle w:val="StyleNumberedparagraphs11ptChar"/>
        </w:rPr>
      </w:pPr>
      <w:bookmarkStart w:id="2860" w:name="_Toc351647152"/>
      <w:bookmarkStart w:id="2861" w:name="_Toc352064104"/>
      <w:bookmarkStart w:id="2862" w:name="_Toc352064568"/>
      <w:bookmarkStart w:id="2863" w:name="_Toc352078345"/>
      <w:bookmarkStart w:id="2864" w:name="_Toc352078397"/>
      <w:bookmarkStart w:id="2865" w:name="_Toc352078459"/>
      <w:bookmarkStart w:id="2866" w:name="_Toc352079051"/>
      <w:bookmarkStart w:id="2867" w:name="_Toc352080412"/>
      <w:bookmarkStart w:id="2868" w:name="_Toc352139795"/>
      <w:bookmarkStart w:id="2869" w:name="_Toc354478098"/>
      <w:bookmarkStart w:id="2870" w:name="_Toc354478720"/>
      <w:bookmarkStart w:id="2871" w:name="_Toc354660736"/>
      <w:bookmarkStart w:id="2872" w:name="_Toc358208820"/>
      <w:bookmarkStart w:id="2873" w:name="_Toc358210324"/>
      <w:bookmarkStart w:id="2874" w:name="_Toc358210471"/>
      <w:bookmarkStart w:id="2875" w:name="_Toc358210648"/>
      <w:bookmarkStart w:id="2876" w:name="_Toc358210749"/>
      <w:bookmarkStart w:id="2877" w:name="_Toc358213684"/>
      <w:bookmarkStart w:id="2878" w:name="_Toc358213816"/>
      <w:bookmarkStart w:id="2879" w:name="_Toc358301309"/>
      <w:bookmarkStart w:id="2880" w:name="_Toc358720055"/>
      <w:bookmarkStart w:id="2881" w:name="_Toc358971281"/>
      <w:bookmarkStart w:id="2882" w:name="_Toc358974882"/>
      <w:bookmarkStart w:id="2883" w:name="_Toc358975780"/>
      <w:bookmarkStart w:id="2884" w:name="_Toc358975942"/>
      <w:bookmarkStart w:id="2885" w:name="_Toc358976183"/>
      <w:bookmarkStart w:id="2886" w:name="_Toc358981039"/>
      <w:bookmarkStart w:id="2887" w:name="_Toc358981155"/>
      <w:bookmarkStart w:id="2888" w:name="_Toc358982417"/>
      <w:bookmarkStart w:id="2889" w:name="_Toc358982507"/>
      <w:bookmarkStart w:id="2890" w:name="_Toc359239290"/>
      <w:bookmarkStart w:id="2891" w:name="_Toc359239347"/>
      <w:bookmarkStart w:id="2892" w:name="_Toc359252306"/>
      <w:bookmarkStart w:id="2893" w:name="_Toc359326055"/>
      <w:bookmarkStart w:id="2894" w:name="_Toc359333303"/>
      <w:bookmarkStart w:id="2895" w:name="_Toc359339957"/>
      <w:bookmarkStart w:id="2896" w:name="_Toc359343221"/>
      <w:bookmarkStart w:id="2897" w:name="_Toc359347030"/>
      <w:bookmarkStart w:id="2898" w:name="_Toc359598723"/>
      <w:bookmarkStart w:id="2899" w:name="_Toc359853215"/>
      <w:bookmarkStart w:id="2900" w:name="_Toc359853454"/>
      <w:bookmarkStart w:id="2901" w:name="_Toc359853714"/>
      <w:bookmarkStart w:id="2902" w:name="_Toc359858685"/>
      <w:bookmarkStart w:id="2903" w:name="_Toc359859630"/>
      <w:bookmarkStart w:id="2904" w:name="_Toc359940099"/>
      <w:bookmarkStart w:id="2905" w:name="_Toc360025474"/>
      <w:bookmarkStart w:id="2906" w:name="_Toc360107525"/>
      <w:bookmarkStart w:id="2907" w:name="_Toc360111649"/>
      <w:bookmarkStart w:id="2908" w:name="_Toc360172834"/>
      <w:bookmarkStart w:id="2909" w:name="_Toc360186175"/>
      <w:bookmarkStart w:id="2910" w:name="_Toc360186252"/>
      <w:bookmarkStart w:id="2911" w:name="_Toc360186456"/>
      <w:bookmarkStart w:id="2912" w:name="_Toc360186525"/>
      <w:bookmarkStart w:id="2913" w:name="_Toc360187329"/>
      <w:bookmarkStart w:id="2914" w:name="_Toc360187487"/>
      <w:bookmarkStart w:id="2915" w:name="_Toc360208935"/>
      <w:bookmarkStart w:id="2916" w:name="_Toc360212068"/>
      <w:bookmarkStart w:id="2917" w:name="_Toc361663140"/>
      <w:bookmarkStart w:id="2918" w:name="_Toc361857716"/>
      <w:bookmarkStart w:id="2919" w:name="_Toc361918808"/>
      <w:bookmarkStart w:id="2920" w:name="_Toc362272583"/>
      <w:r w:rsidRPr="009511F9">
        <w:rPr>
          <w:rStyle w:val="StyleNumberedparagraphs11ptChar"/>
        </w:rPr>
        <w:t>Wireless Community Hotspots</w:t>
      </w:r>
      <w:bookmarkEnd w:id="2860"/>
      <w:bookmarkEnd w:id="2861"/>
      <w:bookmarkEnd w:id="2862"/>
      <w:bookmarkEnd w:id="2863"/>
      <w:bookmarkEnd w:id="2864"/>
      <w:bookmarkEnd w:id="2865"/>
      <w:bookmarkEnd w:id="2866"/>
      <w:bookmarkEnd w:id="2867"/>
      <w:bookmarkEnd w:id="2868"/>
      <w:bookmarkEnd w:id="2869"/>
      <w:bookmarkEnd w:id="2870"/>
      <w:bookmarkEnd w:id="2871"/>
      <w:bookmarkEnd w:id="2872"/>
      <w:bookmarkEnd w:id="2873"/>
      <w:bookmarkEnd w:id="2874"/>
      <w:bookmarkEnd w:id="2875"/>
      <w:bookmarkEnd w:id="2876"/>
      <w:bookmarkEnd w:id="2877"/>
      <w:bookmarkEnd w:id="2878"/>
      <w:bookmarkEnd w:id="2879"/>
      <w:bookmarkEnd w:id="2880"/>
      <w:bookmarkEnd w:id="2881"/>
      <w:bookmarkEnd w:id="2882"/>
      <w:bookmarkEnd w:id="2883"/>
      <w:bookmarkEnd w:id="2884"/>
      <w:bookmarkEnd w:id="2885"/>
      <w:bookmarkEnd w:id="2886"/>
      <w:bookmarkEnd w:id="2887"/>
      <w:bookmarkEnd w:id="2888"/>
      <w:bookmarkEnd w:id="2889"/>
      <w:bookmarkEnd w:id="2890"/>
      <w:bookmarkEnd w:id="2891"/>
      <w:bookmarkEnd w:id="2892"/>
      <w:bookmarkEnd w:id="2893"/>
      <w:bookmarkEnd w:id="2894"/>
      <w:bookmarkEnd w:id="2895"/>
      <w:bookmarkEnd w:id="2896"/>
      <w:bookmarkEnd w:id="2897"/>
      <w:bookmarkEnd w:id="2898"/>
      <w:bookmarkEnd w:id="2899"/>
      <w:bookmarkEnd w:id="2900"/>
      <w:bookmarkEnd w:id="2901"/>
      <w:bookmarkEnd w:id="2902"/>
      <w:bookmarkEnd w:id="2903"/>
      <w:bookmarkEnd w:id="2904"/>
      <w:bookmarkEnd w:id="2905"/>
      <w:bookmarkEnd w:id="2906"/>
      <w:bookmarkEnd w:id="2907"/>
      <w:bookmarkEnd w:id="2908"/>
      <w:bookmarkEnd w:id="2909"/>
      <w:bookmarkEnd w:id="2910"/>
      <w:bookmarkEnd w:id="2911"/>
      <w:bookmarkEnd w:id="2912"/>
      <w:bookmarkEnd w:id="2913"/>
      <w:bookmarkEnd w:id="2914"/>
      <w:bookmarkEnd w:id="2915"/>
      <w:bookmarkEnd w:id="2916"/>
      <w:bookmarkEnd w:id="2917"/>
      <w:bookmarkEnd w:id="2918"/>
      <w:bookmarkEnd w:id="2919"/>
      <w:bookmarkEnd w:id="2920"/>
    </w:p>
    <w:p w14:paraId="09A34503" w14:textId="42021E99" w:rsidR="000627C7" w:rsidRPr="0003107C" w:rsidRDefault="000627C7" w:rsidP="00F47042">
      <w:pPr>
        <w:pStyle w:val="ParaNum"/>
      </w:pPr>
      <w:r w:rsidRPr="00ED0E2B">
        <w:t>We</w:t>
      </w:r>
      <w:r w:rsidRPr="0003107C">
        <w:t xml:space="preserve"> next inquire whether we should continue to increase the reach of </w:t>
      </w:r>
      <w:r>
        <w:t>E-rate</w:t>
      </w:r>
      <w:r w:rsidRPr="0003107C">
        <w:t xml:space="preserve"> supported services</w:t>
      </w:r>
      <w:r>
        <w:t>.  I</w:t>
      </w:r>
      <w:r w:rsidRPr="0003107C">
        <w:t xml:space="preserve">n the </w:t>
      </w:r>
      <w:r w:rsidR="00216175">
        <w:rPr>
          <w:i/>
        </w:rPr>
        <w:t xml:space="preserve">Schools and Libraries Sixth </w:t>
      </w:r>
      <w:r w:rsidRPr="0003107C">
        <w:rPr>
          <w:i/>
        </w:rPr>
        <w:t>Report and Order</w:t>
      </w:r>
      <w:r w:rsidRPr="0003107C">
        <w:t xml:space="preserve">, </w:t>
      </w:r>
      <w:r>
        <w:t xml:space="preserve">the Commission </w:t>
      </w:r>
      <w:r w:rsidRPr="0003107C">
        <w:rPr>
          <w:szCs w:val="22"/>
        </w:rPr>
        <w:t>revise</w:t>
      </w:r>
      <w:r>
        <w:rPr>
          <w:szCs w:val="22"/>
        </w:rPr>
        <w:t>d</w:t>
      </w:r>
      <w:r w:rsidRPr="0003107C">
        <w:rPr>
          <w:szCs w:val="22"/>
        </w:rPr>
        <w:t xml:space="preserve"> its rules to allow schools to open their facilities</w:t>
      </w:r>
      <w:r>
        <w:rPr>
          <w:szCs w:val="22"/>
        </w:rPr>
        <w:t xml:space="preserve"> </w:t>
      </w:r>
      <w:r w:rsidRPr="0003107C">
        <w:rPr>
          <w:szCs w:val="22"/>
        </w:rPr>
        <w:t xml:space="preserve">to the general public to utilize services supported by </w:t>
      </w:r>
      <w:r>
        <w:rPr>
          <w:szCs w:val="22"/>
        </w:rPr>
        <w:t>E-rate</w:t>
      </w:r>
      <w:r w:rsidRPr="00111D00">
        <w:rPr>
          <w:szCs w:val="22"/>
        </w:rPr>
        <w:t xml:space="preserve"> </w:t>
      </w:r>
      <w:r w:rsidRPr="0003107C">
        <w:rPr>
          <w:szCs w:val="22"/>
        </w:rPr>
        <w:t>when classes are not in session.</w:t>
      </w:r>
      <w:r w:rsidRPr="0003107C">
        <w:rPr>
          <w:szCs w:val="22"/>
          <w:vertAlign w:val="superscript"/>
        </w:rPr>
        <w:footnoteReference w:id="445"/>
      </w:r>
      <w:r w:rsidRPr="0003107C">
        <w:rPr>
          <w:szCs w:val="22"/>
        </w:rPr>
        <w:t xml:space="preserve">  </w:t>
      </w:r>
      <w:r>
        <w:t>T</w:t>
      </w:r>
      <w:r w:rsidRPr="0003107C">
        <w:t>he Commission recognized that providing community use on school premises was consistent with the overarching goals of universal service to promote access to telecommunications and information services.</w:t>
      </w:r>
      <w:r w:rsidRPr="0003107C">
        <w:rPr>
          <w:vertAlign w:val="superscript"/>
        </w:rPr>
        <w:footnoteReference w:id="446"/>
      </w:r>
      <w:r w:rsidRPr="0003107C">
        <w:t xml:space="preserve">  In order to effectuate this change, </w:t>
      </w:r>
      <w:r w:rsidRPr="0003107C">
        <w:rPr>
          <w:szCs w:val="22"/>
        </w:rPr>
        <w:t>t</w:t>
      </w:r>
      <w:r w:rsidRPr="0003107C">
        <w:t xml:space="preserve">he Commission amended sections 54.503 and 54.504 to require applicants to certify that “[t]he services the applicant purchases at discounts will be used </w:t>
      </w:r>
      <w:r w:rsidRPr="0003107C">
        <w:rPr>
          <w:i/>
        </w:rPr>
        <w:t>primarily</w:t>
      </w:r>
      <w:r w:rsidRPr="0003107C">
        <w:t xml:space="preserve"> for educational purposes,” as opposed to </w:t>
      </w:r>
      <w:r w:rsidRPr="0003107C">
        <w:rPr>
          <w:i/>
        </w:rPr>
        <w:t>solely</w:t>
      </w:r>
      <w:r w:rsidRPr="0003107C">
        <w:t xml:space="preserve"> for education purposes.</w:t>
      </w:r>
      <w:r w:rsidRPr="0003107C">
        <w:rPr>
          <w:szCs w:val="22"/>
          <w:vertAlign w:val="superscript"/>
        </w:rPr>
        <w:footnoteReference w:id="447"/>
      </w:r>
      <w:r w:rsidRPr="0003107C">
        <w:t xml:space="preserve">  We now seek comment on whether </w:t>
      </w:r>
      <w:r>
        <w:t xml:space="preserve">we should permit </w:t>
      </w:r>
      <w:r w:rsidRPr="0003107C">
        <w:t xml:space="preserve">schools </w:t>
      </w:r>
      <w:r>
        <w:t xml:space="preserve">to </w:t>
      </w:r>
      <w:r w:rsidRPr="0003107C">
        <w:t xml:space="preserve">provide wireless hotspots to surrounding communities using </w:t>
      </w:r>
      <w:r>
        <w:t>E-rate</w:t>
      </w:r>
      <w:r w:rsidRPr="0003107C">
        <w:t xml:space="preserve"> supported services.  </w:t>
      </w:r>
    </w:p>
    <w:p w14:paraId="579B439E" w14:textId="665CA15B" w:rsidR="000627C7" w:rsidRDefault="000627C7" w:rsidP="00F47042">
      <w:pPr>
        <w:pStyle w:val="ParaNum"/>
      </w:pPr>
      <w:r w:rsidRPr="00ED0E2B">
        <w:t>We</w:t>
      </w:r>
      <w:r w:rsidRPr="0003107C">
        <w:t xml:space="preserve"> </w:t>
      </w:r>
      <w:r>
        <w:t>first</w:t>
      </w:r>
      <w:r w:rsidRPr="0003107C">
        <w:t xml:space="preserve"> seek comment on permitting students and the general public</w:t>
      </w:r>
      <w:r>
        <w:t xml:space="preserve"> </w:t>
      </w:r>
      <w:r w:rsidRPr="0003107C">
        <w:t xml:space="preserve">to receive </w:t>
      </w:r>
      <w:r>
        <w:t>E-rate</w:t>
      </w:r>
      <w:r w:rsidRPr="0003107C">
        <w:t xml:space="preserve"> funded Internet access offsite through wireless hotspots.</w:t>
      </w:r>
      <w:r w:rsidR="00960712">
        <w:rPr>
          <w:rStyle w:val="FootnoteReference"/>
        </w:rPr>
        <w:footnoteReference w:id="448"/>
      </w:r>
      <w:r w:rsidRPr="0003107C">
        <w:t xml:space="preserve">  In allowing community use of schools</w:t>
      </w:r>
      <w:r>
        <w:t>’</w:t>
      </w:r>
      <w:r w:rsidRPr="0003107C">
        <w:t xml:space="preserve"> </w:t>
      </w:r>
      <w:r>
        <w:t>E-rate</w:t>
      </w:r>
      <w:r w:rsidRPr="0003107C">
        <w:t xml:space="preserve"> supported broadband services, the Commission recognized that students’ need for broadband access does not end </w:t>
      </w:r>
      <w:r w:rsidRPr="0003107C">
        <w:lastRenderedPageBreak/>
        <w:t>when their schools’ doors close for the day.  Allowing after-hours</w:t>
      </w:r>
      <w:r>
        <w:t>,</w:t>
      </w:r>
      <w:r w:rsidRPr="0003107C">
        <w:t xml:space="preserve"> on-premises access to </w:t>
      </w:r>
      <w:r>
        <w:t xml:space="preserve">a </w:t>
      </w:r>
      <w:r w:rsidRPr="0003107C">
        <w:t xml:space="preserve">school’s broadband connections has given students the opportunity to work on homework, school projects and engage in extracurricular activities that require broadband access.  At the same time, it has allowed other community members broadband access for adult education, job training, digital literacy programs, and online access to governmental services and resources.  However, not all community members who need broadband access can take advantage of </w:t>
      </w:r>
      <w:r>
        <w:t xml:space="preserve">on-premises </w:t>
      </w:r>
      <w:r w:rsidRPr="0003107C">
        <w:t xml:space="preserve">access to school’s broadband services. </w:t>
      </w:r>
      <w:r w:rsidR="00104952">
        <w:t xml:space="preserve"> </w:t>
      </w:r>
      <w:r>
        <w:t xml:space="preserve">For example, in response to this issue, </w:t>
      </w:r>
      <w:r w:rsidRPr="0003107C">
        <w:t>Oakland Unified School District and Revere Public Schools both filed petitions with the Commission seeking waivers of our rules to allow them to provide wireless hotspots in communities surrounding their schools.</w:t>
      </w:r>
      <w:r w:rsidRPr="0003107C">
        <w:rPr>
          <w:vertAlign w:val="superscript"/>
        </w:rPr>
        <w:footnoteReference w:id="449"/>
      </w:r>
      <w:r w:rsidRPr="0003107C">
        <w:t xml:space="preserve">  We therefore seek public input on the prospect of permitting wireless hotspots for communities.</w:t>
      </w:r>
    </w:p>
    <w:p w14:paraId="7A7DF68A" w14:textId="2539A855" w:rsidR="000627C7" w:rsidRPr="004E5606" w:rsidRDefault="000627C7" w:rsidP="00F47042">
      <w:pPr>
        <w:pStyle w:val="ParaNum"/>
      </w:pPr>
      <w:r>
        <w:t xml:space="preserve">We also ask whether we </w:t>
      </w:r>
      <w:r w:rsidR="00110D29">
        <w:t xml:space="preserve">should </w:t>
      </w:r>
      <w:r>
        <w:t xml:space="preserve">implement other changes to the E-rate program to accommodate the use of wireless hotspots.  </w:t>
      </w:r>
      <w:r w:rsidRPr="0003107C">
        <w:t xml:space="preserve">Currently, services used off school or library property are generally ineligible for </w:t>
      </w:r>
      <w:r>
        <w:t>E-rate</w:t>
      </w:r>
      <w:r w:rsidRPr="0003107C">
        <w:t xml:space="preserve"> support because they are not deemed to be used for “educational purposes.”</w:t>
      </w:r>
      <w:r w:rsidRPr="0003107C">
        <w:rPr>
          <w:vertAlign w:val="superscript"/>
        </w:rPr>
        <w:footnoteReference w:id="450"/>
      </w:r>
      <w:r w:rsidRPr="0003107C">
        <w:t xml:space="preserve">  Therefore, if applicants use a service both on-premises and off-premises, they must reduce their funding request by the amount of the ineligible off-site use.</w:t>
      </w:r>
      <w:r w:rsidRPr="0003107C">
        <w:rPr>
          <w:vertAlign w:val="superscript"/>
        </w:rPr>
        <w:footnoteReference w:id="451"/>
      </w:r>
      <w:r w:rsidRPr="0003107C">
        <w:t xml:space="preserve">  </w:t>
      </w:r>
      <w:r>
        <w:t>R</w:t>
      </w:r>
      <w:r w:rsidRPr="0003107C">
        <w:t>ecogniz</w:t>
      </w:r>
      <w:r>
        <w:t>ing</w:t>
      </w:r>
      <w:r w:rsidRPr="0003107C">
        <w:t xml:space="preserve"> the </w:t>
      </w:r>
      <w:r>
        <w:t xml:space="preserve">potential </w:t>
      </w:r>
      <w:r w:rsidRPr="0003107C">
        <w:t xml:space="preserve">value to students and the broader community of having access to broadband services </w:t>
      </w:r>
      <w:r>
        <w:t xml:space="preserve">off-premises, are there programmatic changes we should make to ensure applicants are able to deploy such wireless hotspots?  Do we need to further </w:t>
      </w:r>
      <w:r w:rsidR="00DD157C">
        <w:t>revise</w:t>
      </w:r>
      <w:r w:rsidR="001D6BAC">
        <w:t xml:space="preserve"> </w:t>
      </w:r>
      <w:r>
        <w:t xml:space="preserve">the educational purposes standard if we permit off-premises access for community use?  </w:t>
      </w:r>
    </w:p>
    <w:p w14:paraId="4D6805E4" w14:textId="285E0A17" w:rsidR="000627C7" w:rsidRPr="0003107C" w:rsidRDefault="000627C7" w:rsidP="00F47042">
      <w:pPr>
        <w:pStyle w:val="ParaNum"/>
      </w:pPr>
      <w:r w:rsidRPr="0003107C">
        <w:rPr>
          <w:rFonts w:cs="Arial"/>
        </w:rPr>
        <w:t>T</w:t>
      </w:r>
      <w:r w:rsidRPr="0003107C">
        <w:t xml:space="preserve">o reduce the likelihood of waste, fraud, and abuse, and to guard against potential additional costs being imposed on the </w:t>
      </w:r>
      <w:r>
        <w:t>E-rate</w:t>
      </w:r>
      <w:r w:rsidRPr="0003107C">
        <w:t xml:space="preserve"> program, the Commission adopted several conditions for allowing community use of schools’ </w:t>
      </w:r>
      <w:r>
        <w:t>E-rate</w:t>
      </w:r>
      <w:r w:rsidRPr="0003107C">
        <w:t xml:space="preserve"> supported services during non-school hours.  Specifically,</w:t>
      </w:r>
      <w:r w:rsidRPr="0003107C">
        <w:rPr>
          <w:iCs/>
        </w:rPr>
        <w:t xml:space="preserve"> </w:t>
      </w:r>
      <w:r w:rsidRPr="0003107C">
        <w:rPr>
          <w:rFonts w:cs="Arial"/>
        </w:rPr>
        <w:t xml:space="preserve">(1) schools are not </w:t>
      </w:r>
      <w:r w:rsidRPr="0003107C">
        <w:rPr>
          <w:rFonts w:cs="Arial"/>
        </w:rPr>
        <w:lastRenderedPageBreak/>
        <w:t>permitted to request funding for more services than are necessary for educational purposes</w:t>
      </w:r>
      <w:r w:rsidRPr="0003107C">
        <w:t xml:space="preserve"> and </w:t>
      </w:r>
      <w:r w:rsidR="00110D29">
        <w:t>may</w:t>
      </w:r>
      <w:r w:rsidR="00110D29" w:rsidRPr="0003107C">
        <w:t xml:space="preserve"> </w:t>
      </w:r>
      <w:r w:rsidRPr="0003107C">
        <w:t>not seek funding for more services or equipment than necessary to serve its current school or library population</w:t>
      </w:r>
      <w:r w:rsidRPr="0003107C">
        <w:rPr>
          <w:rFonts w:cs="Arial"/>
        </w:rPr>
        <w:t>; (2)</w:t>
      </w:r>
      <w:r w:rsidRPr="0003107C">
        <w:t xml:space="preserve"> the use of </w:t>
      </w:r>
      <w:r>
        <w:t>E-rate</w:t>
      </w:r>
      <w:r w:rsidRPr="0003107C">
        <w:t xml:space="preserve"> funded services </w:t>
      </w:r>
      <w:r w:rsidR="00110D29">
        <w:t>after hours</w:t>
      </w:r>
      <w:r w:rsidR="00110D29" w:rsidRPr="0003107C">
        <w:t xml:space="preserve"> </w:t>
      </w:r>
      <w:r w:rsidRPr="0003107C">
        <w:t xml:space="preserve">must comply with Commission rules, including </w:t>
      </w:r>
      <w:r>
        <w:t>CIPA</w:t>
      </w:r>
      <w:r w:rsidRPr="0003107C">
        <w:rPr>
          <w:rFonts w:cs="Arial"/>
        </w:rPr>
        <w:t>; and (3) consistent with the Act, the discounted services or network capacity may not be “sold, resold, or transferred by such user in consideration for money or any other thing of value.”</w:t>
      </w:r>
      <w:r w:rsidRPr="0003107C">
        <w:rPr>
          <w:rFonts w:cs="Arial"/>
          <w:vertAlign w:val="superscript"/>
        </w:rPr>
        <w:footnoteReference w:id="452"/>
      </w:r>
      <w:r w:rsidRPr="0003107C">
        <w:rPr>
          <w:rFonts w:cs="Arial"/>
        </w:rPr>
        <w:t xml:space="preserve">  Should we impose the same conditions with respect to off-site access via wireless hotspots?  We seek comment on whether there are any unique circumstances in the context of offsite use that would reasonably change these conditions.  </w:t>
      </w:r>
      <w:r w:rsidRPr="0003107C">
        <w:t xml:space="preserve">Furthermore, we seek comment on whether there are any additional conditions to guard against waste, fraud, and abuse that should be imposed on </w:t>
      </w:r>
      <w:r>
        <w:t>E-rate</w:t>
      </w:r>
      <w:r w:rsidRPr="0003107C">
        <w:t xml:space="preserve"> applicants that use </w:t>
      </w:r>
      <w:r>
        <w:t>E-rate</w:t>
      </w:r>
      <w:r w:rsidRPr="0003107C">
        <w:t xml:space="preserve"> funded services for wireless community use.  </w:t>
      </w:r>
    </w:p>
    <w:p w14:paraId="2AB6DC1D" w14:textId="2A7E8E11" w:rsidR="000627C7" w:rsidRPr="002F1F87" w:rsidRDefault="000627C7" w:rsidP="00F47042">
      <w:pPr>
        <w:pStyle w:val="ParaNum"/>
        <w:rPr>
          <w:iCs/>
        </w:rPr>
      </w:pPr>
      <w:r w:rsidRPr="00ED0E2B">
        <w:t>We</w:t>
      </w:r>
      <w:r w:rsidRPr="0003107C">
        <w:t xml:space="preserve"> also seek comment on what other conditions we should impose on allowing community access to schools’ </w:t>
      </w:r>
      <w:r>
        <w:t>E-rate</w:t>
      </w:r>
      <w:r w:rsidRPr="0003107C">
        <w:t xml:space="preserve"> supported services via community hot spots.  Our rules allowing for community use in schools limits that use to non-school hours.  Should we impose the same limitation here?  </w:t>
      </w:r>
      <w:r>
        <w:t xml:space="preserve">Is there a justification for such a limitation in this case where wireless service will be accessible at all hours and, unlike the community use implemented in the </w:t>
      </w:r>
      <w:r w:rsidR="00BF140B">
        <w:rPr>
          <w:i/>
        </w:rPr>
        <w:t>Schools and Libraries Sixth</w:t>
      </w:r>
      <w:r w:rsidRPr="0003107C">
        <w:rPr>
          <w:i/>
        </w:rPr>
        <w:t xml:space="preserve"> Report and Order</w:t>
      </w:r>
      <w:r>
        <w:t xml:space="preserve">, does not require use of the applicant’s physical property?  Are there reasons to preclude access to the wireless service during school hours?  Would permitting such wireless access to the community during school hours be detrimental to the operations of the school? For example, could testing or other school operations reliant on broadband be negatively affected by community access during school hours?  If so, are there any measures applicants could take to reduce the impact of the community access on the applicant?  Next, should we impose </w:t>
      </w:r>
      <w:r w:rsidRPr="0003107C">
        <w:t>any geographic limitations on the scope of offsite Internet access?  What restrictions, if any, should be placed on service providers in the communities that donate equipment, services or funding to help with the creation or expansion of the Internet access points to ensure no violations of the Commission’s gift rules occur?</w:t>
      </w:r>
      <w:r w:rsidRPr="0003107C">
        <w:rPr>
          <w:vertAlign w:val="superscript"/>
        </w:rPr>
        <w:footnoteReference w:id="453"/>
      </w:r>
      <w:r w:rsidRPr="0003107C">
        <w:t xml:space="preserve">  We also seek comment on the adequacy of security measures that would be needed to guard against network security breaches.  What other issues are raised by this idea?  </w:t>
      </w:r>
    </w:p>
    <w:p w14:paraId="442707AC" w14:textId="77777777" w:rsidR="000627C7" w:rsidRPr="00031BAA" w:rsidRDefault="000627C7" w:rsidP="00B9652C">
      <w:pPr>
        <w:pStyle w:val="Heading2"/>
      </w:pPr>
      <w:bookmarkStart w:id="2921" w:name="_Toc352064569"/>
      <w:bookmarkStart w:id="2922" w:name="_Toc352078346"/>
      <w:bookmarkStart w:id="2923" w:name="_Toc352078398"/>
      <w:bookmarkStart w:id="2924" w:name="_Toc352078460"/>
      <w:bookmarkStart w:id="2925" w:name="_Toc352079052"/>
      <w:bookmarkStart w:id="2926" w:name="_Toc352080413"/>
      <w:bookmarkStart w:id="2927" w:name="_Toc352139796"/>
      <w:bookmarkStart w:id="2928" w:name="_Toc354478099"/>
      <w:bookmarkStart w:id="2929" w:name="_Toc354478721"/>
      <w:bookmarkStart w:id="2930" w:name="_Toc354660737"/>
      <w:bookmarkStart w:id="2931" w:name="_Toc358208821"/>
      <w:bookmarkStart w:id="2932" w:name="_Toc358210325"/>
      <w:bookmarkStart w:id="2933" w:name="_Toc358210472"/>
      <w:bookmarkStart w:id="2934" w:name="_Toc358210649"/>
      <w:bookmarkStart w:id="2935" w:name="_Toc358210750"/>
      <w:bookmarkStart w:id="2936" w:name="_Toc358213685"/>
      <w:bookmarkStart w:id="2937" w:name="_Toc358213817"/>
      <w:bookmarkStart w:id="2938" w:name="_Toc358301310"/>
      <w:bookmarkStart w:id="2939" w:name="_Toc358720056"/>
      <w:bookmarkStart w:id="2940" w:name="_Toc358971282"/>
      <w:bookmarkStart w:id="2941" w:name="_Toc358974883"/>
      <w:bookmarkStart w:id="2942" w:name="_Toc358975781"/>
      <w:bookmarkStart w:id="2943" w:name="_Toc358975943"/>
      <w:bookmarkStart w:id="2944" w:name="_Toc358976184"/>
      <w:bookmarkStart w:id="2945" w:name="_Toc358981040"/>
      <w:bookmarkStart w:id="2946" w:name="_Toc358981156"/>
      <w:bookmarkStart w:id="2947" w:name="_Toc358982418"/>
      <w:bookmarkStart w:id="2948" w:name="_Toc358982508"/>
      <w:bookmarkStart w:id="2949" w:name="_Toc359239291"/>
      <w:bookmarkStart w:id="2950" w:name="_Toc359239348"/>
      <w:bookmarkStart w:id="2951" w:name="_Toc359252307"/>
      <w:bookmarkStart w:id="2952" w:name="_Toc359326056"/>
      <w:bookmarkStart w:id="2953" w:name="_Toc359333304"/>
      <w:bookmarkStart w:id="2954" w:name="_Toc359339958"/>
      <w:bookmarkStart w:id="2955" w:name="_Toc359343222"/>
      <w:bookmarkStart w:id="2956" w:name="_Toc359347031"/>
      <w:bookmarkStart w:id="2957" w:name="_Toc359598724"/>
      <w:bookmarkStart w:id="2958" w:name="_Toc359853216"/>
      <w:bookmarkStart w:id="2959" w:name="_Toc359853455"/>
      <w:bookmarkStart w:id="2960" w:name="_Toc359853715"/>
      <w:bookmarkStart w:id="2961" w:name="_Toc359858686"/>
      <w:bookmarkStart w:id="2962" w:name="_Toc359859631"/>
      <w:bookmarkStart w:id="2963" w:name="_Toc359940100"/>
      <w:bookmarkStart w:id="2964" w:name="_Toc360025475"/>
      <w:bookmarkStart w:id="2965" w:name="_Toc360107526"/>
      <w:bookmarkStart w:id="2966" w:name="_Toc360111650"/>
      <w:bookmarkStart w:id="2967" w:name="_Toc360172835"/>
      <w:bookmarkStart w:id="2968" w:name="_Toc360186176"/>
      <w:bookmarkStart w:id="2969" w:name="_Toc360186253"/>
      <w:bookmarkStart w:id="2970" w:name="_Toc360186457"/>
      <w:bookmarkStart w:id="2971" w:name="_Toc360186526"/>
      <w:bookmarkStart w:id="2972" w:name="_Toc360187330"/>
      <w:bookmarkStart w:id="2973" w:name="_Toc360187488"/>
      <w:bookmarkStart w:id="2974" w:name="_Toc360208936"/>
      <w:bookmarkStart w:id="2975" w:name="_Toc360212069"/>
      <w:bookmarkStart w:id="2976" w:name="_Toc361663141"/>
      <w:bookmarkStart w:id="2977" w:name="_Toc361857717"/>
      <w:bookmarkStart w:id="2978" w:name="_Toc361918809"/>
      <w:bookmarkStart w:id="2979" w:name="_Toc362272584"/>
      <w:r w:rsidRPr="00031BAA">
        <w:lastRenderedPageBreak/>
        <w:t>Procedures for National Emergencies</w:t>
      </w:r>
      <w:bookmarkEnd w:id="2921"/>
      <w:bookmarkEnd w:id="2922"/>
      <w:bookmarkEnd w:id="2923"/>
      <w:bookmarkEnd w:id="2924"/>
      <w:bookmarkEnd w:id="2925"/>
      <w:bookmarkEnd w:id="2926"/>
      <w:bookmarkEnd w:id="2927"/>
      <w:bookmarkEnd w:id="2928"/>
      <w:bookmarkEnd w:id="2929"/>
      <w:bookmarkEnd w:id="2930"/>
      <w:bookmarkEnd w:id="2931"/>
      <w:bookmarkEnd w:id="2932"/>
      <w:bookmarkEnd w:id="2933"/>
      <w:bookmarkEnd w:id="2934"/>
      <w:bookmarkEnd w:id="2935"/>
      <w:bookmarkEnd w:id="2936"/>
      <w:bookmarkEnd w:id="2937"/>
      <w:bookmarkEnd w:id="2938"/>
      <w:bookmarkEnd w:id="2939"/>
      <w:bookmarkEnd w:id="2940"/>
      <w:bookmarkEnd w:id="2941"/>
      <w:bookmarkEnd w:id="2942"/>
      <w:bookmarkEnd w:id="2943"/>
      <w:bookmarkEnd w:id="2944"/>
      <w:bookmarkEnd w:id="2945"/>
      <w:bookmarkEnd w:id="2946"/>
      <w:bookmarkEnd w:id="2947"/>
      <w:bookmarkEnd w:id="2948"/>
      <w:bookmarkEnd w:id="2949"/>
      <w:bookmarkEnd w:id="2950"/>
      <w:bookmarkEnd w:id="2951"/>
      <w:bookmarkEnd w:id="2952"/>
      <w:bookmarkEnd w:id="2953"/>
      <w:bookmarkEnd w:id="2954"/>
      <w:bookmarkEnd w:id="2955"/>
      <w:bookmarkEnd w:id="2956"/>
      <w:bookmarkEnd w:id="2957"/>
      <w:bookmarkEnd w:id="2958"/>
      <w:bookmarkEnd w:id="2959"/>
      <w:bookmarkEnd w:id="2960"/>
      <w:bookmarkEnd w:id="2961"/>
      <w:bookmarkEnd w:id="2962"/>
      <w:bookmarkEnd w:id="2963"/>
      <w:bookmarkEnd w:id="2964"/>
      <w:bookmarkEnd w:id="2965"/>
      <w:bookmarkEnd w:id="2966"/>
      <w:bookmarkEnd w:id="2967"/>
      <w:bookmarkEnd w:id="2968"/>
      <w:bookmarkEnd w:id="2969"/>
      <w:bookmarkEnd w:id="2970"/>
      <w:bookmarkEnd w:id="2971"/>
      <w:bookmarkEnd w:id="2972"/>
      <w:bookmarkEnd w:id="2973"/>
      <w:bookmarkEnd w:id="2974"/>
      <w:bookmarkEnd w:id="2975"/>
      <w:bookmarkEnd w:id="2976"/>
      <w:bookmarkEnd w:id="2977"/>
      <w:bookmarkEnd w:id="2978"/>
      <w:bookmarkEnd w:id="2979"/>
    </w:p>
    <w:p w14:paraId="285E21BC" w14:textId="57B28C02" w:rsidR="000627C7" w:rsidRPr="00433945" w:rsidRDefault="000627C7" w:rsidP="00F47042">
      <w:pPr>
        <w:pStyle w:val="ParaNum"/>
      </w:pPr>
      <w:r w:rsidRPr="00433945">
        <w:rPr>
          <w:rFonts w:cs="Arial"/>
          <w:i/>
          <w:szCs w:val="22"/>
        </w:rPr>
        <w:t>Background</w:t>
      </w:r>
      <w:r w:rsidRPr="00433945">
        <w:rPr>
          <w:i/>
        </w:rPr>
        <w:t>.</w:t>
      </w:r>
      <w:r w:rsidRPr="00433945">
        <w:t xml:space="preserve">  We propose to adopt rules requiring USAC to follow specific procedures in the aftermath of a natural disaster or other emergency in order to ensure that USAC can efficiently assist affected schools and libraries in obtaining immediate relief.  In the aftermath of Hurricane Katrina, in 2005, the Commission released the </w:t>
      </w:r>
      <w:r w:rsidRPr="00433945">
        <w:rPr>
          <w:i/>
        </w:rPr>
        <w:t>Hurricane Katrina Order</w:t>
      </w:r>
      <w:r w:rsidRPr="00433945">
        <w:t xml:space="preserve"> providing relief under the </w:t>
      </w:r>
      <w:r>
        <w:t>E-rate</w:t>
      </w:r>
      <w:r w:rsidRPr="00433945">
        <w:t xml:space="preserve"> program to eligible schools and libraries that were directly or indirectly affected by Hurricane Katrina.</w:t>
      </w:r>
      <w:r w:rsidRPr="00433945">
        <w:rPr>
          <w:vertAlign w:val="superscript"/>
        </w:rPr>
        <w:footnoteReference w:id="454"/>
      </w:r>
      <w:r w:rsidRPr="00433945">
        <w:t xml:space="preserve">  For example, the Commission created a special filing window for funding requests, permitted applicants to restart the clock for the “two-in-five” rule,</w:t>
      </w:r>
      <w:r>
        <w:rPr>
          <w:rStyle w:val="FootnoteReference"/>
        </w:rPr>
        <w:footnoteReference w:id="455"/>
      </w:r>
      <w:r w:rsidRPr="00433945">
        <w:t xml:space="preserve"> and allowed broad service substitutions for those applicants affected by Hurricane Katrina.</w:t>
      </w:r>
      <w:r w:rsidRPr="00433945">
        <w:rPr>
          <w:vertAlign w:val="superscript"/>
        </w:rPr>
        <w:footnoteReference w:id="456"/>
      </w:r>
      <w:r w:rsidRPr="00433945">
        <w:t xml:space="preserve">  Since the </w:t>
      </w:r>
      <w:r w:rsidRPr="00433945">
        <w:rPr>
          <w:i/>
        </w:rPr>
        <w:t>Hurricane Katrina Order</w:t>
      </w:r>
      <w:r w:rsidRPr="00433945">
        <w:t xml:space="preserve">, the Commission has considered, on a case-by-case basis, requests for waivers from petitioners seeking relief from the </w:t>
      </w:r>
      <w:r>
        <w:t>E-rate</w:t>
      </w:r>
      <w:r w:rsidRPr="00433945">
        <w:t xml:space="preserve"> rules because of other natural disasters, and in some instances USAC has, on an </w:t>
      </w:r>
      <w:r w:rsidRPr="00433945">
        <w:rPr>
          <w:i/>
        </w:rPr>
        <w:t>ad hoc</w:t>
      </w:r>
      <w:r w:rsidRPr="00433945">
        <w:t xml:space="preserve"> basis, provided relief from its filing rules for applicant's effected by natural disasters.</w:t>
      </w:r>
      <w:r w:rsidRPr="00433945">
        <w:rPr>
          <w:vertAlign w:val="superscript"/>
        </w:rPr>
        <w:footnoteReference w:id="457"/>
      </w:r>
      <w:r w:rsidRPr="00433945">
        <w:t xml:space="preserve">  We now </w:t>
      </w:r>
      <w:r>
        <w:t xml:space="preserve">propose to </w:t>
      </w:r>
      <w:r w:rsidRPr="00433945">
        <w:t>incorporate disaster relief mechanisms into our rules</w:t>
      </w:r>
      <w:r>
        <w:t xml:space="preserve"> in order</w:t>
      </w:r>
      <w:r w:rsidRPr="00433945">
        <w:t xml:space="preserve"> to regularize the response to natural disasters and other emergencies.  </w:t>
      </w:r>
    </w:p>
    <w:p w14:paraId="3E40F161" w14:textId="77777777" w:rsidR="000627C7" w:rsidRPr="002C15D8" w:rsidRDefault="000627C7" w:rsidP="00F47042">
      <w:pPr>
        <w:pStyle w:val="ParaNum"/>
        <w:rPr>
          <w:szCs w:val="22"/>
        </w:rPr>
      </w:pPr>
      <w:r w:rsidRPr="00433945">
        <w:rPr>
          <w:rFonts w:cs="Arial"/>
          <w:i/>
          <w:szCs w:val="22"/>
        </w:rPr>
        <w:t>Discussion</w:t>
      </w:r>
      <w:r w:rsidRPr="00433945">
        <w:t xml:space="preserve">.  In considering </w:t>
      </w:r>
      <w:r>
        <w:t xml:space="preserve">what </w:t>
      </w:r>
      <w:r w:rsidRPr="00433945">
        <w:t>specific disaster relief mechanisms</w:t>
      </w:r>
      <w:r>
        <w:t xml:space="preserve"> to adopt</w:t>
      </w:r>
      <w:r w:rsidRPr="00433945">
        <w:t xml:space="preserve">, we first consider the circumstances under which such relief procedures should apply.  </w:t>
      </w:r>
      <w:r>
        <w:t xml:space="preserve">We propose to </w:t>
      </w:r>
      <w:r w:rsidRPr="00433945">
        <w:t>apply relief procedures to schools and libraries that have been directly affected by any event determined by the President of the United States to be either an “Emergency” or a “Major Disaster,” as defined by the Federal Emergency Management Agency (FEMA);</w:t>
      </w:r>
      <w:r w:rsidRPr="00433945">
        <w:rPr>
          <w:vertAlign w:val="superscript"/>
        </w:rPr>
        <w:footnoteReference w:id="458"/>
      </w:r>
      <w:r w:rsidRPr="00433945">
        <w:t xml:space="preserve"> which has caused severe structural damage and </w:t>
      </w:r>
      <w:r w:rsidRPr="002C15D8">
        <w:rPr>
          <w:szCs w:val="22"/>
        </w:rPr>
        <w:lastRenderedPageBreak/>
        <w:t xml:space="preserve">displaced student and patron populations, and also to those schools and libraries indirectly affected by a Major Disaster who absorb displaced populations.  We note that FEMA declares numerous Emergencies and Major Disasters every year, and therefore seek comment on how to properly limit any new rule to ensure it only applies to schools and libraries in communities that have suffered major disruptions.  We also seek comment on how to measure the amount of disruption to an applicant.  Finally, who should make the final determination that there has been enough of a disruption to warrant relief?  </w:t>
      </w:r>
    </w:p>
    <w:p w14:paraId="5C78E609" w14:textId="7CC66F52" w:rsidR="000627C7" w:rsidRPr="002C15D8" w:rsidRDefault="000627C7" w:rsidP="00F47042">
      <w:pPr>
        <w:pStyle w:val="ParaNum"/>
      </w:pPr>
      <w:r w:rsidRPr="002C15D8">
        <w:rPr>
          <w:rFonts w:cs="Arial"/>
        </w:rPr>
        <w:t>Next</w:t>
      </w:r>
      <w:r w:rsidRPr="002C15D8">
        <w:t xml:space="preserve">, we seek comment on what particular relief procedures we should adopt.  For example, we recognize that schools and libraries may need additional time to file programmatic forms, appeals, and to answer questions from USAC.  We therefore propose to delegate authority to the Bureau to extend Commission deadlines for filing documents, and to direct USAC to do the same with respect to its </w:t>
      </w:r>
      <w:r w:rsidR="008E7165">
        <w:t>procedures</w:t>
      </w:r>
      <w:r w:rsidRPr="002C15D8">
        <w:t>.  We also propose to excuse the record retention requirement for applicants whose records are destroyed in an Emergency or Major Disaster and cannot be recovered or recreated, although we propose to require that applicants whose records were destroyed document the loss of their records.</w:t>
      </w:r>
    </w:p>
    <w:p w14:paraId="251DD245" w14:textId="739BBE0D" w:rsidR="000627C7" w:rsidRPr="002C15D8" w:rsidRDefault="000627C7" w:rsidP="00F47042">
      <w:pPr>
        <w:pStyle w:val="ParaNum"/>
      </w:pPr>
      <w:r w:rsidRPr="002C15D8">
        <w:rPr>
          <w:rFonts w:cs="Arial"/>
        </w:rPr>
        <w:t>We</w:t>
      </w:r>
      <w:r w:rsidRPr="002C15D8">
        <w:t xml:space="preserve"> also recognize that schools and libraries affected by a Major Disaster or Emergency may need time to repair or rebuild buildings and to restore telecommunications and Internet access services and that</w:t>
      </w:r>
      <w:r>
        <w:t>,</w:t>
      </w:r>
      <w:r w:rsidRPr="002C15D8">
        <w:t xml:space="preserve"> in the event of evacuation, schools not directly affected by the Major Disaster or Emergency may need additional funding to support the needs of displaced students and citizens.  We therefore </w:t>
      </w:r>
      <w:r w:rsidR="00C8620A">
        <w:t xml:space="preserve">seek comment on allowing </w:t>
      </w:r>
      <w:r w:rsidRPr="002C15D8">
        <w:t xml:space="preserve">USAC to initiate a special filing window upon the declaration of a Major Disaster or Emergency for sixty days to allow applicants directly and indirectly affected to apply for </w:t>
      </w:r>
      <w:r>
        <w:t>E-rate</w:t>
      </w:r>
      <w:r w:rsidRPr="002C15D8">
        <w:t xml:space="preserve"> eligible services and products.</w:t>
      </w:r>
      <w:r w:rsidRPr="002C15D8">
        <w:rPr>
          <w:vertAlign w:val="superscript"/>
        </w:rPr>
        <w:footnoteReference w:id="459"/>
      </w:r>
      <w:r w:rsidRPr="002C15D8">
        <w:t xml:space="preserve">  When there is a Major Disaster or Emergency, we also propose to exempt affected applicants from the FCC Form 47</w:t>
      </w:r>
      <w:r>
        <w:t>0 filing requirement and the 28-</w:t>
      </w:r>
      <w:r w:rsidRPr="002C15D8">
        <w:t xml:space="preserve">day waiting period so long as such applicants comply with state and local bidding requirements.  We propose to allow affected applicants to “restart the clock” for the purposes of calculating compliance with the “two-in-five” rule for priority two services </w:t>
      </w:r>
      <w:r w:rsidRPr="002C15D8">
        <w:lastRenderedPageBreak/>
        <w:t xml:space="preserve">and </w:t>
      </w:r>
      <w:r w:rsidR="00C8620A">
        <w:t xml:space="preserve">excusing </w:t>
      </w:r>
      <w:r w:rsidRPr="002C15D8">
        <w:t>them from the requirement that substituted services or products have the same functionality as the services they are replacing.</w:t>
      </w:r>
      <w:r w:rsidRPr="002C15D8">
        <w:rPr>
          <w:vertAlign w:val="superscript"/>
        </w:rPr>
        <w:footnoteReference w:id="460"/>
      </w:r>
      <w:r w:rsidRPr="002C15D8">
        <w:t xml:space="preserve">  </w:t>
      </w:r>
    </w:p>
    <w:p w14:paraId="0418633B" w14:textId="06638076" w:rsidR="000627C7" w:rsidRPr="002C15D8" w:rsidRDefault="000627C7" w:rsidP="00F47042">
      <w:pPr>
        <w:pStyle w:val="ParaNum"/>
      </w:pPr>
      <w:r w:rsidRPr="00B03906">
        <w:t xml:space="preserve">Finally, we propose to require affected applicants to make certain certifications on their emergency relief forms to USAC similar to those found in the </w:t>
      </w:r>
      <w:r w:rsidRPr="00B03906">
        <w:rPr>
          <w:i/>
        </w:rPr>
        <w:t>Hurricane Katrina Order</w:t>
      </w:r>
      <w:r w:rsidRPr="00B03906">
        <w:t xml:space="preserve"> to guard against waste, fraud and abuse.</w:t>
      </w:r>
      <w:r w:rsidRPr="00AC64AA">
        <w:rPr>
          <w:vertAlign w:val="superscript"/>
        </w:rPr>
        <w:footnoteReference w:id="461"/>
      </w:r>
      <w:r w:rsidRPr="00B03906">
        <w:t xml:space="preserve">  For example, we propose to require applicants to certify that they incurred substantial structural damage as a result of the Major Disaster and/or Emergency and that the services and products sought in their applications will be solely used to restore the network to the functional equivalent of the pre-Major Disaster or Emergency degree of functionality and that other resources are not available for restoration.  We also propose to require applicants to certify that any alternative funding in excess of the cost for products or services requested on their applications will be returned to the federal Universal Service Fund.</w:t>
      </w:r>
      <w:r w:rsidRPr="00AC64AA">
        <w:rPr>
          <w:vertAlign w:val="superscript"/>
        </w:rPr>
        <w:footnoteReference w:id="462"/>
      </w:r>
      <w:r w:rsidRPr="00B03906">
        <w:t xml:space="preserve">  To the extent that applicants are handling increased populations, those applicants shall certify that there are more than a </w:t>
      </w:r>
      <w:r w:rsidRPr="00B03906">
        <w:rPr>
          <w:i/>
        </w:rPr>
        <w:t>de minimis</w:t>
      </w:r>
      <w:r w:rsidRPr="00B03906">
        <w:t xml:space="preserve"> number of Major Disaster or Emergency victims and the applicant experience and associated increase in the demand for </w:t>
      </w:r>
      <w:r>
        <w:t>E-rate</w:t>
      </w:r>
      <w:r w:rsidRPr="00B03906">
        <w:t xml:space="preserve"> eligible services and/or products.</w:t>
      </w:r>
      <w:r w:rsidRPr="00AC64AA">
        <w:rPr>
          <w:vertAlign w:val="superscript"/>
        </w:rPr>
        <w:footnoteReference w:id="463"/>
      </w:r>
      <w:r w:rsidRPr="00B03906">
        <w:t xml:space="preserve">  </w:t>
      </w:r>
    </w:p>
    <w:p w14:paraId="36A390D2" w14:textId="77777777" w:rsidR="000627C7" w:rsidRPr="002C15D8" w:rsidRDefault="000627C7" w:rsidP="00F47042">
      <w:pPr>
        <w:pStyle w:val="ParaNum"/>
      </w:pPr>
      <w:r w:rsidRPr="002C15D8">
        <w:t xml:space="preserve">We also seek comment on whether there are other policies and rules that should govern circumstances in which schools and libraries are faced with an Emergency or Major Disaster.  </w:t>
      </w:r>
      <w:bookmarkStart w:id="2980" w:name="_Toc351647157"/>
    </w:p>
    <w:p w14:paraId="4E08D2D3" w14:textId="77777777" w:rsidR="00197C23" w:rsidRDefault="000627C7" w:rsidP="00197C23">
      <w:pPr>
        <w:pStyle w:val="Heading1"/>
      </w:pPr>
      <w:bookmarkStart w:id="2981" w:name="_Toc351647153"/>
      <w:bookmarkStart w:id="2982" w:name="_Toc352064570"/>
      <w:bookmarkStart w:id="2983" w:name="_Toc352078347"/>
      <w:bookmarkStart w:id="2984" w:name="_Toc352078399"/>
      <w:bookmarkStart w:id="2985" w:name="_Toc352078461"/>
      <w:bookmarkStart w:id="2986" w:name="_Toc352079053"/>
      <w:bookmarkStart w:id="2987" w:name="_Toc352080414"/>
      <w:bookmarkStart w:id="2988" w:name="_Toc352139797"/>
      <w:bookmarkStart w:id="2989" w:name="_Toc354478100"/>
      <w:bookmarkStart w:id="2990" w:name="_Toc354478722"/>
      <w:bookmarkStart w:id="2991" w:name="_Toc354660738"/>
      <w:bookmarkStart w:id="2992" w:name="_Toc359239292"/>
      <w:bookmarkStart w:id="2993" w:name="_Toc359239349"/>
      <w:bookmarkStart w:id="2994" w:name="_Toc359252308"/>
      <w:bookmarkStart w:id="2995" w:name="_Toc359326057"/>
      <w:bookmarkStart w:id="2996" w:name="_Toc359333305"/>
      <w:bookmarkStart w:id="2997" w:name="_Toc359339959"/>
      <w:bookmarkStart w:id="2998" w:name="_Toc359343223"/>
      <w:bookmarkStart w:id="2999" w:name="_Toc359347032"/>
      <w:bookmarkStart w:id="3000" w:name="_Toc359598725"/>
      <w:bookmarkStart w:id="3001" w:name="_Toc359853217"/>
      <w:bookmarkStart w:id="3002" w:name="_Toc359853456"/>
      <w:bookmarkStart w:id="3003" w:name="_Toc359853716"/>
      <w:bookmarkStart w:id="3004" w:name="_Toc359858687"/>
      <w:bookmarkStart w:id="3005" w:name="_Toc359859632"/>
      <w:bookmarkStart w:id="3006" w:name="_Toc359940101"/>
      <w:bookmarkStart w:id="3007" w:name="_Toc360025476"/>
      <w:bookmarkStart w:id="3008" w:name="_Toc360107527"/>
      <w:bookmarkStart w:id="3009" w:name="_Toc360111651"/>
      <w:bookmarkStart w:id="3010" w:name="_Toc360172836"/>
      <w:bookmarkStart w:id="3011" w:name="_Toc360186177"/>
      <w:bookmarkStart w:id="3012" w:name="_Toc360186254"/>
      <w:bookmarkStart w:id="3013" w:name="_Toc360186458"/>
      <w:bookmarkStart w:id="3014" w:name="_Toc360186527"/>
      <w:bookmarkStart w:id="3015" w:name="_Toc360187331"/>
      <w:bookmarkStart w:id="3016" w:name="_Toc360187489"/>
      <w:bookmarkStart w:id="3017" w:name="_Toc360208937"/>
      <w:bookmarkStart w:id="3018" w:name="_Toc360212070"/>
      <w:bookmarkStart w:id="3019" w:name="_Toc361663142"/>
      <w:bookmarkStart w:id="3020" w:name="_Toc361857718"/>
      <w:bookmarkStart w:id="3021" w:name="_Toc361918810"/>
      <w:bookmarkStart w:id="3022" w:name="_Toc362272585"/>
      <w:bookmarkStart w:id="3023" w:name="_Toc358208822"/>
      <w:bookmarkStart w:id="3024" w:name="_Toc358210326"/>
      <w:bookmarkStart w:id="3025" w:name="_Toc358210473"/>
      <w:bookmarkStart w:id="3026" w:name="_Toc358210650"/>
      <w:bookmarkStart w:id="3027" w:name="_Toc358210751"/>
      <w:bookmarkStart w:id="3028" w:name="_Toc358213686"/>
      <w:bookmarkStart w:id="3029" w:name="_Toc358213818"/>
      <w:bookmarkStart w:id="3030" w:name="_Toc358301311"/>
      <w:bookmarkStart w:id="3031" w:name="_Toc358720057"/>
      <w:bookmarkStart w:id="3032" w:name="_Toc358971283"/>
      <w:bookmarkStart w:id="3033" w:name="_Toc358974884"/>
      <w:bookmarkStart w:id="3034" w:name="_Toc358975782"/>
      <w:bookmarkStart w:id="3035" w:name="_Toc358975944"/>
      <w:bookmarkStart w:id="3036" w:name="_Toc358976185"/>
      <w:bookmarkStart w:id="3037" w:name="_Toc358981041"/>
      <w:bookmarkStart w:id="3038" w:name="_Toc358981157"/>
      <w:bookmarkStart w:id="3039" w:name="_Toc358982419"/>
      <w:bookmarkStart w:id="3040" w:name="_Toc358982509"/>
      <w:r w:rsidRPr="002C15D8">
        <w:t>Procedural matters</w:t>
      </w:r>
      <w:bookmarkEnd w:id="2981"/>
      <w:bookmarkEnd w:id="2982"/>
      <w:bookmarkEnd w:id="2983"/>
      <w:bookmarkEnd w:id="2984"/>
      <w:bookmarkEnd w:id="2985"/>
      <w:bookmarkEnd w:id="2986"/>
      <w:bookmarkEnd w:id="2987"/>
      <w:bookmarkEnd w:id="2988"/>
      <w:bookmarkEnd w:id="2989"/>
      <w:bookmarkEnd w:id="2990"/>
      <w:bookmarkEnd w:id="2991"/>
      <w:bookmarkEnd w:id="2992"/>
      <w:bookmarkEnd w:id="2993"/>
      <w:bookmarkEnd w:id="2994"/>
      <w:bookmarkEnd w:id="2995"/>
      <w:bookmarkEnd w:id="2996"/>
      <w:bookmarkEnd w:id="2997"/>
      <w:bookmarkEnd w:id="2998"/>
      <w:bookmarkEnd w:id="2999"/>
      <w:bookmarkEnd w:id="3000"/>
      <w:bookmarkEnd w:id="3001"/>
      <w:bookmarkEnd w:id="3002"/>
      <w:bookmarkEnd w:id="3003"/>
      <w:bookmarkEnd w:id="3004"/>
      <w:bookmarkEnd w:id="3005"/>
      <w:bookmarkEnd w:id="3006"/>
      <w:bookmarkEnd w:id="3007"/>
      <w:bookmarkEnd w:id="3008"/>
      <w:bookmarkEnd w:id="3009"/>
      <w:bookmarkEnd w:id="3010"/>
      <w:bookmarkEnd w:id="3011"/>
      <w:bookmarkEnd w:id="3012"/>
      <w:bookmarkEnd w:id="3013"/>
      <w:bookmarkEnd w:id="3014"/>
      <w:bookmarkEnd w:id="3015"/>
      <w:bookmarkEnd w:id="3016"/>
      <w:bookmarkEnd w:id="3017"/>
      <w:bookmarkEnd w:id="3018"/>
      <w:bookmarkEnd w:id="3019"/>
      <w:bookmarkEnd w:id="3020"/>
      <w:bookmarkEnd w:id="3021"/>
      <w:bookmarkEnd w:id="3022"/>
    </w:p>
    <w:p w14:paraId="25B1E20F" w14:textId="77777777" w:rsidR="000627C7" w:rsidRPr="002C15D8" w:rsidRDefault="000627C7" w:rsidP="00B9652C">
      <w:pPr>
        <w:pStyle w:val="Heading2"/>
      </w:pPr>
      <w:bookmarkStart w:id="3041" w:name="_Toc351647154"/>
      <w:bookmarkStart w:id="3042" w:name="_Toc352064105"/>
      <w:bookmarkStart w:id="3043" w:name="_Toc352064571"/>
      <w:bookmarkStart w:id="3044" w:name="_Toc352078348"/>
      <w:bookmarkStart w:id="3045" w:name="_Toc352078400"/>
      <w:bookmarkStart w:id="3046" w:name="_Toc352078462"/>
      <w:bookmarkStart w:id="3047" w:name="_Toc352079054"/>
      <w:bookmarkStart w:id="3048" w:name="_Toc352080415"/>
      <w:bookmarkStart w:id="3049" w:name="_Toc352139798"/>
      <w:bookmarkStart w:id="3050" w:name="_Toc354478101"/>
      <w:bookmarkStart w:id="3051" w:name="_Toc354478723"/>
      <w:bookmarkStart w:id="3052" w:name="_Toc354660739"/>
      <w:bookmarkStart w:id="3053" w:name="_Toc358208823"/>
      <w:bookmarkStart w:id="3054" w:name="_Toc358210327"/>
      <w:bookmarkStart w:id="3055" w:name="_Toc358210474"/>
      <w:bookmarkStart w:id="3056" w:name="_Toc358210651"/>
      <w:bookmarkStart w:id="3057" w:name="_Toc358210752"/>
      <w:bookmarkStart w:id="3058" w:name="_Toc358213687"/>
      <w:bookmarkStart w:id="3059" w:name="_Toc358213819"/>
      <w:bookmarkStart w:id="3060" w:name="_Toc358301312"/>
      <w:bookmarkStart w:id="3061" w:name="_Toc358720058"/>
      <w:bookmarkStart w:id="3062" w:name="_Toc358971284"/>
      <w:bookmarkStart w:id="3063" w:name="_Toc358974885"/>
      <w:bookmarkStart w:id="3064" w:name="_Toc358975783"/>
      <w:bookmarkStart w:id="3065" w:name="_Toc358975945"/>
      <w:bookmarkStart w:id="3066" w:name="_Toc358976186"/>
      <w:bookmarkStart w:id="3067" w:name="_Toc358981042"/>
      <w:bookmarkStart w:id="3068" w:name="_Toc358981158"/>
      <w:bookmarkStart w:id="3069" w:name="_Toc358982420"/>
      <w:bookmarkStart w:id="3070" w:name="_Toc358982510"/>
      <w:bookmarkStart w:id="3071" w:name="_Toc359239293"/>
      <w:bookmarkStart w:id="3072" w:name="_Toc359239350"/>
      <w:bookmarkStart w:id="3073" w:name="_Toc359252309"/>
      <w:bookmarkStart w:id="3074" w:name="_Toc359326058"/>
      <w:bookmarkStart w:id="3075" w:name="_Toc359333306"/>
      <w:bookmarkStart w:id="3076" w:name="_Toc359339960"/>
      <w:bookmarkStart w:id="3077" w:name="_Toc359343224"/>
      <w:bookmarkStart w:id="3078" w:name="_Toc359347033"/>
      <w:bookmarkStart w:id="3079" w:name="_Toc359598726"/>
      <w:bookmarkStart w:id="3080" w:name="_Toc359853218"/>
      <w:bookmarkStart w:id="3081" w:name="_Toc359853457"/>
      <w:bookmarkStart w:id="3082" w:name="_Toc359853717"/>
      <w:bookmarkStart w:id="3083" w:name="_Toc359858688"/>
      <w:bookmarkStart w:id="3084" w:name="_Toc359859633"/>
      <w:bookmarkStart w:id="3085" w:name="_Toc359940102"/>
      <w:bookmarkStart w:id="3086" w:name="_Toc360025477"/>
      <w:bookmarkStart w:id="3087" w:name="_Toc360107528"/>
      <w:bookmarkStart w:id="3088" w:name="_Toc360111652"/>
      <w:bookmarkStart w:id="3089" w:name="_Toc360172837"/>
      <w:bookmarkStart w:id="3090" w:name="_Toc360186178"/>
      <w:bookmarkStart w:id="3091" w:name="_Toc360186255"/>
      <w:bookmarkStart w:id="3092" w:name="_Toc360186459"/>
      <w:bookmarkStart w:id="3093" w:name="_Toc360186528"/>
      <w:bookmarkStart w:id="3094" w:name="_Toc360187332"/>
      <w:bookmarkStart w:id="3095" w:name="_Toc360187490"/>
      <w:bookmarkStart w:id="3096" w:name="_Toc360208938"/>
      <w:bookmarkStart w:id="3097" w:name="_Toc360212071"/>
      <w:bookmarkStart w:id="3098" w:name="_Toc361663143"/>
      <w:bookmarkStart w:id="3099" w:name="_Toc361857719"/>
      <w:bookmarkStart w:id="3100" w:name="_Toc361918811"/>
      <w:bookmarkStart w:id="3101" w:name="_Toc362272586"/>
      <w:bookmarkEnd w:id="3023"/>
      <w:bookmarkEnd w:id="3024"/>
      <w:bookmarkEnd w:id="3025"/>
      <w:bookmarkEnd w:id="3026"/>
      <w:bookmarkEnd w:id="3027"/>
      <w:bookmarkEnd w:id="3028"/>
      <w:bookmarkEnd w:id="3029"/>
      <w:bookmarkEnd w:id="3030"/>
      <w:bookmarkEnd w:id="3031"/>
      <w:bookmarkEnd w:id="3032"/>
      <w:bookmarkEnd w:id="3033"/>
      <w:bookmarkEnd w:id="3034"/>
      <w:bookmarkEnd w:id="3035"/>
      <w:bookmarkEnd w:id="3036"/>
      <w:bookmarkEnd w:id="3037"/>
      <w:bookmarkEnd w:id="3038"/>
      <w:bookmarkEnd w:id="3039"/>
      <w:bookmarkEnd w:id="3040"/>
      <w:r w:rsidRPr="002C15D8">
        <w:t>Initial Regulatory Flexibility Analysis</w:t>
      </w:r>
      <w:bookmarkEnd w:id="3041"/>
      <w:bookmarkEnd w:id="3042"/>
      <w:bookmarkEnd w:id="3043"/>
      <w:bookmarkEnd w:id="3044"/>
      <w:bookmarkEnd w:id="3045"/>
      <w:bookmarkEnd w:id="3046"/>
      <w:bookmarkEnd w:id="3047"/>
      <w:bookmarkEnd w:id="3048"/>
      <w:bookmarkEnd w:id="3049"/>
      <w:bookmarkEnd w:id="3050"/>
      <w:bookmarkEnd w:id="3051"/>
      <w:bookmarkEnd w:id="3052"/>
      <w:bookmarkEnd w:id="3053"/>
      <w:bookmarkEnd w:id="3054"/>
      <w:bookmarkEnd w:id="3055"/>
      <w:bookmarkEnd w:id="3056"/>
      <w:bookmarkEnd w:id="3057"/>
      <w:bookmarkEnd w:id="3058"/>
      <w:bookmarkEnd w:id="3059"/>
      <w:bookmarkEnd w:id="3060"/>
      <w:bookmarkEnd w:id="3061"/>
      <w:bookmarkEnd w:id="3062"/>
      <w:bookmarkEnd w:id="3063"/>
      <w:bookmarkEnd w:id="3064"/>
      <w:bookmarkEnd w:id="3065"/>
      <w:bookmarkEnd w:id="3066"/>
      <w:bookmarkEnd w:id="3067"/>
      <w:bookmarkEnd w:id="3068"/>
      <w:bookmarkEnd w:id="3069"/>
      <w:bookmarkEnd w:id="3070"/>
      <w:bookmarkEnd w:id="3071"/>
      <w:bookmarkEnd w:id="3072"/>
      <w:bookmarkEnd w:id="3073"/>
      <w:bookmarkEnd w:id="3074"/>
      <w:bookmarkEnd w:id="3075"/>
      <w:bookmarkEnd w:id="3076"/>
      <w:bookmarkEnd w:id="3077"/>
      <w:bookmarkEnd w:id="3078"/>
      <w:bookmarkEnd w:id="3079"/>
      <w:bookmarkEnd w:id="3080"/>
      <w:bookmarkEnd w:id="3081"/>
      <w:bookmarkEnd w:id="3082"/>
      <w:bookmarkEnd w:id="3083"/>
      <w:bookmarkEnd w:id="3084"/>
      <w:bookmarkEnd w:id="3085"/>
      <w:bookmarkEnd w:id="3086"/>
      <w:bookmarkEnd w:id="3087"/>
      <w:bookmarkEnd w:id="3088"/>
      <w:bookmarkEnd w:id="3089"/>
      <w:bookmarkEnd w:id="3090"/>
      <w:bookmarkEnd w:id="3091"/>
      <w:bookmarkEnd w:id="3092"/>
      <w:bookmarkEnd w:id="3093"/>
      <w:bookmarkEnd w:id="3094"/>
      <w:bookmarkEnd w:id="3095"/>
      <w:bookmarkEnd w:id="3096"/>
      <w:bookmarkEnd w:id="3097"/>
      <w:bookmarkEnd w:id="3098"/>
      <w:bookmarkEnd w:id="3099"/>
      <w:bookmarkEnd w:id="3100"/>
      <w:bookmarkEnd w:id="3101"/>
      <w:r w:rsidRPr="002C15D8">
        <w:t xml:space="preserve"> </w:t>
      </w:r>
    </w:p>
    <w:p w14:paraId="343A2581" w14:textId="38D6DEED" w:rsidR="000627C7" w:rsidRPr="002C15D8" w:rsidRDefault="006F2F26" w:rsidP="00434A8B">
      <w:pPr>
        <w:pStyle w:val="ParaNum"/>
      </w:pPr>
      <w:bookmarkStart w:id="3102" w:name="_Toc535910027"/>
      <w:bookmarkStart w:id="3103" w:name="_Toc502988441"/>
      <w:r>
        <w:t>As required by the Regulatory Flexibility Act of 1980, as amended,</w:t>
      </w:r>
      <w:r>
        <w:rPr>
          <w:rStyle w:val="FootnoteReference"/>
          <w:szCs w:val="22"/>
        </w:rPr>
        <w:footnoteReference w:id="464"/>
      </w:r>
      <w:r>
        <w:t xml:space="preserve"> the Commission has prepared an Initial Regulatory Flexibility Analysis (IRFA) for this NPRM, of the possible significant economic impact on a substantial number of small entities by the policies and rules proposed in this NPRM.  The IRFA is in Appendix </w:t>
      </w:r>
      <w:r w:rsidR="004408F8">
        <w:t>D</w:t>
      </w:r>
      <w:r>
        <w:t xml:space="preserve">.  Written public comments are requested on this IRFA.  Comments must be identified as responses to the IRFA and must be filed by the deadlines for comments on the Notice.  The Commission will send a copy of the Notice, including this IRFA, to the Chief Counsel for Advocacy of the Small Business </w:t>
      </w:r>
      <w:r>
        <w:lastRenderedPageBreak/>
        <w:t>Administration.</w:t>
      </w:r>
      <w:r>
        <w:rPr>
          <w:rStyle w:val="FootnoteReference"/>
          <w:szCs w:val="22"/>
        </w:rPr>
        <w:footnoteReference w:id="465"/>
      </w:r>
      <w:r>
        <w:t xml:space="preserve">  In addition, the Notice and IRFA (or summaries thereof) will be published in the Federal Register.</w:t>
      </w:r>
      <w:r>
        <w:rPr>
          <w:rStyle w:val="FootnoteReference"/>
          <w:szCs w:val="22"/>
        </w:rPr>
        <w:footnoteReference w:id="466"/>
      </w:r>
      <w:bookmarkEnd w:id="3102"/>
      <w:bookmarkEnd w:id="3103"/>
    </w:p>
    <w:p w14:paraId="35BD875A" w14:textId="77777777" w:rsidR="000627C7" w:rsidRPr="002C15D8" w:rsidRDefault="000627C7" w:rsidP="00B9652C">
      <w:pPr>
        <w:pStyle w:val="Heading2"/>
      </w:pPr>
      <w:bookmarkStart w:id="3104" w:name="_Toc352064572"/>
      <w:bookmarkStart w:id="3105" w:name="_Toc352078349"/>
      <w:bookmarkStart w:id="3106" w:name="_Toc352078401"/>
      <w:bookmarkStart w:id="3107" w:name="_Toc352078463"/>
      <w:bookmarkStart w:id="3108" w:name="_Toc352079055"/>
      <w:bookmarkStart w:id="3109" w:name="_Toc352080416"/>
      <w:bookmarkStart w:id="3110" w:name="_Toc352139799"/>
      <w:bookmarkStart w:id="3111" w:name="_Toc354478102"/>
      <w:bookmarkStart w:id="3112" w:name="_Toc354478724"/>
      <w:bookmarkStart w:id="3113" w:name="_Toc354660740"/>
      <w:bookmarkStart w:id="3114" w:name="_Toc358208824"/>
      <w:bookmarkStart w:id="3115" w:name="_Toc358210328"/>
      <w:bookmarkStart w:id="3116" w:name="_Toc358210475"/>
      <w:bookmarkStart w:id="3117" w:name="_Toc358210652"/>
      <w:bookmarkStart w:id="3118" w:name="_Toc358210753"/>
      <w:bookmarkStart w:id="3119" w:name="_Toc358213688"/>
      <w:bookmarkStart w:id="3120" w:name="_Toc358213820"/>
      <w:bookmarkStart w:id="3121" w:name="_Toc358301313"/>
      <w:bookmarkStart w:id="3122" w:name="_Toc358720059"/>
      <w:bookmarkStart w:id="3123" w:name="_Toc358971285"/>
      <w:bookmarkStart w:id="3124" w:name="_Toc358974886"/>
      <w:bookmarkStart w:id="3125" w:name="_Toc358975784"/>
      <w:bookmarkStart w:id="3126" w:name="_Toc358975946"/>
      <w:bookmarkStart w:id="3127" w:name="_Toc358976187"/>
      <w:bookmarkStart w:id="3128" w:name="_Toc358981043"/>
      <w:bookmarkStart w:id="3129" w:name="_Toc358981159"/>
      <w:bookmarkStart w:id="3130" w:name="_Toc358982421"/>
      <w:bookmarkStart w:id="3131" w:name="_Toc358982511"/>
      <w:bookmarkStart w:id="3132" w:name="_Toc359239294"/>
      <w:bookmarkStart w:id="3133" w:name="_Toc359239351"/>
      <w:bookmarkStart w:id="3134" w:name="_Toc359252310"/>
      <w:bookmarkStart w:id="3135" w:name="_Toc359326059"/>
      <w:bookmarkStart w:id="3136" w:name="_Toc359333307"/>
      <w:bookmarkStart w:id="3137" w:name="_Toc359339961"/>
      <w:bookmarkStart w:id="3138" w:name="_Toc359343225"/>
      <w:bookmarkStart w:id="3139" w:name="_Toc359347034"/>
      <w:bookmarkStart w:id="3140" w:name="_Toc359598727"/>
      <w:bookmarkStart w:id="3141" w:name="_Toc359853219"/>
      <w:bookmarkStart w:id="3142" w:name="_Toc359853458"/>
      <w:bookmarkStart w:id="3143" w:name="_Toc359853718"/>
      <w:bookmarkStart w:id="3144" w:name="_Toc359858689"/>
      <w:bookmarkStart w:id="3145" w:name="_Toc359859634"/>
      <w:bookmarkStart w:id="3146" w:name="_Toc359940103"/>
      <w:bookmarkStart w:id="3147" w:name="_Toc360025478"/>
      <w:bookmarkStart w:id="3148" w:name="_Toc360107529"/>
      <w:bookmarkStart w:id="3149" w:name="_Toc360111653"/>
      <w:bookmarkStart w:id="3150" w:name="_Toc360172838"/>
      <w:bookmarkStart w:id="3151" w:name="_Toc360186179"/>
      <w:bookmarkStart w:id="3152" w:name="_Toc360186256"/>
      <w:bookmarkStart w:id="3153" w:name="_Toc360186460"/>
      <w:bookmarkStart w:id="3154" w:name="_Toc360186529"/>
      <w:bookmarkStart w:id="3155" w:name="_Toc360187333"/>
      <w:bookmarkStart w:id="3156" w:name="_Toc360187491"/>
      <w:bookmarkStart w:id="3157" w:name="_Toc360208939"/>
      <w:bookmarkStart w:id="3158" w:name="_Toc360212072"/>
      <w:bookmarkStart w:id="3159" w:name="_Toc361663144"/>
      <w:bookmarkStart w:id="3160" w:name="_Toc361857720"/>
      <w:bookmarkStart w:id="3161" w:name="_Toc361918812"/>
      <w:bookmarkStart w:id="3162" w:name="_Toc362272587"/>
      <w:r w:rsidRPr="00787CA6">
        <w:t>P</w:t>
      </w:r>
      <w:r w:rsidRPr="00B03906">
        <w:t>aperwork Reduction Act Analysis</w:t>
      </w:r>
      <w:bookmarkEnd w:id="3104"/>
      <w:bookmarkEnd w:id="3105"/>
      <w:bookmarkEnd w:id="3106"/>
      <w:bookmarkEnd w:id="3107"/>
      <w:bookmarkEnd w:id="3108"/>
      <w:bookmarkEnd w:id="3109"/>
      <w:bookmarkEnd w:id="3110"/>
      <w:bookmarkEnd w:id="3111"/>
      <w:bookmarkEnd w:id="3112"/>
      <w:bookmarkEnd w:id="3113"/>
      <w:bookmarkEnd w:id="3114"/>
      <w:bookmarkEnd w:id="3115"/>
      <w:bookmarkEnd w:id="3116"/>
      <w:bookmarkEnd w:id="3117"/>
      <w:bookmarkEnd w:id="3118"/>
      <w:bookmarkEnd w:id="3119"/>
      <w:bookmarkEnd w:id="3120"/>
      <w:bookmarkEnd w:id="3121"/>
      <w:bookmarkEnd w:id="3122"/>
      <w:bookmarkEnd w:id="3123"/>
      <w:bookmarkEnd w:id="3124"/>
      <w:bookmarkEnd w:id="3125"/>
      <w:bookmarkEnd w:id="3126"/>
      <w:bookmarkEnd w:id="3127"/>
      <w:bookmarkEnd w:id="3128"/>
      <w:bookmarkEnd w:id="3129"/>
      <w:bookmarkEnd w:id="3130"/>
      <w:bookmarkEnd w:id="3131"/>
      <w:bookmarkEnd w:id="3132"/>
      <w:bookmarkEnd w:id="3133"/>
      <w:bookmarkEnd w:id="3134"/>
      <w:bookmarkEnd w:id="3135"/>
      <w:bookmarkEnd w:id="3136"/>
      <w:bookmarkEnd w:id="3137"/>
      <w:bookmarkEnd w:id="3138"/>
      <w:bookmarkEnd w:id="3139"/>
      <w:bookmarkEnd w:id="3140"/>
      <w:bookmarkEnd w:id="3141"/>
      <w:bookmarkEnd w:id="3142"/>
      <w:bookmarkEnd w:id="3143"/>
      <w:bookmarkEnd w:id="3144"/>
      <w:bookmarkEnd w:id="3145"/>
      <w:bookmarkEnd w:id="3146"/>
      <w:bookmarkEnd w:id="3147"/>
      <w:bookmarkEnd w:id="3148"/>
      <w:bookmarkEnd w:id="3149"/>
      <w:bookmarkEnd w:id="3150"/>
      <w:bookmarkEnd w:id="3151"/>
      <w:bookmarkEnd w:id="3152"/>
      <w:bookmarkEnd w:id="3153"/>
      <w:bookmarkEnd w:id="3154"/>
      <w:bookmarkEnd w:id="3155"/>
      <w:bookmarkEnd w:id="3156"/>
      <w:bookmarkEnd w:id="3157"/>
      <w:bookmarkEnd w:id="3158"/>
      <w:bookmarkEnd w:id="3159"/>
      <w:bookmarkEnd w:id="3160"/>
      <w:bookmarkEnd w:id="3161"/>
      <w:bookmarkEnd w:id="3162"/>
    </w:p>
    <w:p w14:paraId="42FE5818" w14:textId="77777777" w:rsidR="000627C7" w:rsidRPr="0042202E" w:rsidRDefault="000627C7" w:rsidP="00F47042">
      <w:pPr>
        <w:pStyle w:val="ParaNum"/>
      </w:pPr>
      <w:r w:rsidRPr="00B03906">
        <w:rPr>
          <w:szCs w:val="22"/>
        </w:rPr>
        <w:t>This NPRM seeks comment on a potential new or revised information collection requirement.  If the Commission adopts any new</w:t>
      </w:r>
      <w:r w:rsidRPr="00217ED6">
        <w:t xml:space="preserve"> or revised information collection requirement, the Commission will publish a separate notice in the Federal Register inviting the public to comment on the requirement, as required by the Paperwork Reduction Act of 1995, Public Law 104-13 (44 U.S.C. 3501-3520).  In addition, pursuant to the Small Business Paperwork Relief Act of</w:t>
      </w:r>
      <w:r>
        <w:t xml:space="preserve"> 2002, Public Law 107-198, </w:t>
      </w:r>
      <w:r w:rsidRPr="00217ED6">
        <w:t>44 U.S.C. 3506(c)(4), the Commission seeks specific comment on how it might “further reduce the information collection burden for small business concerns with fewer than 25 employees.”</w:t>
      </w:r>
    </w:p>
    <w:p w14:paraId="328666BD" w14:textId="77777777" w:rsidR="000627C7" w:rsidRPr="00EA2915" w:rsidRDefault="000627C7" w:rsidP="00B9652C">
      <w:pPr>
        <w:pStyle w:val="Heading2"/>
      </w:pPr>
      <w:bookmarkStart w:id="3163" w:name="_Toc351647155"/>
      <w:bookmarkStart w:id="3164" w:name="_Toc352064106"/>
      <w:bookmarkStart w:id="3165" w:name="_Toc352064573"/>
      <w:bookmarkStart w:id="3166" w:name="_Toc352078350"/>
      <w:bookmarkStart w:id="3167" w:name="_Toc352078402"/>
      <w:bookmarkStart w:id="3168" w:name="_Toc352078464"/>
      <w:bookmarkStart w:id="3169" w:name="_Toc352079056"/>
      <w:bookmarkStart w:id="3170" w:name="_Toc352080417"/>
      <w:bookmarkStart w:id="3171" w:name="_Toc352139800"/>
      <w:bookmarkStart w:id="3172" w:name="_Toc354478103"/>
      <w:bookmarkStart w:id="3173" w:name="_Toc354478725"/>
      <w:bookmarkStart w:id="3174" w:name="_Toc354660741"/>
      <w:bookmarkStart w:id="3175" w:name="_Toc358208825"/>
      <w:bookmarkStart w:id="3176" w:name="_Toc358210329"/>
      <w:bookmarkStart w:id="3177" w:name="_Toc358210476"/>
      <w:bookmarkStart w:id="3178" w:name="_Toc358210653"/>
      <w:bookmarkStart w:id="3179" w:name="_Toc358210754"/>
      <w:bookmarkStart w:id="3180" w:name="_Toc358213689"/>
      <w:bookmarkStart w:id="3181" w:name="_Toc358213821"/>
      <w:bookmarkStart w:id="3182" w:name="_Toc358301314"/>
      <w:bookmarkStart w:id="3183" w:name="_Toc358720060"/>
      <w:bookmarkStart w:id="3184" w:name="_Toc358971286"/>
      <w:bookmarkStart w:id="3185" w:name="_Toc358974887"/>
      <w:bookmarkStart w:id="3186" w:name="_Toc358975785"/>
      <w:bookmarkStart w:id="3187" w:name="_Toc358975947"/>
      <w:bookmarkStart w:id="3188" w:name="_Toc358976188"/>
      <w:bookmarkStart w:id="3189" w:name="_Toc358981044"/>
      <w:bookmarkStart w:id="3190" w:name="_Toc358981160"/>
      <w:bookmarkStart w:id="3191" w:name="_Toc358982422"/>
      <w:bookmarkStart w:id="3192" w:name="_Toc358982512"/>
      <w:bookmarkStart w:id="3193" w:name="_Toc359239295"/>
      <w:bookmarkStart w:id="3194" w:name="_Toc359239352"/>
      <w:bookmarkStart w:id="3195" w:name="_Toc359252311"/>
      <w:bookmarkStart w:id="3196" w:name="_Toc359326060"/>
      <w:bookmarkStart w:id="3197" w:name="_Toc359333308"/>
      <w:bookmarkStart w:id="3198" w:name="_Toc359339962"/>
      <w:bookmarkStart w:id="3199" w:name="_Toc359343226"/>
      <w:bookmarkStart w:id="3200" w:name="_Toc359347035"/>
      <w:bookmarkStart w:id="3201" w:name="_Toc359598728"/>
      <w:bookmarkStart w:id="3202" w:name="_Toc359853220"/>
      <w:bookmarkStart w:id="3203" w:name="_Toc359853459"/>
      <w:bookmarkStart w:id="3204" w:name="_Toc359853719"/>
      <w:bookmarkStart w:id="3205" w:name="_Toc359858690"/>
      <w:bookmarkStart w:id="3206" w:name="_Toc359859635"/>
      <w:bookmarkStart w:id="3207" w:name="_Toc359940104"/>
      <w:bookmarkStart w:id="3208" w:name="_Toc360025479"/>
      <w:bookmarkStart w:id="3209" w:name="_Toc360107530"/>
      <w:bookmarkStart w:id="3210" w:name="_Toc360111654"/>
      <w:bookmarkStart w:id="3211" w:name="_Toc360172839"/>
      <w:bookmarkStart w:id="3212" w:name="_Toc360186180"/>
      <w:bookmarkStart w:id="3213" w:name="_Toc360186257"/>
      <w:bookmarkStart w:id="3214" w:name="_Toc360186461"/>
      <w:bookmarkStart w:id="3215" w:name="_Toc360186530"/>
      <w:bookmarkStart w:id="3216" w:name="_Toc360187334"/>
      <w:bookmarkStart w:id="3217" w:name="_Toc360187492"/>
      <w:bookmarkStart w:id="3218" w:name="_Toc360208940"/>
      <w:bookmarkStart w:id="3219" w:name="_Toc360212073"/>
      <w:bookmarkStart w:id="3220" w:name="_Toc361663145"/>
      <w:bookmarkStart w:id="3221" w:name="_Toc361857721"/>
      <w:bookmarkStart w:id="3222" w:name="_Toc361918813"/>
      <w:bookmarkStart w:id="3223" w:name="_Toc362272588"/>
      <w:r w:rsidRPr="00EA2915">
        <w:t>Ex Parte Presentations</w:t>
      </w:r>
      <w:bookmarkEnd w:id="3163"/>
      <w:bookmarkEnd w:id="3164"/>
      <w:bookmarkEnd w:id="3165"/>
      <w:bookmarkEnd w:id="3166"/>
      <w:bookmarkEnd w:id="3167"/>
      <w:bookmarkEnd w:id="3168"/>
      <w:bookmarkEnd w:id="3169"/>
      <w:bookmarkEnd w:id="3170"/>
      <w:bookmarkEnd w:id="3171"/>
      <w:bookmarkEnd w:id="3172"/>
      <w:bookmarkEnd w:id="3173"/>
      <w:bookmarkEnd w:id="3174"/>
      <w:bookmarkEnd w:id="3175"/>
      <w:bookmarkEnd w:id="3176"/>
      <w:bookmarkEnd w:id="3177"/>
      <w:bookmarkEnd w:id="3178"/>
      <w:bookmarkEnd w:id="3179"/>
      <w:bookmarkEnd w:id="3180"/>
      <w:bookmarkEnd w:id="3181"/>
      <w:bookmarkEnd w:id="3182"/>
      <w:bookmarkEnd w:id="3183"/>
      <w:bookmarkEnd w:id="3184"/>
      <w:bookmarkEnd w:id="3185"/>
      <w:bookmarkEnd w:id="3186"/>
      <w:bookmarkEnd w:id="3187"/>
      <w:bookmarkEnd w:id="3188"/>
      <w:bookmarkEnd w:id="3189"/>
      <w:bookmarkEnd w:id="3190"/>
      <w:bookmarkEnd w:id="3191"/>
      <w:bookmarkEnd w:id="3192"/>
      <w:bookmarkEnd w:id="3193"/>
      <w:bookmarkEnd w:id="3194"/>
      <w:bookmarkEnd w:id="3195"/>
      <w:bookmarkEnd w:id="3196"/>
      <w:bookmarkEnd w:id="3197"/>
      <w:bookmarkEnd w:id="3198"/>
      <w:bookmarkEnd w:id="3199"/>
      <w:bookmarkEnd w:id="3200"/>
      <w:bookmarkEnd w:id="3201"/>
      <w:bookmarkEnd w:id="3202"/>
      <w:bookmarkEnd w:id="3203"/>
      <w:bookmarkEnd w:id="3204"/>
      <w:bookmarkEnd w:id="3205"/>
      <w:bookmarkEnd w:id="3206"/>
      <w:bookmarkEnd w:id="3207"/>
      <w:bookmarkEnd w:id="3208"/>
      <w:bookmarkEnd w:id="3209"/>
      <w:bookmarkEnd w:id="3210"/>
      <w:bookmarkEnd w:id="3211"/>
      <w:bookmarkEnd w:id="3212"/>
      <w:bookmarkEnd w:id="3213"/>
      <w:bookmarkEnd w:id="3214"/>
      <w:bookmarkEnd w:id="3215"/>
      <w:bookmarkEnd w:id="3216"/>
      <w:bookmarkEnd w:id="3217"/>
      <w:bookmarkEnd w:id="3218"/>
      <w:bookmarkEnd w:id="3219"/>
      <w:bookmarkEnd w:id="3220"/>
      <w:bookmarkEnd w:id="3221"/>
      <w:bookmarkEnd w:id="3222"/>
      <w:bookmarkEnd w:id="3223"/>
    </w:p>
    <w:p w14:paraId="69202837" w14:textId="77777777" w:rsidR="000627C7" w:rsidRPr="0042202E" w:rsidRDefault="000627C7" w:rsidP="00F47042">
      <w:pPr>
        <w:pStyle w:val="ParaNum"/>
      </w:pPr>
      <w:r w:rsidRPr="00ED7D3D">
        <w:rPr>
          <w:u w:val="single"/>
        </w:rPr>
        <w:t>Permit-But-Disclose</w:t>
      </w:r>
      <w:r w:rsidRPr="00ED7D3D">
        <w:t xml:space="preserve">.  The proceeding this Public Notice initiates shall be treated as a “permit-but-disclose” proceeding in accordance with the Commission’s </w:t>
      </w:r>
      <w:r w:rsidRPr="00ED7D3D">
        <w:rPr>
          <w:i/>
          <w:iCs/>
        </w:rPr>
        <w:t xml:space="preserve">ex parte </w:t>
      </w:r>
      <w:r w:rsidRPr="00ED7D3D">
        <w:t>rules.</w:t>
      </w:r>
      <w:r w:rsidRPr="00715F31">
        <w:rPr>
          <w:vertAlign w:val="superscript"/>
        </w:rPr>
        <w:footnoteReference w:id="467"/>
      </w:r>
      <w:r w:rsidRPr="00ED7D3D">
        <w:t xml:space="preserve">  Persons making </w:t>
      </w:r>
      <w:r w:rsidRPr="00ED7D3D">
        <w:rPr>
          <w:i/>
        </w:rPr>
        <w:t xml:space="preserve">ex parte </w:t>
      </w:r>
      <w:r w:rsidRPr="00ED7D3D">
        <w:t xml:space="preserve">presentations must file a copy of any written presentation or a memorandum summarizing any oral presentation within two business days after the presentation (unless a different deadline applicable to the Sunshine period applies).  Persons making oral </w:t>
      </w:r>
      <w:r w:rsidRPr="00ED7D3D">
        <w:rPr>
          <w:i/>
          <w:iCs/>
        </w:rPr>
        <w:t xml:space="preserve">ex parte </w:t>
      </w:r>
      <w:r w:rsidRPr="00ED7D3D">
        <w:t xml:space="preserve">presentations are reminded that memoranda summarizing the presentation must (1) list all persons attending or otherwise participating in the meeting at which the </w:t>
      </w:r>
      <w:r w:rsidRPr="00ED7D3D">
        <w:rPr>
          <w:i/>
          <w:iCs/>
        </w:rPr>
        <w:t xml:space="preserve">ex parte </w:t>
      </w:r>
      <w:r w:rsidRPr="00ED7D3D">
        <w:t xml:space="preserve">presentation was made, and (2) summarize all data presented and arguments made during the presentation.  If the presentation consisted in whole or in part of the presentation of data or arguments already reflected in the presenter’s written comments, memoranda or other filings in the proceeding, the presenter may provide citations to such data or arguments in his or her prior comments, memoranda, or other filings (specifying the relevant page and/or paragraph numbers where such data or arguments can be found) in lieu of summarizing them in the memorandum.  Documents shown or given to Commission staff during </w:t>
      </w:r>
      <w:r w:rsidRPr="00ED7D3D">
        <w:rPr>
          <w:i/>
          <w:iCs/>
        </w:rPr>
        <w:t xml:space="preserve">ex parte </w:t>
      </w:r>
      <w:r w:rsidRPr="00ED7D3D">
        <w:t xml:space="preserve">meetings are deemed to be written </w:t>
      </w:r>
      <w:r w:rsidRPr="00ED7D3D">
        <w:rPr>
          <w:i/>
          <w:iCs/>
        </w:rPr>
        <w:t>ex parte</w:t>
      </w:r>
      <w:r w:rsidRPr="00ED7D3D">
        <w:t xml:space="preserve"> presentations and must be filed consistent with rule 1.1206(b).  In proceedings governed by rule 1.49(f) or for which the Commission has made available a method of electronic filing, written </w:t>
      </w:r>
      <w:r w:rsidRPr="00ED7D3D">
        <w:rPr>
          <w:i/>
          <w:iCs/>
        </w:rPr>
        <w:t xml:space="preserve">ex parte </w:t>
      </w:r>
      <w:r w:rsidRPr="00ED7D3D">
        <w:t xml:space="preserve">presentations and memoranda summarizing oral </w:t>
      </w:r>
      <w:r w:rsidRPr="00ED7D3D">
        <w:rPr>
          <w:i/>
          <w:iCs/>
        </w:rPr>
        <w:t xml:space="preserve">ex parte </w:t>
      </w:r>
      <w:r w:rsidRPr="00ED7D3D">
        <w:t xml:space="preserve">presentations, and all attachments thereto, must </w:t>
      </w:r>
      <w:r w:rsidRPr="00ED7D3D">
        <w:lastRenderedPageBreak/>
        <w:t>be filed through the electronic comment filing system available for that proceeding, and must be filed in their native format (</w:t>
      </w:r>
      <w:r w:rsidRPr="00ED7D3D">
        <w:rPr>
          <w:i/>
          <w:iCs/>
        </w:rPr>
        <w:t>e.g.</w:t>
      </w:r>
      <w:r w:rsidRPr="00ED7D3D">
        <w:t xml:space="preserve">, .doc, .xml, .ppt, searchable .pdf).  Participants in this proceeding should familiarize themselves with the Commission’s </w:t>
      </w:r>
      <w:r w:rsidRPr="00ED7D3D">
        <w:rPr>
          <w:i/>
          <w:iCs/>
        </w:rPr>
        <w:t xml:space="preserve">ex parte </w:t>
      </w:r>
      <w:r w:rsidRPr="00ED7D3D">
        <w:t>rules.</w:t>
      </w:r>
    </w:p>
    <w:p w14:paraId="11B3B1BB" w14:textId="77777777" w:rsidR="000627C7" w:rsidRDefault="000627C7" w:rsidP="00B9652C">
      <w:pPr>
        <w:pStyle w:val="Heading2"/>
      </w:pPr>
      <w:bookmarkStart w:id="3224" w:name="_Toc351647156"/>
      <w:bookmarkStart w:id="3225" w:name="_Toc352064107"/>
      <w:bookmarkStart w:id="3226" w:name="_Toc352064574"/>
      <w:bookmarkStart w:id="3227" w:name="_Toc352078351"/>
      <w:bookmarkStart w:id="3228" w:name="_Toc352078403"/>
      <w:bookmarkStart w:id="3229" w:name="_Toc352078465"/>
      <w:bookmarkStart w:id="3230" w:name="_Toc352079057"/>
      <w:bookmarkStart w:id="3231" w:name="_Toc352080418"/>
      <w:bookmarkStart w:id="3232" w:name="_Toc352139801"/>
      <w:bookmarkStart w:id="3233" w:name="_Toc354478104"/>
      <w:bookmarkStart w:id="3234" w:name="_Toc354478726"/>
      <w:bookmarkStart w:id="3235" w:name="_Toc354660742"/>
      <w:bookmarkStart w:id="3236" w:name="_Toc358208826"/>
      <w:bookmarkStart w:id="3237" w:name="_Toc358210330"/>
      <w:bookmarkStart w:id="3238" w:name="_Toc358210477"/>
      <w:bookmarkStart w:id="3239" w:name="_Toc358210654"/>
      <w:bookmarkStart w:id="3240" w:name="_Toc358210755"/>
      <w:bookmarkStart w:id="3241" w:name="_Toc358213690"/>
      <w:bookmarkStart w:id="3242" w:name="_Toc358213822"/>
      <w:bookmarkStart w:id="3243" w:name="_Toc358301315"/>
      <w:bookmarkStart w:id="3244" w:name="_Toc358720061"/>
      <w:bookmarkStart w:id="3245" w:name="_Toc358971287"/>
      <w:bookmarkStart w:id="3246" w:name="_Toc358974888"/>
      <w:bookmarkStart w:id="3247" w:name="_Toc358975786"/>
      <w:bookmarkStart w:id="3248" w:name="_Toc358975948"/>
      <w:bookmarkStart w:id="3249" w:name="_Toc358976189"/>
      <w:bookmarkStart w:id="3250" w:name="_Toc358981045"/>
      <w:bookmarkStart w:id="3251" w:name="_Toc358981161"/>
      <w:bookmarkStart w:id="3252" w:name="_Toc358982423"/>
      <w:bookmarkStart w:id="3253" w:name="_Toc358982513"/>
      <w:bookmarkStart w:id="3254" w:name="_Toc359239296"/>
      <w:bookmarkStart w:id="3255" w:name="_Toc359239353"/>
      <w:bookmarkStart w:id="3256" w:name="_Toc359252312"/>
      <w:bookmarkStart w:id="3257" w:name="_Toc359326061"/>
      <w:bookmarkStart w:id="3258" w:name="_Toc359333309"/>
      <w:bookmarkStart w:id="3259" w:name="_Toc359339963"/>
      <w:bookmarkStart w:id="3260" w:name="_Toc359343227"/>
      <w:bookmarkStart w:id="3261" w:name="_Toc359347036"/>
      <w:bookmarkStart w:id="3262" w:name="_Toc359598729"/>
      <w:bookmarkStart w:id="3263" w:name="_Toc359853221"/>
      <w:bookmarkStart w:id="3264" w:name="_Toc359853460"/>
      <w:bookmarkStart w:id="3265" w:name="_Toc359853720"/>
      <w:bookmarkStart w:id="3266" w:name="_Toc359858691"/>
      <w:bookmarkStart w:id="3267" w:name="_Toc359859636"/>
      <w:bookmarkStart w:id="3268" w:name="_Toc359940105"/>
      <w:bookmarkStart w:id="3269" w:name="_Toc360025480"/>
      <w:bookmarkStart w:id="3270" w:name="_Toc360107531"/>
      <w:bookmarkStart w:id="3271" w:name="_Toc360111655"/>
      <w:bookmarkStart w:id="3272" w:name="_Toc360172840"/>
      <w:bookmarkStart w:id="3273" w:name="_Toc360186181"/>
      <w:bookmarkStart w:id="3274" w:name="_Toc360186258"/>
      <w:bookmarkStart w:id="3275" w:name="_Toc360186462"/>
      <w:bookmarkStart w:id="3276" w:name="_Toc360186531"/>
      <w:bookmarkStart w:id="3277" w:name="_Toc360187335"/>
      <w:bookmarkStart w:id="3278" w:name="_Toc360187493"/>
      <w:bookmarkStart w:id="3279" w:name="_Toc360208941"/>
      <w:bookmarkStart w:id="3280" w:name="_Toc360212074"/>
      <w:bookmarkStart w:id="3281" w:name="_Toc361663146"/>
      <w:bookmarkStart w:id="3282" w:name="_Toc361857722"/>
      <w:bookmarkStart w:id="3283" w:name="_Toc361918814"/>
      <w:bookmarkStart w:id="3284" w:name="_Toc362272589"/>
      <w:r w:rsidRPr="00217ED6">
        <w:t>Comment Filing Procedures</w:t>
      </w:r>
      <w:bookmarkEnd w:id="3224"/>
      <w:bookmarkEnd w:id="3225"/>
      <w:bookmarkEnd w:id="3226"/>
      <w:bookmarkEnd w:id="3227"/>
      <w:bookmarkEnd w:id="3228"/>
      <w:bookmarkEnd w:id="3229"/>
      <w:bookmarkEnd w:id="3230"/>
      <w:bookmarkEnd w:id="3231"/>
      <w:bookmarkEnd w:id="3232"/>
      <w:bookmarkEnd w:id="3233"/>
      <w:bookmarkEnd w:id="3234"/>
      <w:bookmarkEnd w:id="3235"/>
      <w:bookmarkEnd w:id="3236"/>
      <w:bookmarkEnd w:id="3237"/>
      <w:bookmarkEnd w:id="3238"/>
      <w:bookmarkEnd w:id="3239"/>
      <w:bookmarkEnd w:id="3240"/>
      <w:bookmarkEnd w:id="3241"/>
      <w:bookmarkEnd w:id="3242"/>
      <w:bookmarkEnd w:id="3243"/>
      <w:bookmarkEnd w:id="3244"/>
      <w:bookmarkEnd w:id="3245"/>
      <w:bookmarkEnd w:id="3246"/>
      <w:bookmarkEnd w:id="3247"/>
      <w:bookmarkEnd w:id="3248"/>
      <w:bookmarkEnd w:id="3249"/>
      <w:bookmarkEnd w:id="3250"/>
      <w:bookmarkEnd w:id="3251"/>
      <w:bookmarkEnd w:id="3252"/>
      <w:bookmarkEnd w:id="3253"/>
      <w:bookmarkEnd w:id="3254"/>
      <w:bookmarkEnd w:id="3255"/>
      <w:bookmarkEnd w:id="3256"/>
      <w:bookmarkEnd w:id="3257"/>
      <w:bookmarkEnd w:id="3258"/>
      <w:bookmarkEnd w:id="3259"/>
      <w:bookmarkEnd w:id="3260"/>
      <w:bookmarkEnd w:id="3261"/>
      <w:bookmarkEnd w:id="3262"/>
      <w:bookmarkEnd w:id="3263"/>
      <w:bookmarkEnd w:id="3264"/>
      <w:bookmarkEnd w:id="3265"/>
      <w:bookmarkEnd w:id="3266"/>
      <w:bookmarkEnd w:id="3267"/>
      <w:bookmarkEnd w:id="3268"/>
      <w:bookmarkEnd w:id="3269"/>
      <w:bookmarkEnd w:id="3270"/>
      <w:bookmarkEnd w:id="3271"/>
      <w:bookmarkEnd w:id="3272"/>
      <w:bookmarkEnd w:id="3273"/>
      <w:bookmarkEnd w:id="3274"/>
      <w:bookmarkEnd w:id="3275"/>
      <w:bookmarkEnd w:id="3276"/>
      <w:bookmarkEnd w:id="3277"/>
      <w:bookmarkEnd w:id="3278"/>
      <w:bookmarkEnd w:id="3279"/>
      <w:bookmarkEnd w:id="3280"/>
      <w:bookmarkEnd w:id="3281"/>
      <w:bookmarkEnd w:id="3282"/>
      <w:bookmarkEnd w:id="3283"/>
      <w:bookmarkEnd w:id="3284"/>
    </w:p>
    <w:p w14:paraId="35B60E0E" w14:textId="467F2021" w:rsidR="000627C7" w:rsidRDefault="000627C7" w:rsidP="00F47042">
      <w:pPr>
        <w:pStyle w:val="ParaNum"/>
      </w:pPr>
      <w:r w:rsidRPr="00ED7D3D">
        <w:rPr>
          <w:u w:val="single"/>
        </w:rPr>
        <w:t>Comments and Replies</w:t>
      </w:r>
      <w:r w:rsidRPr="00715F31">
        <w:t xml:space="preserve">.  </w:t>
      </w:r>
      <w:r>
        <w:t xml:space="preserve">We invite comment on the issues and questions set forth in the NPRM and IRFA contained herein.  </w:t>
      </w:r>
      <w:r w:rsidRPr="00715F31">
        <w:t xml:space="preserve">Pursuant to sections 1.415 and 1.419 of the Commission’s rules, 47 CFR §§ 1.415, 1.419, interested parties may file comments </w:t>
      </w:r>
      <w:r>
        <w:t xml:space="preserve">on this NPRM </w:t>
      </w:r>
      <w:r w:rsidR="006705A4">
        <w:t xml:space="preserve">by September 16, 2013 </w:t>
      </w:r>
      <w:r>
        <w:t xml:space="preserve">and may file reply comments </w:t>
      </w:r>
      <w:r w:rsidR="006705A4">
        <w:t>by October 16, 2013</w:t>
      </w:r>
      <w:r>
        <w:t xml:space="preserve">.  </w:t>
      </w:r>
      <w:r w:rsidRPr="00ED7D3D">
        <w:rPr>
          <w:b/>
        </w:rPr>
        <w:t>All filings related to this NPRM shall refer to</w:t>
      </w:r>
      <w:r w:rsidR="00626CD5">
        <w:rPr>
          <w:b/>
        </w:rPr>
        <w:t xml:space="preserve"> WC Docket No. 13-184</w:t>
      </w:r>
      <w:r>
        <w:t xml:space="preserve">.  </w:t>
      </w:r>
      <w:r w:rsidRPr="008F7EEF">
        <w:t>Comments may be filed using</w:t>
      </w:r>
      <w:r w:rsidR="00291F81">
        <w:t xml:space="preserve"> </w:t>
      </w:r>
      <w:r w:rsidRPr="008F7EEF">
        <w:t>the Commission’s Electronic Comment Filing System (ECFS)</w:t>
      </w:r>
      <w:r>
        <w:t xml:space="preserve"> </w:t>
      </w:r>
      <w:r w:rsidRPr="008F7EEF">
        <w:t>or by filing paper copies.</w:t>
      </w:r>
      <w:r w:rsidRPr="00715F31">
        <w:t xml:space="preserve">  </w:t>
      </w:r>
      <w:r w:rsidRPr="00ED7D3D">
        <w:rPr>
          <w:i/>
        </w:rPr>
        <w:t>See Electronic Filing of Documents in Rulemaking Proceedings</w:t>
      </w:r>
      <w:r w:rsidRPr="00715F31">
        <w:t>, 63 FR 24121 (1998).</w:t>
      </w:r>
    </w:p>
    <w:p w14:paraId="2445EEA1" w14:textId="01B3BE25" w:rsidR="000627C7" w:rsidRDefault="000627C7" w:rsidP="004F322C">
      <w:pPr>
        <w:numPr>
          <w:ilvl w:val="0"/>
          <w:numId w:val="6"/>
        </w:numPr>
        <w:spacing w:after="120"/>
        <w:contextualSpacing/>
      </w:pPr>
      <w:r w:rsidRPr="00715F31">
        <w:t xml:space="preserve">Electronic Filers:  Comments may be filed electronically using the Internet by accessing the ECFS:  </w:t>
      </w:r>
      <w:hyperlink r:id="rId8" w:history="1">
        <w:r w:rsidR="00A333F8" w:rsidRPr="004F322C">
          <w:rPr>
            <w:rStyle w:val="Hyperlink"/>
          </w:rPr>
          <w:t>http://fjallfoss.fcc.gov/ecfs2/</w:t>
        </w:r>
      </w:hyperlink>
      <w:r w:rsidRPr="00715F31">
        <w:t>.</w:t>
      </w:r>
    </w:p>
    <w:p w14:paraId="20441123" w14:textId="77777777" w:rsidR="00D0630A" w:rsidRPr="00715F31" w:rsidRDefault="00D0630A" w:rsidP="004F322C">
      <w:pPr>
        <w:spacing w:after="120"/>
        <w:ind w:left="1080"/>
        <w:contextualSpacing/>
      </w:pPr>
    </w:p>
    <w:p w14:paraId="56E828FF" w14:textId="77777777" w:rsidR="00DB779D" w:rsidRDefault="000627C7" w:rsidP="004F322C">
      <w:pPr>
        <w:numPr>
          <w:ilvl w:val="0"/>
          <w:numId w:val="6"/>
        </w:numPr>
        <w:spacing w:after="120"/>
        <w:contextualSpacing/>
      </w:pPr>
      <w:r w:rsidRPr="00715F31">
        <w:t xml:space="preserve">Paper Filers:  Parties who choose to file by paper must file an original and one copy of each filing. </w:t>
      </w:r>
    </w:p>
    <w:p w14:paraId="48C9F06C" w14:textId="23799F12" w:rsidR="004408F8" w:rsidRDefault="000627C7" w:rsidP="00DB779D">
      <w:pPr>
        <w:spacing w:after="120"/>
        <w:contextualSpacing/>
      </w:pPr>
      <w:r w:rsidRPr="00715F31">
        <w:t xml:space="preserve"> </w:t>
      </w:r>
    </w:p>
    <w:p w14:paraId="20B1A8AC" w14:textId="77777777" w:rsidR="000627C7" w:rsidRPr="00715F31" w:rsidRDefault="000627C7" w:rsidP="00AB168E">
      <w:pPr>
        <w:numPr>
          <w:ilvl w:val="1"/>
          <w:numId w:val="6"/>
        </w:numPr>
        <w:contextualSpacing/>
      </w:pPr>
      <w:r w:rsidRPr="00715F31">
        <w:t>Filings can be sent by hand or messenger delivery, by commercial overnight courier, or by first-class or overnight U.S. Postal Service mail.  All filings must be addressed to the Commission’s Secretary, Office of the Secretary, Federal Communications Commission.</w:t>
      </w:r>
    </w:p>
    <w:p w14:paraId="5AA08841" w14:textId="77777777" w:rsidR="000627C7" w:rsidRPr="00715F31" w:rsidRDefault="000627C7" w:rsidP="00F47042"/>
    <w:p w14:paraId="5B98012D" w14:textId="77777777" w:rsidR="000627C7" w:rsidRPr="00715F31" w:rsidRDefault="000627C7" w:rsidP="00AB168E">
      <w:pPr>
        <w:numPr>
          <w:ilvl w:val="1"/>
          <w:numId w:val="6"/>
        </w:numPr>
        <w:contextualSpacing/>
      </w:pPr>
      <w:r w:rsidRPr="00715F31">
        <w:t>All hand-delivered or messenger-delivered paper filings for the Commission’s Secretary must be delivered to FCC Headquarters at 445 12</w:t>
      </w:r>
      <w:r w:rsidRPr="00715F31">
        <w:rPr>
          <w:vertAlign w:val="superscript"/>
        </w:rPr>
        <w:t>th</w:t>
      </w:r>
      <w:r w:rsidRPr="00715F31">
        <w:t xml:space="preserve"> St., SW, Room TW-A325, Washington, DC 20554.  The filing hours are 8:00 a.m. to 7:00 p.m.  All hand deliveries must be held together with rubber bands or fasteners.  Any envelopes and boxes must be disposed of </w:t>
      </w:r>
      <w:r w:rsidRPr="00715F31">
        <w:rPr>
          <w:u w:val="single"/>
        </w:rPr>
        <w:t>before</w:t>
      </w:r>
      <w:r w:rsidRPr="00715F31">
        <w:t xml:space="preserve"> entering the building.  </w:t>
      </w:r>
    </w:p>
    <w:p w14:paraId="7171F3D6" w14:textId="77777777" w:rsidR="000627C7" w:rsidRPr="00715F31" w:rsidRDefault="000627C7" w:rsidP="00F47042">
      <w:pPr>
        <w:ind w:left="1080"/>
      </w:pPr>
    </w:p>
    <w:p w14:paraId="3BA44670" w14:textId="77777777" w:rsidR="000627C7" w:rsidRDefault="000627C7" w:rsidP="00AB168E">
      <w:pPr>
        <w:numPr>
          <w:ilvl w:val="0"/>
          <w:numId w:val="5"/>
        </w:numPr>
        <w:contextualSpacing/>
      </w:pPr>
      <w:r w:rsidRPr="00715F31">
        <w:t>Commercial overnight mail (other than U.S. Postal Service Express Mail and Priority Mail) must be sent to 9300 East Hampton Drive, Capitol Heights, MD  20743.</w:t>
      </w:r>
      <w:r>
        <w:t xml:space="preserve">  </w:t>
      </w:r>
    </w:p>
    <w:p w14:paraId="282F0D88" w14:textId="77777777" w:rsidR="000627C7" w:rsidRDefault="000627C7" w:rsidP="00AB168E">
      <w:pPr>
        <w:contextualSpacing/>
      </w:pPr>
    </w:p>
    <w:p w14:paraId="3026E1E4" w14:textId="77777777" w:rsidR="000627C7" w:rsidRDefault="000627C7" w:rsidP="00AB168E">
      <w:pPr>
        <w:numPr>
          <w:ilvl w:val="0"/>
          <w:numId w:val="5"/>
        </w:numPr>
        <w:contextualSpacing/>
      </w:pPr>
      <w:r w:rsidRPr="009B3A8B">
        <w:t>U.S. Postal Service first-class, Express, and Priority mail must be addressed to 445 12</w:t>
      </w:r>
      <w:r w:rsidRPr="009B3A8B">
        <w:rPr>
          <w:vertAlign w:val="superscript"/>
        </w:rPr>
        <w:t>th</w:t>
      </w:r>
      <w:r w:rsidRPr="009B3A8B">
        <w:t xml:space="preserve"> Street, SW, Washington DC 20554</w:t>
      </w:r>
      <w:r>
        <w:t>.</w:t>
      </w:r>
    </w:p>
    <w:p w14:paraId="5EB4A63E" w14:textId="77777777" w:rsidR="000627C7" w:rsidRPr="009B3A8B" w:rsidRDefault="000627C7" w:rsidP="00AB168E">
      <w:pPr>
        <w:contextualSpacing/>
      </w:pPr>
    </w:p>
    <w:p w14:paraId="535A7E20" w14:textId="5BCFA862" w:rsidR="000627C7" w:rsidRPr="000A0548" w:rsidRDefault="000627C7" w:rsidP="004F322C">
      <w:pPr>
        <w:pStyle w:val="ListParagraph"/>
        <w:keepNext/>
        <w:spacing w:after="120"/>
        <w:ind w:left="0"/>
      </w:pPr>
      <w:r w:rsidRPr="000A0548">
        <w:rPr>
          <w:u w:val="single"/>
        </w:rPr>
        <w:t>People with Disabilities</w:t>
      </w:r>
      <w:r w:rsidRPr="00191448">
        <w:t xml:space="preserve">.  To request materials in accessible formats for people with disabilities (braille, large print, electronic files, audio format), send an e-mail to </w:t>
      </w:r>
      <w:hyperlink r:id="rId9" w:history="1">
        <w:r w:rsidRPr="00191448">
          <w:t>fcc504@fcc.gov</w:t>
        </w:r>
      </w:hyperlink>
      <w:r w:rsidRPr="00191448">
        <w:t xml:space="preserve"> or call the Consumer &amp; Governmental Affairs Bureau at 202-418-0530 (voi</w:t>
      </w:r>
      <w:r>
        <w:t>ce), 202-418-0432 (tty).</w:t>
      </w:r>
    </w:p>
    <w:p w14:paraId="51A57727" w14:textId="5EA5B109" w:rsidR="000627C7" w:rsidRPr="009B3A8B" w:rsidRDefault="000627C7" w:rsidP="00F47042">
      <w:pPr>
        <w:pStyle w:val="ParaNum"/>
      </w:pPr>
      <w:r>
        <w:t xml:space="preserve">In addition, one copy of each paper filing must be sent to each of the following: (1) </w:t>
      </w:r>
      <w:r w:rsidRPr="00EC4E77">
        <w:t>the Commission’s duplicating contractor, Best Copy and Printing, Inc., 445 12</w:t>
      </w:r>
      <w:r w:rsidRPr="00EC4E77">
        <w:rPr>
          <w:vertAlign w:val="superscript"/>
        </w:rPr>
        <w:t>th</w:t>
      </w:r>
      <w:r w:rsidRPr="00EC4E77">
        <w:t xml:space="preserve"> Street, SW, Room CY-B402, Washington, DC 20554; website: </w:t>
      </w:r>
      <w:hyperlink r:id="rId10" w:history="1">
        <w:r w:rsidRPr="00EC4E77">
          <w:rPr>
            <w:rStyle w:val="Hyperlink"/>
          </w:rPr>
          <w:t>www.bcpiweb.com</w:t>
        </w:r>
      </w:hyperlink>
      <w:r w:rsidRPr="00EC4E77">
        <w:t>; phone</w:t>
      </w:r>
      <w:r>
        <w:t>: (800) 378-3160; (2) Lisa Hone, Telecommunications Access Policy Division, Wireline Competition Bureau, 445 12</w:t>
      </w:r>
      <w:r w:rsidRPr="009B3A8B">
        <w:rPr>
          <w:vertAlign w:val="superscript"/>
        </w:rPr>
        <w:t>th</w:t>
      </w:r>
      <w:r>
        <w:t xml:space="preserve"> Street, SW, Room 6-A326, Washington, DC 20554; e-mail: </w:t>
      </w:r>
      <w:hyperlink r:id="rId11" w:history="1">
        <w:r w:rsidRPr="002530BF">
          <w:rPr>
            <w:rStyle w:val="Hyperlink"/>
          </w:rPr>
          <w:t>Lisa.Hone@fcc.gov</w:t>
        </w:r>
      </w:hyperlink>
      <w:r>
        <w:t xml:space="preserve">; and </w:t>
      </w:r>
      <w:r w:rsidR="00DB779D">
        <w:t xml:space="preserve">(3) </w:t>
      </w:r>
      <w:r>
        <w:t>Charles Tyler, Telecommunications Access Policy Division, Wireline Competition Bureau, 445 12</w:t>
      </w:r>
      <w:r w:rsidRPr="009B3A8B">
        <w:rPr>
          <w:vertAlign w:val="superscript"/>
        </w:rPr>
        <w:t>th</w:t>
      </w:r>
      <w:r>
        <w:t xml:space="preserve"> Street, SW, Room 5-A452, Washington, DC 20554; e-mail: </w:t>
      </w:r>
      <w:hyperlink r:id="rId12" w:history="1">
        <w:r w:rsidRPr="002530BF">
          <w:rPr>
            <w:rStyle w:val="Hyperlink"/>
          </w:rPr>
          <w:t>Charles.Tyler@fcc.gov</w:t>
        </w:r>
      </w:hyperlink>
      <w:r>
        <w:t xml:space="preserve">. </w:t>
      </w:r>
    </w:p>
    <w:p w14:paraId="53D8F1BA" w14:textId="6A07C736" w:rsidR="000627C7" w:rsidRDefault="000627C7" w:rsidP="00F47042">
      <w:pPr>
        <w:pStyle w:val="ParaNum"/>
      </w:pPr>
      <w:r w:rsidRPr="000A0548">
        <w:t xml:space="preserve">Filing and comments are also available for public inspection and copying during regular business hours at the FCC Reference Information Center, Portals II, </w:t>
      </w:r>
      <w:r>
        <w:t>445 12</w:t>
      </w:r>
      <w:r w:rsidRPr="000A0548">
        <w:rPr>
          <w:vertAlign w:val="superscript"/>
        </w:rPr>
        <w:t>th</w:t>
      </w:r>
      <w:r>
        <w:t xml:space="preserve"> Street, SW, Room CY-A257, Washington, DC 20554.  Copies may also be purchased from the Commission’s duplicating contractor, </w:t>
      </w:r>
      <w:r w:rsidRPr="00EC4E77">
        <w:t>BCPI, 445 12</w:t>
      </w:r>
      <w:r w:rsidRPr="00EC4E77">
        <w:rPr>
          <w:vertAlign w:val="superscript"/>
        </w:rPr>
        <w:t>th</w:t>
      </w:r>
      <w:r w:rsidRPr="00EC4E77">
        <w:t xml:space="preserve"> Street, SW, Room CY-B402, Washington, DC 20554.  Customers may contact BCPI through its website: </w:t>
      </w:r>
      <w:hyperlink r:id="rId13" w:history="1">
        <w:r w:rsidRPr="00EC4E77">
          <w:rPr>
            <w:rStyle w:val="Hyperlink"/>
          </w:rPr>
          <w:t>www.bcpi.com</w:t>
        </w:r>
      </w:hyperlink>
      <w:r w:rsidRPr="00EC4E77">
        <w:t xml:space="preserve">, by e-mail at </w:t>
      </w:r>
      <w:hyperlink r:id="rId14" w:history="1">
        <w:r w:rsidRPr="00EC4E77">
          <w:rPr>
            <w:rStyle w:val="Hyperlink"/>
          </w:rPr>
          <w:t>fcc@bcpiweb.com</w:t>
        </w:r>
      </w:hyperlink>
      <w:r w:rsidRPr="00EC4E77">
        <w:t>, by telephone at (202) 488-5300 or (800) 378-3160 or by facsimile at (202) 488-5563</w:t>
      </w:r>
      <w:r>
        <w:t xml:space="preserve">. </w:t>
      </w:r>
    </w:p>
    <w:p w14:paraId="44BE4F40" w14:textId="77777777" w:rsidR="000627C7" w:rsidRPr="000A0548" w:rsidRDefault="000627C7" w:rsidP="00F47042">
      <w:pPr>
        <w:pStyle w:val="ParaNum"/>
      </w:pPr>
      <w:r w:rsidRPr="000A0548">
        <w:t xml:space="preserve">Comments and reply comments must include a short and concise summary of the substantive arguments raised in the pleading.  Comments and reply comments must also comply with section 1.49 and all other applicable sections of the Commission’s rules.  We direct all interested parties to include the name of the filing party and the date of the filing on each page of their comments and reply comments.  All parties are encouraged to utilize a table of contents, regardless of the length of their submission.  We also strongly encourage parties to track the organization set forth in the NPRM in order to facilitate or internal review process. </w:t>
      </w:r>
    </w:p>
    <w:p w14:paraId="53F32C8E" w14:textId="77777777" w:rsidR="000627C7" w:rsidRPr="00D82831" w:rsidRDefault="000627C7" w:rsidP="00F47042">
      <w:pPr>
        <w:pStyle w:val="ParaNum"/>
      </w:pPr>
      <w:r w:rsidRPr="000A0548">
        <w:t>For additional information on this proceeding</w:t>
      </w:r>
      <w:r w:rsidRPr="00EC4E77">
        <w:t>, contact Regina Brown at (202) 418-0792 or James Bachtell at (202) 418-2694</w:t>
      </w:r>
      <w:r w:rsidRPr="000A0548">
        <w:t xml:space="preserve"> in the Telecommunications Access Policy Division, Wireline Competition Bureau.</w:t>
      </w:r>
    </w:p>
    <w:p w14:paraId="3301296A" w14:textId="77777777" w:rsidR="000627C7" w:rsidRPr="008A387A" w:rsidRDefault="000627C7" w:rsidP="00B9652C">
      <w:pPr>
        <w:pStyle w:val="Heading1"/>
      </w:pPr>
      <w:bookmarkStart w:id="3285" w:name="_Toc352064575"/>
      <w:bookmarkStart w:id="3286" w:name="_Toc352078352"/>
      <w:bookmarkStart w:id="3287" w:name="_Toc352078404"/>
      <w:bookmarkStart w:id="3288" w:name="_Toc352078466"/>
      <w:bookmarkStart w:id="3289" w:name="_Toc352079058"/>
      <w:bookmarkStart w:id="3290" w:name="_Toc352080419"/>
      <w:bookmarkStart w:id="3291" w:name="_Toc352139802"/>
      <w:bookmarkStart w:id="3292" w:name="_Toc354478105"/>
      <w:bookmarkStart w:id="3293" w:name="_Toc354478727"/>
      <w:bookmarkStart w:id="3294" w:name="_Toc354660743"/>
      <w:bookmarkStart w:id="3295" w:name="_Toc358208827"/>
      <w:bookmarkStart w:id="3296" w:name="_Toc358210331"/>
      <w:bookmarkStart w:id="3297" w:name="_Toc358210478"/>
      <w:bookmarkStart w:id="3298" w:name="_Toc358210655"/>
      <w:bookmarkStart w:id="3299" w:name="_Toc358210756"/>
      <w:bookmarkStart w:id="3300" w:name="_Toc358213691"/>
      <w:bookmarkStart w:id="3301" w:name="_Toc358213823"/>
      <w:bookmarkStart w:id="3302" w:name="_Toc358301316"/>
      <w:bookmarkStart w:id="3303" w:name="_Toc358720062"/>
      <w:bookmarkStart w:id="3304" w:name="_Toc358971288"/>
      <w:bookmarkStart w:id="3305" w:name="_Toc358974889"/>
      <w:bookmarkStart w:id="3306" w:name="_Toc358975787"/>
      <w:bookmarkStart w:id="3307" w:name="_Toc358975949"/>
      <w:bookmarkStart w:id="3308" w:name="_Toc358976190"/>
      <w:bookmarkStart w:id="3309" w:name="_Toc358981046"/>
      <w:bookmarkStart w:id="3310" w:name="_Toc358981162"/>
      <w:bookmarkStart w:id="3311" w:name="_Toc358982424"/>
      <w:bookmarkStart w:id="3312" w:name="_Toc358982514"/>
      <w:bookmarkStart w:id="3313" w:name="_Toc359239297"/>
      <w:bookmarkStart w:id="3314" w:name="_Toc359239354"/>
      <w:bookmarkStart w:id="3315" w:name="_Toc359252313"/>
      <w:bookmarkStart w:id="3316" w:name="_Toc359326062"/>
      <w:bookmarkStart w:id="3317" w:name="_Toc359333310"/>
      <w:bookmarkStart w:id="3318" w:name="_Toc359339964"/>
      <w:bookmarkStart w:id="3319" w:name="_Toc359343228"/>
      <w:bookmarkStart w:id="3320" w:name="_Toc359347037"/>
      <w:bookmarkStart w:id="3321" w:name="_Toc359598730"/>
      <w:bookmarkStart w:id="3322" w:name="_Toc359853222"/>
      <w:bookmarkStart w:id="3323" w:name="_Toc359853461"/>
      <w:bookmarkStart w:id="3324" w:name="_Toc359853721"/>
      <w:bookmarkStart w:id="3325" w:name="_Toc359858692"/>
      <w:bookmarkStart w:id="3326" w:name="_Toc359859637"/>
      <w:bookmarkStart w:id="3327" w:name="_Toc359940106"/>
      <w:bookmarkStart w:id="3328" w:name="_Toc360025481"/>
      <w:bookmarkStart w:id="3329" w:name="_Toc360107532"/>
      <w:bookmarkStart w:id="3330" w:name="_Toc360111656"/>
      <w:bookmarkStart w:id="3331" w:name="_Toc360172841"/>
      <w:bookmarkStart w:id="3332" w:name="_Toc360186182"/>
      <w:bookmarkStart w:id="3333" w:name="_Toc360186259"/>
      <w:bookmarkStart w:id="3334" w:name="_Toc360186463"/>
      <w:bookmarkStart w:id="3335" w:name="_Toc360186532"/>
      <w:bookmarkStart w:id="3336" w:name="_Toc360187336"/>
      <w:bookmarkStart w:id="3337" w:name="_Toc360187494"/>
      <w:bookmarkStart w:id="3338" w:name="_Toc360208942"/>
      <w:bookmarkStart w:id="3339" w:name="_Toc360212075"/>
      <w:bookmarkStart w:id="3340" w:name="_Toc361663147"/>
      <w:bookmarkStart w:id="3341" w:name="_Toc361857723"/>
      <w:bookmarkStart w:id="3342" w:name="_Toc361918815"/>
      <w:bookmarkStart w:id="3343" w:name="_Toc362272590"/>
      <w:r w:rsidRPr="008A387A">
        <w:t>order</w:t>
      </w:r>
      <w:r>
        <w:t>i</w:t>
      </w:r>
      <w:r w:rsidRPr="008A387A">
        <w:t>ng clauses</w:t>
      </w:r>
      <w:bookmarkEnd w:id="2980"/>
      <w:bookmarkEnd w:id="3285"/>
      <w:bookmarkEnd w:id="3286"/>
      <w:bookmarkEnd w:id="3287"/>
      <w:bookmarkEnd w:id="3288"/>
      <w:bookmarkEnd w:id="3289"/>
      <w:bookmarkEnd w:id="3290"/>
      <w:bookmarkEnd w:id="3291"/>
      <w:bookmarkEnd w:id="3292"/>
      <w:bookmarkEnd w:id="3293"/>
      <w:bookmarkEnd w:id="3294"/>
      <w:bookmarkEnd w:id="3295"/>
      <w:bookmarkEnd w:id="3296"/>
      <w:bookmarkEnd w:id="3297"/>
      <w:bookmarkEnd w:id="3298"/>
      <w:bookmarkEnd w:id="3299"/>
      <w:bookmarkEnd w:id="3300"/>
      <w:bookmarkEnd w:id="3301"/>
      <w:bookmarkEnd w:id="3302"/>
      <w:bookmarkEnd w:id="3303"/>
      <w:bookmarkEnd w:id="3304"/>
      <w:bookmarkEnd w:id="3305"/>
      <w:bookmarkEnd w:id="3306"/>
      <w:bookmarkEnd w:id="3307"/>
      <w:bookmarkEnd w:id="3308"/>
      <w:bookmarkEnd w:id="3309"/>
      <w:bookmarkEnd w:id="3310"/>
      <w:bookmarkEnd w:id="3311"/>
      <w:bookmarkEnd w:id="3312"/>
      <w:bookmarkEnd w:id="3313"/>
      <w:bookmarkEnd w:id="3314"/>
      <w:bookmarkEnd w:id="3315"/>
      <w:bookmarkEnd w:id="3316"/>
      <w:bookmarkEnd w:id="3317"/>
      <w:bookmarkEnd w:id="3318"/>
      <w:bookmarkEnd w:id="3319"/>
      <w:bookmarkEnd w:id="3320"/>
      <w:bookmarkEnd w:id="3321"/>
      <w:bookmarkEnd w:id="3322"/>
      <w:bookmarkEnd w:id="3323"/>
      <w:bookmarkEnd w:id="3324"/>
      <w:bookmarkEnd w:id="3325"/>
      <w:bookmarkEnd w:id="3326"/>
      <w:bookmarkEnd w:id="3327"/>
      <w:bookmarkEnd w:id="3328"/>
      <w:bookmarkEnd w:id="3329"/>
      <w:bookmarkEnd w:id="3330"/>
      <w:bookmarkEnd w:id="3331"/>
      <w:bookmarkEnd w:id="3332"/>
      <w:bookmarkEnd w:id="3333"/>
      <w:bookmarkEnd w:id="3334"/>
      <w:bookmarkEnd w:id="3335"/>
      <w:bookmarkEnd w:id="3336"/>
      <w:bookmarkEnd w:id="3337"/>
      <w:bookmarkEnd w:id="3338"/>
      <w:bookmarkEnd w:id="3339"/>
      <w:bookmarkEnd w:id="3340"/>
      <w:bookmarkEnd w:id="3341"/>
      <w:bookmarkEnd w:id="3342"/>
      <w:bookmarkEnd w:id="3343"/>
    </w:p>
    <w:p w14:paraId="4E9E9B94" w14:textId="77777777" w:rsidR="000627C7" w:rsidRPr="00217ED6" w:rsidRDefault="000627C7" w:rsidP="00F47042">
      <w:pPr>
        <w:pStyle w:val="ParaNum"/>
      </w:pPr>
      <w:r w:rsidRPr="00217ED6">
        <w:t xml:space="preserve">Accordingly, IT IS ORDERED that, pursuant to the authority contained in sections 1 through 4, 201-205, 254, 303(r), and 403 of the Communications Act of 1934, as amended by the Telecommunications Act of 1996, 47 U.S.C. §§ 151 through </w:t>
      </w:r>
      <w:r w:rsidRPr="00217ED6">
        <w:lastRenderedPageBreak/>
        <w:t xml:space="preserve">154, 201 through 205, 254, 303(r), and 403, this Notice of Proposed Rulemaking IS ADOPTED.  </w:t>
      </w:r>
    </w:p>
    <w:p w14:paraId="35C34EF7" w14:textId="77777777" w:rsidR="000627C7" w:rsidRPr="000A0548" w:rsidRDefault="000627C7" w:rsidP="002F34FB">
      <w:pPr>
        <w:pStyle w:val="ParaNum"/>
      </w:pPr>
      <w:r w:rsidRPr="008A387A">
        <w:t xml:space="preserve">IT IS FURTHER ORDERED that the Commission’s Consumer and Governmental Affairs Bureau, Reference Information Center, SHALL SEND a copy of this Notice of Proposed Rulemaking, including the Initial Regulatory Flexibility Analysis, to the Chief Counsel for Advocacy of the Small Business Administration.  </w:t>
      </w:r>
    </w:p>
    <w:p w14:paraId="6077CA43" w14:textId="77777777" w:rsidR="00F76AF4" w:rsidRDefault="00F76AF4" w:rsidP="00F76AF4"/>
    <w:p w14:paraId="217090C1" w14:textId="3B806290" w:rsidR="000627C7" w:rsidRDefault="000627C7" w:rsidP="00F76AF4">
      <w:pPr>
        <w:ind w:left="3600" w:firstLine="720"/>
      </w:pPr>
      <w:r w:rsidRPr="008A387A">
        <w:t>FEDERAL COMMUNICATIONS COMMISSION</w:t>
      </w:r>
    </w:p>
    <w:p w14:paraId="0311D5DC" w14:textId="77777777" w:rsidR="00BD48DA" w:rsidRDefault="00BD48DA" w:rsidP="004F322C">
      <w:pPr>
        <w:ind w:left="5040"/>
      </w:pPr>
    </w:p>
    <w:p w14:paraId="3F6F8F21" w14:textId="77777777" w:rsidR="00BD48DA" w:rsidRDefault="00BD48DA" w:rsidP="008A6123">
      <w:pPr>
        <w:ind w:left="5040"/>
      </w:pPr>
    </w:p>
    <w:p w14:paraId="35D2BEFA" w14:textId="77777777" w:rsidR="00BD48DA" w:rsidRDefault="00BD48DA" w:rsidP="008A6123">
      <w:pPr>
        <w:ind w:left="5040"/>
      </w:pPr>
    </w:p>
    <w:p w14:paraId="70F55C6D" w14:textId="77777777" w:rsidR="00BD48DA" w:rsidRDefault="00BD48DA" w:rsidP="008A6123">
      <w:pPr>
        <w:ind w:left="5040"/>
      </w:pPr>
    </w:p>
    <w:p w14:paraId="7713B168" w14:textId="6E97432E" w:rsidR="000627C7" w:rsidRDefault="000627C7" w:rsidP="00F47042">
      <w:pPr>
        <w:ind w:left="1440"/>
      </w:pPr>
      <w:r w:rsidRPr="008A387A">
        <w:tab/>
      </w:r>
      <w:r w:rsidRPr="008A387A">
        <w:tab/>
      </w:r>
      <w:r w:rsidRPr="008A387A">
        <w:tab/>
      </w:r>
      <w:r w:rsidRPr="008A387A">
        <w:tab/>
        <w:t>Marlene H. Dortch</w:t>
      </w:r>
    </w:p>
    <w:p w14:paraId="08AA6979" w14:textId="3BF9298E" w:rsidR="00372DAB" w:rsidRDefault="000627C7" w:rsidP="00F47042">
      <w:pPr>
        <w:ind w:left="720"/>
      </w:pPr>
      <w:r w:rsidRPr="008A387A">
        <w:tab/>
      </w:r>
      <w:r w:rsidRPr="008A387A">
        <w:tab/>
      </w:r>
      <w:r w:rsidRPr="008A387A">
        <w:tab/>
      </w:r>
      <w:r w:rsidRPr="008A387A">
        <w:tab/>
      </w:r>
      <w:r w:rsidRPr="008A387A">
        <w:tab/>
        <w:t>Secretary</w:t>
      </w:r>
    </w:p>
    <w:p w14:paraId="4989D772" w14:textId="70FAB604" w:rsidR="000627C7" w:rsidRDefault="000627C7" w:rsidP="00F47042">
      <w:pPr>
        <w:ind w:left="720"/>
      </w:pPr>
      <w:r w:rsidRPr="008A387A">
        <w:tab/>
      </w:r>
    </w:p>
    <w:p w14:paraId="481B0336" w14:textId="77777777" w:rsidR="000627C7" w:rsidRDefault="000627C7" w:rsidP="00F47042">
      <w:pPr>
        <w:tabs>
          <w:tab w:val="num" w:pos="1440"/>
        </w:tabs>
      </w:pPr>
    </w:p>
    <w:p w14:paraId="3CBD40F7" w14:textId="77777777" w:rsidR="00F935B1" w:rsidRDefault="00F935B1" w:rsidP="00F935B1">
      <w:pPr>
        <w:ind w:left="720"/>
      </w:pPr>
    </w:p>
    <w:p w14:paraId="43720DD6" w14:textId="77777777" w:rsidR="00F935B1" w:rsidRDefault="00F935B1" w:rsidP="00F935B1">
      <w:pPr>
        <w:ind w:left="720"/>
      </w:pPr>
      <w:r w:rsidRPr="008A387A">
        <w:tab/>
      </w:r>
    </w:p>
    <w:p w14:paraId="098996DF" w14:textId="77777777" w:rsidR="00F935B1" w:rsidRDefault="00F935B1" w:rsidP="00F935B1">
      <w:pPr>
        <w:sectPr w:rsidR="00F935B1" w:rsidSect="0029626B">
          <w:headerReference w:type="even" r:id="rId15"/>
          <w:headerReference w:type="default" r:id="rId16"/>
          <w:footerReference w:type="even" r:id="rId17"/>
          <w:footerReference w:type="default" r:id="rId18"/>
          <w:headerReference w:type="first" r:id="rId19"/>
          <w:footerReference w:type="first" r:id="rId20"/>
          <w:endnotePr>
            <w:numFmt w:val="decimal"/>
          </w:endnotePr>
          <w:pgSz w:w="12240" w:h="15840"/>
          <w:pgMar w:top="1440" w:right="1440" w:bottom="720" w:left="1440" w:header="720" w:footer="720" w:gutter="0"/>
          <w:pgNumType w:start="1"/>
          <w:cols w:space="720"/>
          <w:noEndnote/>
          <w:titlePg/>
        </w:sectPr>
      </w:pPr>
    </w:p>
    <w:p w14:paraId="6376462D" w14:textId="77777777" w:rsidR="007616DA" w:rsidRDefault="007616DA" w:rsidP="007616DA">
      <w:pPr>
        <w:keepNext/>
        <w:jc w:val="center"/>
        <w:rPr>
          <w:b/>
          <w:szCs w:val="22"/>
        </w:rPr>
      </w:pPr>
      <w:r w:rsidRPr="0082568B">
        <w:rPr>
          <w:b/>
          <w:szCs w:val="22"/>
        </w:rPr>
        <w:lastRenderedPageBreak/>
        <w:t>APPENDIX A</w:t>
      </w:r>
    </w:p>
    <w:p w14:paraId="0177A122" w14:textId="77777777" w:rsidR="007616DA" w:rsidRPr="0082568B" w:rsidRDefault="007616DA" w:rsidP="007616DA">
      <w:pPr>
        <w:keepNext/>
        <w:jc w:val="center"/>
        <w:rPr>
          <w:b/>
          <w:szCs w:val="22"/>
        </w:rPr>
      </w:pPr>
    </w:p>
    <w:p w14:paraId="656D4DFF" w14:textId="77777777" w:rsidR="007616DA" w:rsidRPr="0082568B" w:rsidRDefault="007616DA" w:rsidP="007616DA">
      <w:pPr>
        <w:spacing w:after="220"/>
        <w:jc w:val="center"/>
        <w:rPr>
          <w:b/>
          <w:szCs w:val="22"/>
        </w:rPr>
      </w:pPr>
      <w:r w:rsidRPr="0082568B">
        <w:rPr>
          <w:b/>
          <w:szCs w:val="22"/>
        </w:rPr>
        <w:t>Proposed Rules</w:t>
      </w:r>
    </w:p>
    <w:p w14:paraId="2D5615C4" w14:textId="77777777" w:rsidR="007616DA" w:rsidRPr="0082568B" w:rsidRDefault="007616DA" w:rsidP="007616DA">
      <w:pPr>
        <w:pStyle w:val="ParaNum"/>
        <w:numPr>
          <w:ilvl w:val="0"/>
          <w:numId w:val="0"/>
        </w:numPr>
        <w:spacing w:after="220"/>
      </w:pPr>
      <w:r w:rsidRPr="0082568B">
        <w:t>For the reasons discussed in the preamble, the Federal Communications Commission proposes to am</w:t>
      </w:r>
      <w:r>
        <w:t>end 47 C.F.R. Part 54, Subpart F</w:t>
      </w:r>
      <w:r w:rsidRPr="0082568B">
        <w:t>, as follows:</w:t>
      </w:r>
    </w:p>
    <w:p w14:paraId="5A8DD53F" w14:textId="77777777" w:rsidR="007616DA" w:rsidRPr="0082568B" w:rsidRDefault="007616DA" w:rsidP="007616DA">
      <w:pPr>
        <w:pStyle w:val="ParaNum"/>
        <w:numPr>
          <w:ilvl w:val="0"/>
          <w:numId w:val="0"/>
        </w:numPr>
        <w:spacing w:after="220"/>
        <w:jc w:val="center"/>
        <w:rPr>
          <w:rFonts w:cs="Helvetica-Bold"/>
          <w:b/>
          <w:bCs/>
          <w:szCs w:val="18"/>
        </w:rPr>
      </w:pPr>
      <w:r w:rsidRPr="0082568B">
        <w:rPr>
          <w:rFonts w:cs="Helvetica-Bold"/>
          <w:b/>
          <w:bCs/>
          <w:szCs w:val="18"/>
        </w:rPr>
        <w:t>PART 54—UNIVERSAL SERVICE</w:t>
      </w:r>
    </w:p>
    <w:p w14:paraId="0E3AB1F3" w14:textId="77777777" w:rsidR="007616DA" w:rsidRPr="0082568B" w:rsidRDefault="007616DA" w:rsidP="007616DA">
      <w:pPr>
        <w:autoSpaceDE w:val="0"/>
        <w:autoSpaceDN w:val="0"/>
        <w:adjustRightInd w:val="0"/>
        <w:spacing w:after="220"/>
        <w:jc w:val="center"/>
        <w:rPr>
          <w:b/>
        </w:rPr>
      </w:pPr>
      <w:r>
        <w:rPr>
          <w:rFonts w:cs="Helvetica-Bold"/>
          <w:b/>
          <w:bCs/>
          <w:szCs w:val="18"/>
        </w:rPr>
        <w:t>Subpart F</w:t>
      </w:r>
      <w:r w:rsidRPr="0082568B">
        <w:rPr>
          <w:rFonts w:cs="Helvetica-Bold"/>
          <w:b/>
          <w:bCs/>
          <w:szCs w:val="18"/>
        </w:rPr>
        <w:t>—</w:t>
      </w:r>
      <w:r>
        <w:rPr>
          <w:rFonts w:cs="Helvetica-Bold"/>
          <w:b/>
          <w:bCs/>
          <w:szCs w:val="18"/>
        </w:rPr>
        <w:t>Universal Service Support for Schools and Libraries</w:t>
      </w:r>
    </w:p>
    <w:p w14:paraId="7CC96581" w14:textId="77777777" w:rsidR="007616DA" w:rsidRPr="00310C5B" w:rsidRDefault="007616DA" w:rsidP="007616DA">
      <w:pPr>
        <w:pStyle w:val="ParaNum"/>
        <w:numPr>
          <w:ilvl w:val="0"/>
          <w:numId w:val="0"/>
        </w:numPr>
        <w:spacing w:after="220"/>
        <w:rPr>
          <w:szCs w:val="22"/>
        </w:rPr>
      </w:pPr>
      <w:r w:rsidRPr="00310C5B">
        <w:rPr>
          <w:b/>
          <w:szCs w:val="22"/>
        </w:rPr>
        <w:t>1.</w:t>
      </w:r>
      <w:r w:rsidRPr="00310C5B">
        <w:rPr>
          <w:b/>
          <w:szCs w:val="22"/>
        </w:rPr>
        <w:tab/>
      </w:r>
      <w:r w:rsidRPr="00310C5B">
        <w:rPr>
          <w:szCs w:val="22"/>
        </w:rPr>
        <w:t>The authority citation for Part 54 continues to read as follows:</w:t>
      </w:r>
    </w:p>
    <w:p w14:paraId="554808D6" w14:textId="77777777" w:rsidR="007616DA" w:rsidRPr="00310C5B" w:rsidRDefault="007616DA" w:rsidP="007616DA">
      <w:pPr>
        <w:autoSpaceDE w:val="0"/>
        <w:spacing w:after="220"/>
        <w:ind w:left="720"/>
        <w:rPr>
          <w:rFonts w:eastAsia="MS Mincho"/>
          <w:szCs w:val="22"/>
          <w:lang w:eastAsia="ja-JP"/>
        </w:rPr>
      </w:pPr>
      <w:r w:rsidRPr="00310C5B">
        <w:rPr>
          <w:rFonts w:eastAsia="MS Mincho"/>
          <w:szCs w:val="22"/>
          <w:lang w:eastAsia="ja-JP"/>
        </w:rPr>
        <w:t>47 U.S.C. 151, 154(i), 201, 205, 214, 219, 220, 254, 303(r), 403, and 1302 unless otherwise noted.</w:t>
      </w:r>
    </w:p>
    <w:p w14:paraId="4787E710" w14:textId="77777777" w:rsidR="007616DA" w:rsidRDefault="007616DA" w:rsidP="007616DA">
      <w:pPr>
        <w:autoSpaceDE w:val="0"/>
        <w:spacing w:after="220"/>
        <w:ind w:left="720" w:hanging="720"/>
        <w:rPr>
          <w:rFonts w:eastAsia="MS Mincho"/>
          <w:szCs w:val="22"/>
          <w:lang w:eastAsia="ja-JP"/>
        </w:rPr>
      </w:pPr>
      <w:r>
        <w:rPr>
          <w:rFonts w:eastAsia="MS Mincho"/>
          <w:b/>
          <w:szCs w:val="22"/>
          <w:lang w:eastAsia="ja-JP"/>
        </w:rPr>
        <w:t>2.</w:t>
      </w:r>
      <w:r>
        <w:rPr>
          <w:rFonts w:eastAsia="MS Mincho"/>
          <w:b/>
          <w:szCs w:val="22"/>
          <w:lang w:eastAsia="ja-JP"/>
        </w:rPr>
        <w:tab/>
      </w:r>
      <w:r>
        <w:rPr>
          <w:rFonts w:eastAsia="MS Mincho"/>
          <w:szCs w:val="22"/>
          <w:lang w:eastAsia="ja-JP"/>
        </w:rPr>
        <w:t>Amend § 54.503 by adding paragraphs (b)(1) and (b)(2) and by revising paragraph (c)(2) to read as follows:</w:t>
      </w:r>
    </w:p>
    <w:p w14:paraId="43B82B2D" w14:textId="77777777" w:rsidR="007616DA" w:rsidRDefault="007616DA" w:rsidP="007616DA">
      <w:pPr>
        <w:autoSpaceDE w:val="0"/>
        <w:spacing w:after="220"/>
        <w:rPr>
          <w:rFonts w:eastAsia="MS Mincho"/>
          <w:b/>
          <w:szCs w:val="22"/>
          <w:lang w:eastAsia="ja-JP"/>
        </w:rPr>
      </w:pPr>
      <w:r>
        <w:rPr>
          <w:rFonts w:eastAsia="MS Mincho"/>
          <w:szCs w:val="22"/>
          <w:lang w:eastAsia="ja-JP"/>
        </w:rPr>
        <w:tab/>
      </w:r>
      <w:r>
        <w:rPr>
          <w:rFonts w:eastAsia="MS Mincho"/>
          <w:b/>
          <w:szCs w:val="22"/>
          <w:lang w:eastAsia="ja-JP"/>
        </w:rPr>
        <w:t>§ 54.503 Competitive bidding requirements.</w:t>
      </w:r>
    </w:p>
    <w:p w14:paraId="0B5D3970" w14:textId="77777777" w:rsidR="007616DA" w:rsidRDefault="007616DA" w:rsidP="007616DA">
      <w:pPr>
        <w:autoSpaceDE w:val="0"/>
        <w:spacing w:after="220"/>
        <w:rPr>
          <w:rFonts w:eastAsia="MS Mincho"/>
          <w:szCs w:val="22"/>
          <w:lang w:eastAsia="ja-JP"/>
        </w:rPr>
      </w:pPr>
      <w:r>
        <w:rPr>
          <w:rFonts w:eastAsia="MS Mincho"/>
          <w:b/>
          <w:szCs w:val="22"/>
          <w:lang w:eastAsia="ja-JP"/>
        </w:rPr>
        <w:tab/>
      </w:r>
      <w:r>
        <w:rPr>
          <w:rFonts w:eastAsia="MS Mincho"/>
          <w:szCs w:val="22"/>
          <w:lang w:eastAsia="ja-JP"/>
        </w:rPr>
        <w:t xml:space="preserve"> </w:t>
      </w:r>
      <w:r>
        <w:rPr>
          <w:rFonts w:eastAsia="MS Mincho"/>
          <w:szCs w:val="22"/>
          <w:lang w:eastAsia="ja-JP"/>
        </w:rPr>
        <w:tab/>
        <w:t>* * * * *</w:t>
      </w:r>
    </w:p>
    <w:p w14:paraId="12713A3C" w14:textId="77777777" w:rsidR="007616DA" w:rsidRDefault="007616DA" w:rsidP="007616DA">
      <w:pPr>
        <w:autoSpaceDE w:val="0"/>
        <w:spacing w:after="220"/>
        <w:ind w:firstLine="720"/>
        <w:rPr>
          <w:rFonts w:eastAsia="MS Mincho"/>
          <w:i/>
          <w:szCs w:val="22"/>
          <w:lang w:eastAsia="ja-JP"/>
        </w:rPr>
      </w:pPr>
      <w:r>
        <w:rPr>
          <w:rFonts w:eastAsia="MS Mincho"/>
          <w:szCs w:val="22"/>
          <w:lang w:eastAsia="ja-JP"/>
        </w:rPr>
        <w:t xml:space="preserve">(b) </w:t>
      </w:r>
      <w:r>
        <w:rPr>
          <w:rFonts w:eastAsia="MS Mincho"/>
          <w:szCs w:val="22"/>
          <w:lang w:eastAsia="ja-JP"/>
        </w:rPr>
        <w:tab/>
      </w:r>
      <w:r>
        <w:rPr>
          <w:rFonts w:eastAsia="MS Mincho"/>
          <w:i/>
          <w:szCs w:val="22"/>
          <w:lang w:eastAsia="ja-JP"/>
        </w:rPr>
        <w:t>Competitive bid requirements.</w:t>
      </w:r>
    </w:p>
    <w:p w14:paraId="1CD3BA49" w14:textId="77777777" w:rsidR="007616DA" w:rsidRDefault="007616DA" w:rsidP="007616DA">
      <w:pPr>
        <w:autoSpaceDE w:val="0"/>
        <w:spacing w:after="220"/>
        <w:ind w:left="1440" w:hanging="720"/>
        <w:rPr>
          <w:rFonts w:eastAsia="MS Mincho"/>
          <w:szCs w:val="22"/>
          <w:lang w:eastAsia="ja-JP"/>
        </w:rPr>
      </w:pPr>
      <w:r>
        <w:rPr>
          <w:rFonts w:eastAsia="MS Mincho"/>
          <w:szCs w:val="22"/>
          <w:lang w:eastAsia="ja-JP"/>
        </w:rPr>
        <w:t>(1)</w:t>
      </w:r>
      <w:r>
        <w:rPr>
          <w:rFonts w:eastAsia="MS Mincho"/>
          <w:szCs w:val="22"/>
          <w:lang w:eastAsia="ja-JP"/>
        </w:rPr>
        <w:tab/>
        <w:t>Except as provided in § 54.511(c), an eligible school, school districts, library, or consortium that includes an eligible school or library shall seek competitive bids, pursuant to the requirements established in this subpart, for all services eligible for support under § 54.502.  These competitive bid requirements apply in addition to state and local competitive bid requirements and are not intended to preempt such state or local requirements.</w:t>
      </w:r>
    </w:p>
    <w:p w14:paraId="019E35A0" w14:textId="77777777" w:rsidR="007616DA" w:rsidRPr="002A0A12" w:rsidRDefault="007616DA" w:rsidP="007616DA">
      <w:pPr>
        <w:autoSpaceDE w:val="0"/>
        <w:spacing w:after="220"/>
        <w:ind w:left="1440" w:hanging="720"/>
        <w:rPr>
          <w:rFonts w:eastAsia="MS Mincho"/>
          <w:szCs w:val="22"/>
          <w:lang w:eastAsia="ja-JP"/>
        </w:rPr>
      </w:pPr>
      <w:r>
        <w:rPr>
          <w:rFonts w:eastAsia="MS Mincho"/>
          <w:szCs w:val="22"/>
          <w:lang w:eastAsia="ja-JP"/>
        </w:rPr>
        <w:t>(2)</w:t>
      </w:r>
      <w:r>
        <w:rPr>
          <w:rFonts w:eastAsia="MS Mincho"/>
          <w:szCs w:val="22"/>
          <w:lang w:eastAsia="ja-JP"/>
        </w:rPr>
        <w:tab/>
        <w:t>Service providers must certify that they are in compliance with state and local procurement laws.</w:t>
      </w:r>
    </w:p>
    <w:p w14:paraId="2D7BE9F5" w14:textId="77777777" w:rsidR="007616DA" w:rsidRDefault="007616DA" w:rsidP="007616DA">
      <w:pPr>
        <w:autoSpaceDE w:val="0"/>
        <w:spacing w:after="220"/>
        <w:ind w:firstLine="720"/>
        <w:rPr>
          <w:rFonts w:eastAsia="MS Mincho"/>
          <w:szCs w:val="22"/>
          <w:lang w:eastAsia="ja-JP"/>
        </w:rPr>
      </w:pPr>
      <w:r>
        <w:rPr>
          <w:rFonts w:eastAsia="MS Mincho"/>
          <w:szCs w:val="22"/>
          <w:lang w:eastAsia="ja-JP"/>
        </w:rPr>
        <w:t>(c)</w:t>
      </w:r>
      <w:r>
        <w:rPr>
          <w:rFonts w:eastAsia="MS Mincho"/>
          <w:szCs w:val="22"/>
          <w:lang w:eastAsia="ja-JP"/>
        </w:rPr>
        <w:tab/>
        <w:t>* * *</w:t>
      </w:r>
    </w:p>
    <w:p w14:paraId="05CB23A4" w14:textId="77777777" w:rsidR="007616DA" w:rsidRDefault="007616DA" w:rsidP="007616DA">
      <w:pPr>
        <w:autoSpaceDE w:val="0"/>
        <w:spacing w:after="220"/>
        <w:ind w:firstLine="720"/>
        <w:rPr>
          <w:rFonts w:eastAsia="MS Mincho"/>
          <w:szCs w:val="22"/>
          <w:lang w:eastAsia="ja-JP"/>
        </w:rPr>
      </w:pPr>
      <w:r>
        <w:rPr>
          <w:rFonts w:eastAsia="MS Mincho"/>
          <w:szCs w:val="22"/>
          <w:lang w:eastAsia="ja-JP"/>
        </w:rPr>
        <w:t>(1)</w:t>
      </w:r>
      <w:r>
        <w:rPr>
          <w:rFonts w:eastAsia="MS Mincho"/>
          <w:szCs w:val="22"/>
          <w:lang w:eastAsia="ja-JP"/>
        </w:rPr>
        <w:tab/>
        <w:t>* * *</w:t>
      </w:r>
    </w:p>
    <w:p w14:paraId="5D22FC11" w14:textId="77777777" w:rsidR="007616DA" w:rsidRDefault="007616DA" w:rsidP="007616DA">
      <w:pPr>
        <w:autoSpaceDE w:val="0"/>
        <w:spacing w:after="220"/>
        <w:ind w:left="1440" w:hanging="720"/>
        <w:rPr>
          <w:rFonts w:eastAsia="MS Mincho"/>
          <w:szCs w:val="22"/>
          <w:lang w:eastAsia="ja-JP"/>
        </w:rPr>
      </w:pPr>
      <w:r>
        <w:rPr>
          <w:rFonts w:eastAsia="MS Mincho"/>
          <w:szCs w:val="22"/>
          <w:lang w:eastAsia="ja-JP"/>
        </w:rPr>
        <w:t xml:space="preserve">(2) </w:t>
      </w:r>
      <w:r>
        <w:rPr>
          <w:rFonts w:eastAsia="MS Mincho"/>
          <w:szCs w:val="22"/>
          <w:lang w:eastAsia="ja-JP"/>
        </w:rPr>
        <w:tab/>
        <w:t>The FCC Form 470 shall be signed by the person authorized to order eligible services for the eligible school, library, or consortium including such entities, and with authority equivalent to that of a corporate officer, and shall include that person’s certification under oath that:</w:t>
      </w:r>
    </w:p>
    <w:p w14:paraId="222D0430" w14:textId="77777777" w:rsidR="007616DA" w:rsidRPr="00DB61D9" w:rsidRDefault="007616DA" w:rsidP="007616DA">
      <w:pPr>
        <w:autoSpaceDE w:val="0"/>
        <w:spacing w:after="220"/>
        <w:ind w:left="1440"/>
        <w:rPr>
          <w:rFonts w:eastAsia="MS Mincho"/>
          <w:szCs w:val="22"/>
          <w:lang w:eastAsia="ja-JP"/>
        </w:rPr>
      </w:pPr>
      <w:r>
        <w:rPr>
          <w:rFonts w:eastAsia="MS Mincho"/>
          <w:szCs w:val="22"/>
          <w:lang w:eastAsia="ja-JP"/>
        </w:rPr>
        <w:t>* * * * *</w:t>
      </w:r>
    </w:p>
    <w:p w14:paraId="340665CD" w14:textId="77777777" w:rsidR="007616DA" w:rsidRDefault="007616DA" w:rsidP="007616DA">
      <w:pPr>
        <w:autoSpaceDE w:val="0"/>
        <w:spacing w:after="220"/>
        <w:ind w:left="720" w:hanging="720"/>
        <w:rPr>
          <w:rFonts w:eastAsia="MS Mincho"/>
          <w:szCs w:val="22"/>
          <w:lang w:eastAsia="ja-JP"/>
        </w:rPr>
      </w:pPr>
      <w:r>
        <w:rPr>
          <w:rFonts w:eastAsia="MS Mincho"/>
          <w:b/>
          <w:szCs w:val="22"/>
          <w:lang w:eastAsia="ja-JP"/>
        </w:rPr>
        <w:lastRenderedPageBreak/>
        <w:t>3.</w:t>
      </w:r>
      <w:r>
        <w:rPr>
          <w:rFonts w:eastAsia="MS Mincho"/>
          <w:b/>
          <w:szCs w:val="22"/>
          <w:lang w:eastAsia="ja-JP"/>
        </w:rPr>
        <w:tab/>
      </w:r>
      <w:r>
        <w:rPr>
          <w:rFonts w:eastAsia="MS Mincho"/>
          <w:szCs w:val="22"/>
          <w:lang w:eastAsia="ja-JP"/>
        </w:rPr>
        <w:t>Amend § 54.504 by revising paragraph (a), adding new paragraphs (f) and (h), and redesignating current paragraph (f) as new paragraph (g) and revising that paragraph to read as follows:</w:t>
      </w:r>
    </w:p>
    <w:p w14:paraId="747C446F" w14:textId="77777777" w:rsidR="007616DA" w:rsidRPr="00BB49C5" w:rsidRDefault="007616DA" w:rsidP="007616DA">
      <w:pPr>
        <w:autoSpaceDE w:val="0"/>
        <w:spacing w:after="220"/>
        <w:ind w:left="1440" w:hanging="720"/>
        <w:rPr>
          <w:rFonts w:eastAsia="MS Mincho"/>
          <w:b/>
          <w:szCs w:val="22"/>
          <w:lang w:eastAsia="ja-JP"/>
        </w:rPr>
      </w:pPr>
      <w:r>
        <w:rPr>
          <w:rFonts w:eastAsia="MS Mincho"/>
          <w:b/>
          <w:szCs w:val="22"/>
          <w:lang w:eastAsia="ja-JP"/>
        </w:rPr>
        <w:t>§ 54.504 Requests for services.</w:t>
      </w:r>
    </w:p>
    <w:p w14:paraId="5E5A43CB" w14:textId="77777777" w:rsidR="007616DA" w:rsidRDefault="007616DA" w:rsidP="007616DA">
      <w:pPr>
        <w:autoSpaceDE w:val="0"/>
        <w:spacing w:after="220"/>
        <w:ind w:left="1440" w:hanging="720"/>
        <w:rPr>
          <w:rFonts w:eastAsia="MS Mincho"/>
          <w:szCs w:val="22"/>
          <w:lang w:eastAsia="ja-JP"/>
        </w:rPr>
      </w:pPr>
      <w:r>
        <w:rPr>
          <w:rFonts w:eastAsia="MS Mincho"/>
          <w:szCs w:val="22"/>
          <w:lang w:eastAsia="ja-JP"/>
        </w:rPr>
        <w:t>(a)</w:t>
      </w:r>
      <w:r>
        <w:rPr>
          <w:rFonts w:eastAsia="MS Mincho"/>
          <w:szCs w:val="22"/>
          <w:lang w:eastAsia="ja-JP"/>
        </w:rPr>
        <w:tab/>
        <w:t>* * *</w:t>
      </w:r>
    </w:p>
    <w:p w14:paraId="47E7AB1F" w14:textId="77777777" w:rsidR="007616DA" w:rsidRDefault="007616DA" w:rsidP="007616DA">
      <w:pPr>
        <w:autoSpaceDE w:val="0"/>
        <w:spacing w:after="220"/>
        <w:ind w:left="1440" w:hanging="720"/>
        <w:rPr>
          <w:rFonts w:eastAsia="MS Mincho"/>
          <w:szCs w:val="22"/>
          <w:lang w:eastAsia="ja-JP"/>
        </w:rPr>
      </w:pPr>
      <w:r>
        <w:rPr>
          <w:rFonts w:eastAsia="MS Mincho"/>
          <w:szCs w:val="22"/>
          <w:lang w:eastAsia="ja-JP"/>
        </w:rPr>
        <w:t>(1)</w:t>
      </w:r>
      <w:r>
        <w:rPr>
          <w:rFonts w:eastAsia="MS Mincho"/>
          <w:szCs w:val="22"/>
          <w:lang w:eastAsia="ja-JP"/>
        </w:rPr>
        <w:tab/>
        <w:t>The FCC Form 471 shall be signed by the person authorized to order eligible services for the eligible school, library, or consortium, and with authority equivalent to that of a corporate officer, and shall include that person’s certifications under oath that:</w:t>
      </w:r>
    </w:p>
    <w:p w14:paraId="1D9C9F14" w14:textId="77777777" w:rsidR="007616DA" w:rsidRDefault="007616DA" w:rsidP="007616DA">
      <w:pPr>
        <w:autoSpaceDE w:val="0"/>
        <w:spacing w:after="220"/>
        <w:ind w:left="1440" w:hanging="720"/>
        <w:rPr>
          <w:rFonts w:eastAsia="MS Mincho"/>
          <w:szCs w:val="22"/>
          <w:lang w:eastAsia="ja-JP"/>
        </w:rPr>
      </w:pPr>
      <w:r>
        <w:rPr>
          <w:rFonts w:eastAsia="MS Mincho"/>
          <w:szCs w:val="22"/>
          <w:lang w:eastAsia="ja-JP"/>
        </w:rPr>
        <w:t>(b)</w:t>
      </w:r>
      <w:r>
        <w:rPr>
          <w:rFonts w:eastAsia="MS Mincho"/>
          <w:szCs w:val="22"/>
          <w:lang w:eastAsia="ja-JP"/>
        </w:rPr>
        <w:tab/>
        <w:t>* * *</w:t>
      </w:r>
    </w:p>
    <w:p w14:paraId="1C8F7B70" w14:textId="77777777" w:rsidR="007616DA" w:rsidRDefault="007616DA" w:rsidP="007616DA">
      <w:pPr>
        <w:autoSpaceDE w:val="0"/>
        <w:spacing w:after="220"/>
        <w:ind w:left="1440" w:hanging="720"/>
        <w:rPr>
          <w:rFonts w:eastAsia="MS Mincho"/>
          <w:szCs w:val="22"/>
          <w:lang w:eastAsia="ja-JP"/>
        </w:rPr>
      </w:pPr>
      <w:r>
        <w:rPr>
          <w:rFonts w:eastAsia="MS Mincho"/>
          <w:szCs w:val="22"/>
          <w:lang w:eastAsia="ja-JP"/>
        </w:rPr>
        <w:t>(c)</w:t>
      </w:r>
      <w:r>
        <w:rPr>
          <w:rFonts w:eastAsia="MS Mincho"/>
          <w:szCs w:val="22"/>
          <w:lang w:eastAsia="ja-JP"/>
        </w:rPr>
        <w:tab/>
        <w:t>* * *</w:t>
      </w:r>
    </w:p>
    <w:p w14:paraId="477F41DE" w14:textId="77777777" w:rsidR="007616DA" w:rsidRDefault="007616DA" w:rsidP="007616DA">
      <w:pPr>
        <w:autoSpaceDE w:val="0"/>
        <w:spacing w:after="220"/>
        <w:ind w:left="1440" w:hanging="720"/>
        <w:rPr>
          <w:rFonts w:eastAsia="MS Mincho"/>
          <w:szCs w:val="22"/>
          <w:lang w:eastAsia="ja-JP"/>
        </w:rPr>
      </w:pPr>
      <w:r>
        <w:rPr>
          <w:rFonts w:eastAsia="MS Mincho"/>
          <w:szCs w:val="22"/>
          <w:lang w:eastAsia="ja-JP"/>
        </w:rPr>
        <w:t>(d)</w:t>
      </w:r>
      <w:r>
        <w:rPr>
          <w:rFonts w:eastAsia="MS Mincho"/>
          <w:szCs w:val="22"/>
          <w:lang w:eastAsia="ja-JP"/>
        </w:rPr>
        <w:tab/>
        <w:t xml:space="preserve">* * * </w:t>
      </w:r>
    </w:p>
    <w:p w14:paraId="780EB4BE" w14:textId="77777777" w:rsidR="007616DA" w:rsidRDefault="007616DA" w:rsidP="007616DA">
      <w:pPr>
        <w:autoSpaceDE w:val="0"/>
        <w:spacing w:after="220"/>
        <w:ind w:left="1440" w:hanging="720"/>
        <w:rPr>
          <w:rFonts w:eastAsia="MS Mincho"/>
          <w:szCs w:val="22"/>
          <w:lang w:eastAsia="ja-JP"/>
        </w:rPr>
      </w:pPr>
      <w:r>
        <w:rPr>
          <w:rFonts w:eastAsia="MS Mincho"/>
          <w:szCs w:val="22"/>
          <w:lang w:eastAsia="ja-JP"/>
        </w:rPr>
        <w:t>(e)</w:t>
      </w:r>
      <w:r>
        <w:rPr>
          <w:rFonts w:eastAsia="MS Mincho"/>
          <w:szCs w:val="22"/>
          <w:lang w:eastAsia="ja-JP"/>
        </w:rPr>
        <w:tab/>
        <w:t xml:space="preserve">* * * </w:t>
      </w:r>
    </w:p>
    <w:p w14:paraId="6738C7B8" w14:textId="77777777" w:rsidR="007616DA" w:rsidRDefault="007616DA" w:rsidP="007616DA">
      <w:pPr>
        <w:autoSpaceDE w:val="0"/>
        <w:spacing w:after="220"/>
        <w:ind w:left="1440" w:hanging="720"/>
        <w:rPr>
          <w:rFonts w:eastAsia="MS Mincho"/>
          <w:szCs w:val="22"/>
          <w:lang w:eastAsia="ja-JP"/>
        </w:rPr>
      </w:pPr>
      <w:r>
        <w:rPr>
          <w:rFonts w:eastAsia="MS Mincho"/>
          <w:szCs w:val="22"/>
          <w:lang w:eastAsia="ja-JP"/>
        </w:rPr>
        <w:t xml:space="preserve">(f) </w:t>
      </w:r>
      <w:r>
        <w:rPr>
          <w:rFonts w:eastAsia="MS Mincho"/>
          <w:szCs w:val="22"/>
          <w:lang w:eastAsia="ja-JP"/>
        </w:rPr>
        <w:tab/>
      </w:r>
      <w:r>
        <w:rPr>
          <w:rFonts w:eastAsia="MS Mincho"/>
          <w:i/>
          <w:szCs w:val="22"/>
          <w:lang w:eastAsia="ja-JP"/>
        </w:rPr>
        <w:t>Filing of FCC Form 472</w:t>
      </w:r>
      <w:r>
        <w:rPr>
          <w:rFonts w:eastAsia="MS Mincho"/>
          <w:szCs w:val="22"/>
          <w:lang w:eastAsia="ja-JP"/>
        </w:rPr>
        <w:t>.  All service providers must submit a Service Provider Acknowledgement as part of the Applicant’s FCC Form 472 seeking reimbursement from the Administrator for eligible services.  The FCC Form 472 shall be signed by an officer of the service provider and shall include the officer’s certifications under oath that:</w:t>
      </w:r>
    </w:p>
    <w:p w14:paraId="0852D0DD" w14:textId="77777777" w:rsidR="007616DA" w:rsidRDefault="007616DA" w:rsidP="007616DA">
      <w:pPr>
        <w:autoSpaceDE w:val="0"/>
        <w:spacing w:after="220"/>
        <w:ind w:left="1440" w:hanging="720"/>
        <w:rPr>
          <w:rFonts w:eastAsia="MS Mincho"/>
          <w:szCs w:val="22"/>
          <w:lang w:eastAsia="ja-JP"/>
        </w:rPr>
      </w:pPr>
      <w:r>
        <w:rPr>
          <w:rFonts w:eastAsia="MS Mincho"/>
          <w:szCs w:val="22"/>
          <w:lang w:eastAsia="ja-JP"/>
        </w:rPr>
        <w:t>(1)</w:t>
      </w:r>
      <w:r>
        <w:rPr>
          <w:rFonts w:eastAsia="MS Mincho"/>
          <w:szCs w:val="22"/>
          <w:lang w:eastAsia="ja-JP"/>
        </w:rPr>
        <w:tab/>
        <w:t>This service provider will remit the discount amount authorized by the fund administrator to the Billed Entity Applicant who prepared and submitted the Billed Entity Applicant Reimbursement Form as soon as possible after the fund administrator’s notification to the service provider of the amount of the approved discounts on this Billed Entity Applicant Reimbursement Form, but in no event later than 20 business days after receipt of the reimbursement payment from the fund administrator, subject to the restriction set forth in subsection (2) below.</w:t>
      </w:r>
    </w:p>
    <w:p w14:paraId="6C235ACA" w14:textId="77777777" w:rsidR="007616DA" w:rsidRDefault="007616DA" w:rsidP="007616DA">
      <w:pPr>
        <w:autoSpaceDE w:val="0"/>
        <w:spacing w:after="220"/>
        <w:ind w:left="1440" w:hanging="720"/>
        <w:rPr>
          <w:rFonts w:eastAsia="MS Mincho"/>
          <w:szCs w:val="22"/>
          <w:lang w:eastAsia="ja-JP"/>
        </w:rPr>
      </w:pPr>
      <w:r>
        <w:rPr>
          <w:rFonts w:eastAsia="MS Mincho"/>
          <w:szCs w:val="22"/>
          <w:lang w:eastAsia="ja-JP"/>
        </w:rPr>
        <w:t>(2)</w:t>
      </w:r>
      <w:r>
        <w:rPr>
          <w:rFonts w:eastAsia="MS Mincho"/>
          <w:szCs w:val="22"/>
          <w:lang w:eastAsia="ja-JP"/>
        </w:rPr>
        <w:tab/>
        <w:t>This service provide will remit payment of the approved discount amount to the Billed Entity Applicant prior to tendering or making use of the payment issued by the Universal Service Administrative Company to the service provider of the approved discounts for the Billed Entity Applicant Reimbursement Form.</w:t>
      </w:r>
    </w:p>
    <w:p w14:paraId="235EF38B" w14:textId="77777777" w:rsidR="007616DA" w:rsidRDefault="007616DA" w:rsidP="007616DA">
      <w:pPr>
        <w:autoSpaceDE w:val="0"/>
        <w:spacing w:after="220"/>
        <w:ind w:left="1440" w:hanging="720"/>
        <w:rPr>
          <w:rFonts w:eastAsia="MS Mincho"/>
          <w:szCs w:val="22"/>
          <w:lang w:eastAsia="ja-JP"/>
        </w:rPr>
      </w:pPr>
      <w:r>
        <w:rPr>
          <w:rFonts w:eastAsia="MS Mincho"/>
          <w:szCs w:val="22"/>
          <w:lang w:eastAsia="ja-JP"/>
        </w:rPr>
        <w:lastRenderedPageBreak/>
        <w:t>(3)</w:t>
      </w:r>
      <w:r>
        <w:rPr>
          <w:rFonts w:eastAsia="MS Mincho"/>
          <w:szCs w:val="22"/>
          <w:lang w:eastAsia="ja-JP"/>
        </w:rPr>
        <w:tab/>
        <w:t>This service provider is in compliance with the rules and orders governing the schools and libraries universal service support program and that failure to be in compliance and remain in compliance with those rules and orders may result in the denial of discount funding and/or cancellation of funding commitment.</w:t>
      </w:r>
    </w:p>
    <w:p w14:paraId="0CB1CE3A" w14:textId="77777777" w:rsidR="007616DA" w:rsidRDefault="007616DA" w:rsidP="007616DA">
      <w:pPr>
        <w:autoSpaceDE w:val="0"/>
        <w:spacing w:after="220"/>
        <w:ind w:left="1440" w:hanging="720"/>
        <w:rPr>
          <w:rFonts w:eastAsia="MS Mincho"/>
          <w:szCs w:val="22"/>
          <w:lang w:eastAsia="ja-JP"/>
        </w:rPr>
      </w:pPr>
      <w:r>
        <w:rPr>
          <w:rFonts w:eastAsia="MS Mincho"/>
          <w:szCs w:val="22"/>
          <w:lang w:eastAsia="ja-JP"/>
        </w:rPr>
        <w:t>(4)</w:t>
      </w:r>
      <w:r>
        <w:rPr>
          <w:rFonts w:eastAsia="MS Mincho"/>
          <w:szCs w:val="22"/>
          <w:lang w:eastAsia="ja-JP"/>
        </w:rPr>
        <w:tab/>
        <w:t xml:space="preserve">Failure to comply with the rules and orders governing the schools and libraries universal service support program could result in civil or criminal prosecution by law enforcement authorities. </w:t>
      </w:r>
      <w:r>
        <w:rPr>
          <w:rFonts w:eastAsia="MS Mincho"/>
          <w:szCs w:val="22"/>
          <w:lang w:eastAsia="ja-JP"/>
        </w:rPr>
        <w:tab/>
      </w:r>
    </w:p>
    <w:p w14:paraId="1C41396D" w14:textId="77777777" w:rsidR="007616DA" w:rsidRDefault="007616DA" w:rsidP="007616DA">
      <w:pPr>
        <w:autoSpaceDE w:val="0"/>
        <w:spacing w:after="220"/>
        <w:ind w:left="1440" w:hanging="720"/>
        <w:rPr>
          <w:rFonts w:eastAsia="MS Mincho"/>
          <w:szCs w:val="22"/>
          <w:lang w:eastAsia="ja-JP"/>
        </w:rPr>
      </w:pPr>
      <w:r>
        <w:rPr>
          <w:rFonts w:eastAsia="MS Mincho"/>
          <w:szCs w:val="22"/>
          <w:lang w:eastAsia="ja-JP"/>
        </w:rPr>
        <w:t>(g)</w:t>
      </w:r>
      <w:r>
        <w:rPr>
          <w:rFonts w:eastAsia="MS Mincho"/>
          <w:szCs w:val="22"/>
          <w:lang w:eastAsia="ja-JP"/>
        </w:rPr>
        <w:tab/>
      </w:r>
      <w:r>
        <w:rPr>
          <w:rFonts w:eastAsia="MS Mincho"/>
          <w:i/>
          <w:szCs w:val="22"/>
          <w:lang w:eastAsia="ja-JP"/>
        </w:rPr>
        <w:t>Filing of Form 473.</w:t>
      </w:r>
      <w:r>
        <w:rPr>
          <w:rFonts w:eastAsia="MS Mincho"/>
          <w:szCs w:val="22"/>
          <w:lang w:eastAsia="ja-JP"/>
        </w:rPr>
        <w:t xml:space="preserve">  All service providers eligible to provide telecommunications services and other supported services under this subpart shall submit annually a completed FCC Form 473 to the Administrator.  The FCC Form 473 shall be signed by an officer of the service provider and shall include that officer’s certification under oath that:</w:t>
      </w:r>
    </w:p>
    <w:p w14:paraId="0D44C079" w14:textId="77777777" w:rsidR="007616DA" w:rsidRDefault="007616DA" w:rsidP="007616DA">
      <w:pPr>
        <w:autoSpaceDE w:val="0"/>
        <w:spacing w:after="220"/>
        <w:ind w:left="1440" w:hanging="720"/>
        <w:rPr>
          <w:rFonts w:eastAsia="MS Mincho"/>
          <w:szCs w:val="22"/>
          <w:lang w:eastAsia="ja-JP"/>
        </w:rPr>
      </w:pPr>
      <w:r>
        <w:rPr>
          <w:rFonts w:eastAsia="MS Mincho"/>
          <w:szCs w:val="22"/>
          <w:lang w:eastAsia="ja-JP"/>
        </w:rPr>
        <w:t>(1)</w:t>
      </w:r>
      <w:r>
        <w:rPr>
          <w:rFonts w:eastAsia="MS Mincho"/>
          <w:szCs w:val="22"/>
          <w:lang w:eastAsia="ja-JP"/>
        </w:rPr>
        <w:tab/>
        <w:t>* * *</w:t>
      </w:r>
    </w:p>
    <w:p w14:paraId="2198AC70" w14:textId="77777777" w:rsidR="007616DA" w:rsidRDefault="007616DA" w:rsidP="007616DA">
      <w:pPr>
        <w:autoSpaceDE w:val="0"/>
        <w:spacing w:after="220"/>
        <w:ind w:left="1440" w:hanging="720"/>
        <w:rPr>
          <w:rFonts w:eastAsia="MS Mincho"/>
          <w:szCs w:val="22"/>
          <w:lang w:eastAsia="ja-JP"/>
        </w:rPr>
      </w:pPr>
      <w:r>
        <w:rPr>
          <w:rFonts w:eastAsia="MS Mincho"/>
          <w:szCs w:val="22"/>
          <w:lang w:eastAsia="ja-JP"/>
        </w:rPr>
        <w:t>(2)</w:t>
      </w:r>
      <w:r>
        <w:rPr>
          <w:rFonts w:eastAsia="MS Mincho"/>
          <w:szCs w:val="22"/>
          <w:lang w:eastAsia="ja-JP"/>
        </w:rPr>
        <w:tab/>
        <w:t>* * *</w:t>
      </w:r>
    </w:p>
    <w:p w14:paraId="791C0D4A" w14:textId="77777777" w:rsidR="007616DA" w:rsidRDefault="007616DA" w:rsidP="007616DA">
      <w:pPr>
        <w:autoSpaceDE w:val="0"/>
        <w:spacing w:after="220"/>
        <w:ind w:left="1440" w:hanging="720"/>
        <w:rPr>
          <w:rFonts w:eastAsia="MS Mincho"/>
          <w:szCs w:val="22"/>
          <w:lang w:eastAsia="ja-JP"/>
        </w:rPr>
      </w:pPr>
      <w:r>
        <w:rPr>
          <w:rFonts w:eastAsia="MS Mincho"/>
          <w:szCs w:val="22"/>
          <w:lang w:eastAsia="ja-JP"/>
        </w:rPr>
        <w:t>(3)</w:t>
      </w:r>
      <w:r>
        <w:rPr>
          <w:rFonts w:eastAsia="MS Mincho"/>
          <w:szCs w:val="22"/>
          <w:lang w:eastAsia="ja-JP"/>
        </w:rPr>
        <w:tab/>
        <w:t>* * *</w:t>
      </w:r>
    </w:p>
    <w:p w14:paraId="4436D076" w14:textId="77777777" w:rsidR="007616DA" w:rsidRDefault="007616DA" w:rsidP="007616DA">
      <w:pPr>
        <w:autoSpaceDE w:val="0"/>
        <w:spacing w:after="220"/>
        <w:ind w:left="1440" w:hanging="720"/>
        <w:rPr>
          <w:rFonts w:eastAsia="MS Mincho"/>
          <w:szCs w:val="22"/>
          <w:lang w:eastAsia="ja-JP"/>
        </w:rPr>
      </w:pPr>
      <w:r>
        <w:rPr>
          <w:rFonts w:eastAsia="MS Mincho"/>
          <w:szCs w:val="22"/>
          <w:lang w:eastAsia="ja-JP"/>
        </w:rPr>
        <w:t>(h)</w:t>
      </w:r>
      <w:r>
        <w:rPr>
          <w:rFonts w:eastAsia="MS Mincho"/>
          <w:szCs w:val="22"/>
          <w:lang w:eastAsia="ja-JP"/>
        </w:rPr>
        <w:tab/>
      </w:r>
      <w:r>
        <w:rPr>
          <w:rFonts w:eastAsia="MS Mincho"/>
          <w:i/>
          <w:szCs w:val="22"/>
          <w:lang w:eastAsia="ja-JP"/>
        </w:rPr>
        <w:t>Filing of FCC Form 474</w:t>
      </w:r>
      <w:r>
        <w:rPr>
          <w:rFonts w:eastAsia="MS Mincho"/>
          <w:szCs w:val="22"/>
          <w:lang w:eastAsia="ja-JP"/>
        </w:rPr>
        <w:t>.  All service providers seeking reimbursement from the Administrator for eligible services shall submit a completed FCC Form 474 to the Administrator.  The FCC Form 474 shall be signed by an officer of the service provider and shall include the officer’s certifications under oath that:</w:t>
      </w:r>
    </w:p>
    <w:p w14:paraId="05E80D05" w14:textId="77777777" w:rsidR="007616DA" w:rsidRDefault="007616DA" w:rsidP="00232D86">
      <w:pPr>
        <w:autoSpaceDE w:val="0"/>
        <w:spacing w:after="220"/>
        <w:ind w:left="1440" w:hanging="720"/>
        <w:rPr>
          <w:rFonts w:eastAsia="MS Mincho"/>
          <w:szCs w:val="22"/>
          <w:lang w:eastAsia="ja-JP"/>
        </w:rPr>
      </w:pPr>
      <w:r>
        <w:rPr>
          <w:rFonts w:eastAsia="MS Mincho"/>
          <w:szCs w:val="22"/>
          <w:lang w:eastAsia="ja-JP"/>
        </w:rPr>
        <w:t>(1)</w:t>
      </w:r>
      <w:r>
        <w:rPr>
          <w:rFonts w:eastAsia="MS Mincho"/>
          <w:szCs w:val="22"/>
          <w:lang w:eastAsia="ja-JP"/>
        </w:rPr>
        <w:tab/>
        <w:t>This service provider is in compliance with the rules and orders governing the schools and libraries universal service support program and that failure to be in compliance and remain in compliance with those rules and orders may result in the denial of discount funding and/or cancellation of funding commitment.</w:t>
      </w:r>
    </w:p>
    <w:p w14:paraId="32483D9A" w14:textId="77777777" w:rsidR="007616DA" w:rsidRDefault="007616DA" w:rsidP="007616DA">
      <w:pPr>
        <w:autoSpaceDE w:val="0"/>
        <w:spacing w:after="220"/>
        <w:ind w:left="1440" w:hanging="720"/>
        <w:rPr>
          <w:rFonts w:eastAsia="MS Mincho"/>
          <w:szCs w:val="22"/>
          <w:lang w:eastAsia="ja-JP"/>
        </w:rPr>
      </w:pPr>
      <w:r>
        <w:rPr>
          <w:rFonts w:eastAsia="MS Mincho"/>
          <w:szCs w:val="22"/>
          <w:lang w:eastAsia="ja-JP"/>
        </w:rPr>
        <w:t>(2)</w:t>
      </w:r>
      <w:r>
        <w:rPr>
          <w:rFonts w:eastAsia="MS Mincho"/>
          <w:szCs w:val="22"/>
          <w:lang w:eastAsia="ja-JP"/>
        </w:rPr>
        <w:tab/>
        <w:t>Failure to comply with the rules and orders governing the schools and libraries universal service support program could result in civil or criminal prosecution by law enforcement authorities.</w:t>
      </w:r>
    </w:p>
    <w:p w14:paraId="18700D0C" w14:textId="77777777" w:rsidR="007616DA" w:rsidRPr="00D64E60" w:rsidRDefault="007616DA" w:rsidP="007616DA">
      <w:pPr>
        <w:autoSpaceDE w:val="0"/>
        <w:spacing w:after="220"/>
        <w:ind w:left="1440" w:hanging="720"/>
        <w:rPr>
          <w:rFonts w:eastAsia="MS Mincho"/>
          <w:szCs w:val="22"/>
          <w:lang w:eastAsia="ja-JP"/>
        </w:rPr>
      </w:pPr>
      <w:r>
        <w:rPr>
          <w:rFonts w:eastAsia="MS Mincho"/>
          <w:szCs w:val="22"/>
          <w:lang w:eastAsia="ja-JP"/>
        </w:rPr>
        <w:t>(3)</w:t>
      </w:r>
      <w:r>
        <w:rPr>
          <w:rFonts w:eastAsia="MS Mincho"/>
          <w:szCs w:val="22"/>
          <w:lang w:eastAsia="ja-JP"/>
        </w:rPr>
        <w:tab/>
        <w:t>The service provider is in compliance with state and local procurement laws.</w:t>
      </w:r>
    </w:p>
    <w:p w14:paraId="1DB13F82" w14:textId="77777777" w:rsidR="007616DA" w:rsidRPr="00310C5B" w:rsidRDefault="007616DA" w:rsidP="007616DA">
      <w:pPr>
        <w:pStyle w:val="ParaNum"/>
        <w:numPr>
          <w:ilvl w:val="0"/>
          <w:numId w:val="0"/>
        </w:numPr>
        <w:spacing w:after="220"/>
        <w:rPr>
          <w:szCs w:val="22"/>
        </w:rPr>
      </w:pPr>
      <w:r>
        <w:rPr>
          <w:b/>
          <w:szCs w:val="22"/>
        </w:rPr>
        <w:t>4</w:t>
      </w:r>
      <w:r w:rsidRPr="00310C5B">
        <w:rPr>
          <w:b/>
          <w:szCs w:val="22"/>
        </w:rPr>
        <w:t>.</w:t>
      </w:r>
      <w:r w:rsidRPr="00310C5B">
        <w:rPr>
          <w:b/>
          <w:szCs w:val="22"/>
        </w:rPr>
        <w:tab/>
      </w:r>
      <w:r w:rsidRPr="00310C5B">
        <w:rPr>
          <w:szCs w:val="22"/>
        </w:rPr>
        <w:t>Amend § 54.505 by revising paragraph</w:t>
      </w:r>
      <w:r>
        <w:rPr>
          <w:szCs w:val="22"/>
        </w:rPr>
        <w:t>s</w:t>
      </w:r>
      <w:r w:rsidRPr="00310C5B">
        <w:rPr>
          <w:szCs w:val="22"/>
        </w:rPr>
        <w:t xml:space="preserve"> (b)</w:t>
      </w:r>
      <w:r>
        <w:rPr>
          <w:szCs w:val="22"/>
        </w:rPr>
        <w:t>(1), (b)(3)(i), and (b)(3)(ii)</w:t>
      </w:r>
      <w:r w:rsidRPr="00310C5B">
        <w:rPr>
          <w:szCs w:val="22"/>
        </w:rPr>
        <w:t xml:space="preserve"> to read as follows:</w:t>
      </w:r>
    </w:p>
    <w:p w14:paraId="33DE0FE8" w14:textId="77777777" w:rsidR="007616DA" w:rsidRPr="00310C5B" w:rsidRDefault="007616DA" w:rsidP="007616DA">
      <w:pPr>
        <w:pStyle w:val="RuleHeader"/>
        <w:keepNext w:val="0"/>
        <w:spacing w:before="0" w:after="220"/>
        <w:ind w:left="720"/>
        <w:rPr>
          <w:szCs w:val="22"/>
        </w:rPr>
      </w:pPr>
      <w:r w:rsidRPr="00310C5B">
        <w:rPr>
          <w:szCs w:val="22"/>
        </w:rPr>
        <w:lastRenderedPageBreak/>
        <w:t>§ 54.505 Discounts.</w:t>
      </w:r>
    </w:p>
    <w:p w14:paraId="6914FB2A" w14:textId="77777777" w:rsidR="007616DA" w:rsidRPr="00310C5B" w:rsidRDefault="007616DA" w:rsidP="007616DA">
      <w:pPr>
        <w:spacing w:after="220"/>
        <w:ind w:left="720"/>
        <w:rPr>
          <w:szCs w:val="22"/>
        </w:rPr>
      </w:pPr>
      <w:r w:rsidRPr="00310C5B">
        <w:rPr>
          <w:szCs w:val="22"/>
        </w:rPr>
        <w:tab/>
        <w:t xml:space="preserve"> </w:t>
      </w:r>
      <w:r>
        <w:rPr>
          <w:szCs w:val="22"/>
        </w:rPr>
        <w:t xml:space="preserve">* * </w:t>
      </w:r>
      <w:r w:rsidRPr="00310C5B">
        <w:rPr>
          <w:szCs w:val="22"/>
        </w:rPr>
        <w:t>* * *</w:t>
      </w:r>
    </w:p>
    <w:p w14:paraId="64F469D3" w14:textId="77777777" w:rsidR="007616DA" w:rsidRPr="00310C5B" w:rsidRDefault="007616DA" w:rsidP="007616DA">
      <w:pPr>
        <w:spacing w:after="220"/>
        <w:ind w:left="720"/>
        <w:rPr>
          <w:szCs w:val="22"/>
        </w:rPr>
      </w:pPr>
      <w:r w:rsidRPr="00310C5B">
        <w:rPr>
          <w:szCs w:val="22"/>
        </w:rPr>
        <w:t>(b)</w:t>
      </w:r>
      <w:r w:rsidRPr="00310C5B">
        <w:rPr>
          <w:szCs w:val="22"/>
        </w:rPr>
        <w:tab/>
        <w:t xml:space="preserve"> * * * </w:t>
      </w:r>
    </w:p>
    <w:p w14:paraId="0F8CAF41" w14:textId="77777777" w:rsidR="007616DA" w:rsidRPr="00310C5B" w:rsidRDefault="007616DA" w:rsidP="007616DA">
      <w:pPr>
        <w:spacing w:after="220"/>
        <w:ind w:left="1440" w:hanging="720"/>
        <w:rPr>
          <w:szCs w:val="22"/>
        </w:rPr>
      </w:pPr>
      <w:r w:rsidRPr="00310C5B">
        <w:rPr>
          <w:szCs w:val="22"/>
        </w:rPr>
        <w:t>(1)</w:t>
      </w:r>
      <w:r w:rsidRPr="00310C5B">
        <w:rPr>
          <w:szCs w:val="22"/>
        </w:rPr>
        <w:tab/>
        <w:t>School districts shall calculate discounts on supported services described in § 54.502(b) by calculating a single discount percentage rate for the entire school district by dividing the total number of students eligible for the National School Lunch Program within the school district by the total number of students within the school district.  This single discount percentage rate shall then be applied to the discount matrix to set a discount rate for the supported services purchased by all schools within the school district.</w:t>
      </w:r>
    </w:p>
    <w:p w14:paraId="232BFDCC" w14:textId="77777777" w:rsidR="007616DA" w:rsidRPr="00310C5B" w:rsidRDefault="007616DA" w:rsidP="007616DA">
      <w:pPr>
        <w:spacing w:after="220"/>
        <w:ind w:left="720"/>
        <w:rPr>
          <w:szCs w:val="22"/>
        </w:rPr>
      </w:pPr>
      <w:r w:rsidRPr="00310C5B">
        <w:rPr>
          <w:szCs w:val="22"/>
        </w:rPr>
        <w:t>(2)</w:t>
      </w:r>
      <w:r w:rsidRPr="00310C5B">
        <w:rPr>
          <w:szCs w:val="22"/>
        </w:rPr>
        <w:tab/>
        <w:t> * *</w:t>
      </w:r>
      <w:r>
        <w:rPr>
          <w:szCs w:val="22"/>
        </w:rPr>
        <w:t xml:space="preserve"> *</w:t>
      </w:r>
    </w:p>
    <w:p w14:paraId="69B442E3" w14:textId="77777777" w:rsidR="007616DA" w:rsidRPr="00310C5B" w:rsidRDefault="007616DA" w:rsidP="007616DA">
      <w:pPr>
        <w:spacing w:after="220"/>
        <w:ind w:left="1440" w:hanging="720"/>
        <w:rPr>
          <w:szCs w:val="22"/>
        </w:rPr>
      </w:pPr>
      <w:r w:rsidRPr="00310C5B">
        <w:rPr>
          <w:szCs w:val="22"/>
        </w:rPr>
        <w:t>(</w:t>
      </w:r>
      <w:r>
        <w:rPr>
          <w:szCs w:val="22"/>
        </w:rPr>
        <w:t>3</w:t>
      </w:r>
      <w:r w:rsidRPr="00310C5B">
        <w:rPr>
          <w:szCs w:val="22"/>
        </w:rPr>
        <w:t>)</w:t>
      </w:r>
      <w:r w:rsidRPr="00310C5B">
        <w:rPr>
          <w:szCs w:val="22"/>
        </w:rPr>
        <w:tab/>
      </w:r>
      <w:r>
        <w:rPr>
          <w:szCs w:val="22"/>
        </w:rPr>
        <w:t>The Administrator shall classify schools and libraries as “urban” or “rural” based on location in an urban or rural area, according to the following designations.</w:t>
      </w:r>
    </w:p>
    <w:p w14:paraId="4376FF1E" w14:textId="77777777" w:rsidR="007616DA" w:rsidRPr="0082568B" w:rsidRDefault="007616DA" w:rsidP="007616DA">
      <w:pPr>
        <w:spacing w:after="220"/>
        <w:ind w:left="1440" w:hanging="720"/>
      </w:pPr>
      <w:r>
        <w:t>(i</w:t>
      </w:r>
      <w:r w:rsidRPr="0082568B">
        <w:t>)</w:t>
      </w:r>
      <w:r w:rsidRPr="0082568B">
        <w:tab/>
      </w:r>
      <w:r>
        <w:t>Schools and libraries whose local code is city, suburb, town-fringe, or rural-fringe, as measured by the U.S. Department of Education’s National Center for Education Statistics, shall be designated as urban.</w:t>
      </w:r>
    </w:p>
    <w:p w14:paraId="4725F704" w14:textId="77777777" w:rsidR="007616DA" w:rsidRDefault="007616DA" w:rsidP="007616DA">
      <w:pPr>
        <w:spacing w:after="220"/>
        <w:ind w:left="1440" w:hanging="720"/>
      </w:pPr>
      <w:r>
        <w:t>(ii</w:t>
      </w:r>
      <w:r w:rsidRPr="0082568B">
        <w:t>)</w:t>
      </w:r>
      <w:r w:rsidRPr="0082568B">
        <w:tab/>
      </w:r>
      <w:r>
        <w:t>Schools and libraries whose local code is town-distant, town-remote, rural-distant, or rural-remote, as measured by the U.S. Department of Education’s National Center for Education Statistics, shall be designated as rural.</w:t>
      </w:r>
    </w:p>
    <w:p w14:paraId="16823B7B" w14:textId="77777777" w:rsidR="007616DA" w:rsidRPr="0082568B" w:rsidRDefault="007616DA" w:rsidP="007616DA">
      <w:pPr>
        <w:spacing w:after="220"/>
        <w:ind w:left="1440"/>
      </w:pPr>
      <w:r>
        <w:t>* * * * *</w:t>
      </w:r>
    </w:p>
    <w:p w14:paraId="1D30AE29" w14:textId="77777777" w:rsidR="007616DA" w:rsidRPr="005C4AA3" w:rsidRDefault="007616DA" w:rsidP="007616DA">
      <w:pPr>
        <w:pStyle w:val="ParaNum"/>
        <w:keepNext/>
        <w:keepLines/>
        <w:numPr>
          <w:ilvl w:val="0"/>
          <w:numId w:val="0"/>
        </w:numPr>
        <w:spacing w:after="220"/>
        <w:ind w:left="720" w:hanging="720"/>
        <w:rPr>
          <w:u w:val="single"/>
        </w:rPr>
      </w:pPr>
      <w:r>
        <w:rPr>
          <w:b/>
        </w:rPr>
        <w:t>5</w:t>
      </w:r>
      <w:r w:rsidRPr="0082568B">
        <w:rPr>
          <w:b/>
        </w:rPr>
        <w:t>.</w:t>
      </w:r>
      <w:r w:rsidRPr="0082568B">
        <w:rPr>
          <w:b/>
        </w:rPr>
        <w:tab/>
      </w:r>
      <w:r w:rsidRPr="0082568B">
        <w:t>Amend § 54.</w:t>
      </w:r>
      <w:r>
        <w:t>507</w:t>
      </w:r>
      <w:r w:rsidRPr="0082568B">
        <w:t xml:space="preserve"> by </w:t>
      </w:r>
      <w:r>
        <w:t>adding new paragraph (e), revising paragraph (g), and redesignating current paragraphs (e) and (f) and revised paragrah (g) as paragraphs (f), (g), and (h), respectively, to read as follows:</w:t>
      </w:r>
    </w:p>
    <w:p w14:paraId="6F961184" w14:textId="77777777" w:rsidR="007616DA" w:rsidRPr="0082568B" w:rsidRDefault="007616DA" w:rsidP="007616DA">
      <w:pPr>
        <w:pStyle w:val="ParaNum"/>
        <w:keepNext/>
        <w:keepLines/>
        <w:numPr>
          <w:ilvl w:val="0"/>
          <w:numId w:val="0"/>
        </w:numPr>
        <w:spacing w:after="220"/>
        <w:ind w:left="720"/>
        <w:rPr>
          <w:b/>
        </w:rPr>
      </w:pPr>
      <w:r>
        <w:rPr>
          <w:b/>
        </w:rPr>
        <w:t>§ 54.507</w:t>
      </w:r>
      <w:r w:rsidRPr="0082568B">
        <w:rPr>
          <w:b/>
        </w:rPr>
        <w:t xml:space="preserve"> C</w:t>
      </w:r>
      <w:r>
        <w:rPr>
          <w:b/>
        </w:rPr>
        <w:t>ap</w:t>
      </w:r>
      <w:r w:rsidRPr="0082568B">
        <w:rPr>
          <w:b/>
        </w:rPr>
        <w:t>.</w:t>
      </w:r>
    </w:p>
    <w:p w14:paraId="6B2ADEC0" w14:textId="77777777" w:rsidR="007616DA" w:rsidRPr="008708D1" w:rsidRDefault="007616DA" w:rsidP="007616DA">
      <w:pPr>
        <w:pStyle w:val="ParaNum"/>
        <w:numPr>
          <w:ilvl w:val="0"/>
          <w:numId w:val="0"/>
        </w:numPr>
        <w:spacing w:after="220"/>
        <w:ind w:left="720"/>
      </w:pPr>
      <w:r w:rsidRPr="0082568B">
        <w:tab/>
        <w:t>* * *</w:t>
      </w:r>
      <w:r>
        <w:t xml:space="preserve"> * *</w:t>
      </w:r>
    </w:p>
    <w:p w14:paraId="66B057DF" w14:textId="77777777" w:rsidR="007616DA" w:rsidRDefault="007616DA" w:rsidP="007616DA">
      <w:pPr>
        <w:pStyle w:val="RuleHeader"/>
        <w:keepNext w:val="0"/>
        <w:spacing w:before="0" w:after="220"/>
        <w:ind w:left="1440" w:hanging="720"/>
        <w:rPr>
          <w:b w:val="0"/>
        </w:rPr>
      </w:pPr>
      <w:r w:rsidRPr="0082568B">
        <w:rPr>
          <w:b w:val="0"/>
        </w:rPr>
        <w:t>(e)</w:t>
      </w:r>
      <w:r w:rsidRPr="0082568B">
        <w:rPr>
          <w:b w:val="0"/>
        </w:rPr>
        <w:tab/>
      </w:r>
      <w:r>
        <w:rPr>
          <w:b w:val="0"/>
          <w:i/>
        </w:rPr>
        <w:t>Multi-year contracts</w:t>
      </w:r>
      <w:r>
        <w:rPr>
          <w:b w:val="0"/>
        </w:rPr>
        <w:t xml:space="preserve">.  An eligible school, library or consortium that includes an eligible school or library seeking to receive discounts under this subpart may submit to USAC a single FCC Form 471 covering all the years of a multi-year contract, provided that the term </w:t>
      </w:r>
      <w:r>
        <w:rPr>
          <w:b w:val="0"/>
        </w:rPr>
        <w:lastRenderedPageBreak/>
        <w:t>of the contract including extensions, does not exceed three years.  An FCC Form 471 covering a multi-year contract must be submitted to USAC before the start of the first funding year covered by the multi-year contract.</w:t>
      </w:r>
    </w:p>
    <w:p w14:paraId="1627E40D" w14:textId="77777777" w:rsidR="007616DA" w:rsidRDefault="007616DA" w:rsidP="007616DA">
      <w:pPr>
        <w:pStyle w:val="RuleHeader"/>
        <w:keepNext w:val="0"/>
        <w:spacing w:before="0" w:after="220"/>
        <w:ind w:left="1440"/>
        <w:rPr>
          <w:b w:val="0"/>
        </w:rPr>
      </w:pPr>
      <w:bookmarkStart w:id="3344" w:name="g_1_iv"/>
      <w:bookmarkStart w:id="3345" w:name="g_1_v"/>
      <w:bookmarkEnd w:id="3344"/>
      <w:bookmarkEnd w:id="3345"/>
      <w:r>
        <w:rPr>
          <w:b w:val="0"/>
        </w:rPr>
        <w:t>* * * * *</w:t>
      </w:r>
    </w:p>
    <w:p w14:paraId="136478A1" w14:textId="77777777" w:rsidR="007616DA" w:rsidRDefault="007616DA" w:rsidP="007616DA">
      <w:pPr>
        <w:pStyle w:val="ParaNum"/>
        <w:numPr>
          <w:ilvl w:val="0"/>
          <w:numId w:val="0"/>
        </w:numPr>
        <w:spacing w:after="220"/>
        <w:ind w:left="720" w:hanging="720"/>
      </w:pPr>
      <w:r>
        <w:rPr>
          <w:b/>
        </w:rPr>
        <w:t>6</w:t>
      </w:r>
      <w:r w:rsidRPr="0082568B">
        <w:rPr>
          <w:b/>
        </w:rPr>
        <w:t>.</w:t>
      </w:r>
      <w:r w:rsidRPr="0082568B">
        <w:rPr>
          <w:b/>
        </w:rPr>
        <w:tab/>
      </w:r>
      <w:r w:rsidRPr="0082568B">
        <w:t>Amend § 54.</w:t>
      </w:r>
      <w:r>
        <w:t>511</w:t>
      </w:r>
      <w:r w:rsidRPr="0082568B">
        <w:t xml:space="preserve"> by </w:t>
      </w:r>
      <w:r>
        <w:t>adding new</w:t>
      </w:r>
      <w:r w:rsidRPr="0082568B">
        <w:t xml:space="preserve"> paragraph (</w:t>
      </w:r>
      <w:r>
        <w:t>c</w:t>
      </w:r>
      <w:r w:rsidRPr="0082568B">
        <w:t xml:space="preserve">) </w:t>
      </w:r>
      <w:r>
        <w:t xml:space="preserve">and redesignating current paragraphs (c) and (d) as paragraphs (d) and (e) </w:t>
      </w:r>
      <w:r w:rsidRPr="0082568B">
        <w:t>to read as follows:</w:t>
      </w:r>
    </w:p>
    <w:p w14:paraId="10746AEB" w14:textId="77777777" w:rsidR="007616DA" w:rsidRPr="0082568B" w:rsidRDefault="007616DA" w:rsidP="007616DA">
      <w:pPr>
        <w:pStyle w:val="ParaNum"/>
        <w:keepNext/>
        <w:keepLines/>
        <w:numPr>
          <w:ilvl w:val="0"/>
          <w:numId w:val="0"/>
        </w:numPr>
        <w:spacing w:after="220"/>
        <w:ind w:left="720"/>
        <w:rPr>
          <w:b/>
        </w:rPr>
      </w:pPr>
      <w:r>
        <w:rPr>
          <w:b/>
        </w:rPr>
        <w:t>§ 54.511</w:t>
      </w:r>
      <w:r w:rsidRPr="0082568B">
        <w:rPr>
          <w:b/>
        </w:rPr>
        <w:t xml:space="preserve"> </w:t>
      </w:r>
      <w:r>
        <w:rPr>
          <w:b/>
        </w:rPr>
        <w:t>Ordering services</w:t>
      </w:r>
      <w:r w:rsidRPr="0082568B">
        <w:rPr>
          <w:b/>
        </w:rPr>
        <w:t>.</w:t>
      </w:r>
    </w:p>
    <w:p w14:paraId="5D367636" w14:textId="77777777" w:rsidR="007616DA" w:rsidRDefault="007616DA" w:rsidP="007616DA">
      <w:pPr>
        <w:pStyle w:val="RuleHeader"/>
        <w:keepNext w:val="0"/>
        <w:spacing w:before="0" w:after="220"/>
        <w:ind w:left="720" w:hanging="720"/>
        <w:rPr>
          <w:b w:val="0"/>
        </w:rPr>
      </w:pPr>
      <w:r>
        <w:tab/>
      </w:r>
      <w:r>
        <w:rPr>
          <w:b w:val="0"/>
        </w:rPr>
        <w:tab/>
        <w:t>* * * * *</w:t>
      </w:r>
    </w:p>
    <w:p w14:paraId="0D61E257" w14:textId="77777777" w:rsidR="007616DA" w:rsidRDefault="007616DA" w:rsidP="007616DA">
      <w:pPr>
        <w:pStyle w:val="RuleHeader"/>
        <w:keepNext w:val="0"/>
        <w:spacing w:before="0" w:after="220"/>
        <w:ind w:left="1440" w:hanging="720"/>
        <w:rPr>
          <w:b w:val="0"/>
        </w:rPr>
      </w:pPr>
      <w:r>
        <w:rPr>
          <w:b w:val="0"/>
        </w:rPr>
        <w:t>(c)</w:t>
      </w:r>
      <w:r>
        <w:rPr>
          <w:b w:val="0"/>
        </w:rPr>
        <w:tab/>
        <w:t>The service provider must certify on FCC Form 473 and FCC Form 474 that it is charging schools, school districts, libraries, library consortia or consortia including any of these entities, the lowest corresponding price for supported services, unless the Commission, with respect to intrastate prices, had found that the lowest corresponding price is not compensatory.</w:t>
      </w:r>
    </w:p>
    <w:p w14:paraId="7F34EC95" w14:textId="77777777" w:rsidR="007616DA" w:rsidRPr="009F4767" w:rsidRDefault="007616DA" w:rsidP="007616DA">
      <w:pPr>
        <w:pStyle w:val="RuleHeader"/>
        <w:keepNext w:val="0"/>
        <w:spacing w:before="0" w:after="220"/>
        <w:ind w:left="1440"/>
        <w:rPr>
          <w:b w:val="0"/>
        </w:rPr>
      </w:pPr>
      <w:r>
        <w:rPr>
          <w:b w:val="0"/>
        </w:rPr>
        <w:t>* * * * *</w:t>
      </w:r>
    </w:p>
    <w:p w14:paraId="2C650D30" w14:textId="77777777" w:rsidR="007616DA" w:rsidRPr="0082568B" w:rsidRDefault="007616DA" w:rsidP="007616DA">
      <w:pPr>
        <w:pStyle w:val="ParaNum"/>
        <w:numPr>
          <w:ilvl w:val="0"/>
          <w:numId w:val="0"/>
        </w:numPr>
        <w:spacing w:after="220"/>
      </w:pPr>
      <w:r>
        <w:rPr>
          <w:b/>
        </w:rPr>
        <w:t>7</w:t>
      </w:r>
      <w:r w:rsidRPr="0082568B">
        <w:rPr>
          <w:b/>
        </w:rPr>
        <w:t>.</w:t>
      </w:r>
      <w:r w:rsidRPr="0082568B">
        <w:rPr>
          <w:b/>
        </w:rPr>
        <w:tab/>
      </w:r>
      <w:r w:rsidRPr="0082568B">
        <w:t>Amend § 54.</w:t>
      </w:r>
      <w:r>
        <w:t>516</w:t>
      </w:r>
      <w:r w:rsidRPr="0082568B">
        <w:t xml:space="preserve"> by </w:t>
      </w:r>
      <w:r>
        <w:t xml:space="preserve">revising </w:t>
      </w:r>
      <w:r w:rsidRPr="0082568B">
        <w:t>paragraph</w:t>
      </w:r>
      <w:r>
        <w:t>s</w:t>
      </w:r>
      <w:r w:rsidRPr="0082568B">
        <w:t xml:space="preserve"> (</w:t>
      </w:r>
      <w:r>
        <w:t>a</w:t>
      </w:r>
      <w:r w:rsidRPr="0082568B">
        <w:t>)</w:t>
      </w:r>
      <w:r>
        <w:t>(1) and (a)(2)</w:t>
      </w:r>
      <w:r w:rsidRPr="0082568B">
        <w:t xml:space="preserve"> to read as follows:</w:t>
      </w:r>
    </w:p>
    <w:p w14:paraId="3BB7A40F" w14:textId="77777777" w:rsidR="007616DA" w:rsidRPr="0082568B" w:rsidRDefault="007616DA" w:rsidP="007616DA">
      <w:pPr>
        <w:pStyle w:val="RuleHeader"/>
        <w:keepNext w:val="0"/>
        <w:spacing w:before="0" w:after="220"/>
      </w:pPr>
      <w:r w:rsidRPr="0082568B">
        <w:tab/>
        <w:t>§ 54.</w:t>
      </w:r>
      <w:r>
        <w:t>516</w:t>
      </w:r>
      <w:r w:rsidRPr="0082568B">
        <w:t xml:space="preserve"> </w:t>
      </w:r>
      <w:r>
        <w:t>Auditing</w:t>
      </w:r>
      <w:r w:rsidRPr="0082568B">
        <w:t>.</w:t>
      </w:r>
    </w:p>
    <w:p w14:paraId="0F1DA114" w14:textId="77777777" w:rsidR="007616DA" w:rsidRPr="008A6C69" w:rsidRDefault="007616DA" w:rsidP="007616DA">
      <w:pPr>
        <w:pStyle w:val="RuleHeader"/>
        <w:keepNext w:val="0"/>
        <w:spacing w:before="0" w:after="220"/>
        <w:ind w:left="1440" w:hanging="720"/>
        <w:rPr>
          <w:b w:val="0"/>
        </w:rPr>
      </w:pPr>
      <w:r w:rsidRPr="0082568B">
        <w:rPr>
          <w:b w:val="0"/>
        </w:rPr>
        <w:t>(a)</w:t>
      </w:r>
      <w:r w:rsidRPr="0082568B">
        <w:rPr>
          <w:b w:val="0"/>
        </w:rPr>
        <w:tab/>
      </w:r>
      <w:r>
        <w:rPr>
          <w:b w:val="0"/>
          <w:i/>
        </w:rPr>
        <w:t>Record keeping requirements – (1) Schools, libraries and consortia.</w:t>
      </w:r>
      <w:r>
        <w:rPr>
          <w:b w:val="0"/>
        </w:rPr>
        <w:t xml:space="preserve">  Schools, libraries, and any consortium that includes schools and libraries shall retain all documents related to the application for, receipt, and delivery of discounted telecommunications and other supported services for at least 10 years after the last day of the delivery of services or from the end of the applicable funding year, whichever is later.  Schools, libraries, and any consortium that include schools or libraries shall also retain any other document necessary to demonstrate compliance with the statutory or regulatory requirements for the schools and libraries mechanism.  Schools and libraries shall maintain asset and inventory records of equipment purchased as components of supported internal connections services sufficient to verify the actual location of such equipment for a period of five years after purchase.</w:t>
      </w:r>
    </w:p>
    <w:p w14:paraId="7EB936A2" w14:textId="77777777" w:rsidR="007616DA" w:rsidRDefault="007616DA" w:rsidP="007616DA">
      <w:pPr>
        <w:pStyle w:val="RuleHeader"/>
        <w:keepNext w:val="0"/>
        <w:spacing w:before="0" w:after="220"/>
        <w:ind w:left="1440" w:hanging="720"/>
        <w:rPr>
          <w:b w:val="0"/>
        </w:rPr>
      </w:pPr>
      <w:r>
        <w:rPr>
          <w:b w:val="0"/>
        </w:rPr>
        <w:lastRenderedPageBreak/>
        <w:t>(2</w:t>
      </w:r>
      <w:r w:rsidRPr="0082568B">
        <w:rPr>
          <w:b w:val="0"/>
        </w:rPr>
        <w:t>)</w:t>
      </w:r>
      <w:r w:rsidRPr="0082568B">
        <w:rPr>
          <w:b w:val="0"/>
        </w:rPr>
        <w:tab/>
      </w:r>
      <w:r>
        <w:rPr>
          <w:b w:val="0"/>
          <w:i/>
        </w:rPr>
        <w:t xml:space="preserve">Service providers.  </w:t>
      </w:r>
      <w:r>
        <w:rPr>
          <w:b w:val="0"/>
        </w:rPr>
        <w:t>Service providers shall retain documents related to the delivery of discounted telecommunications and other supported services for at least 10 years after the last day of the delivery of services or from the end of the applicable funding year, whichever is later.  Service providers shall also retain any other document that demonstrates compliance with the statutory or regulatory requirements for the schools and libraries universal service support mechanism.</w:t>
      </w:r>
    </w:p>
    <w:p w14:paraId="2271D1CD" w14:textId="77777777" w:rsidR="007616DA" w:rsidRPr="0082568B" w:rsidRDefault="007616DA" w:rsidP="007616DA">
      <w:pPr>
        <w:pStyle w:val="RuleHeader"/>
        <w:keepNext w:val="0"/>
        <w:spacing w:before="0" w:after="220"/>
        <w:ind w:left="1440" w:hanging="720"/>
        <w:rPr>
          <w:b w:val="0"/>
        </w:rPr>
      </w:pPr>
      <w:r>
        <w:rPr>
          <w:b w:val="0"/>
        </w:rPr>
        <w:tab/>
        <w:t>* * * * *</w:t>
      </w:r>
    </w:p>
    <w:p w14:paraId="038A5D00" w14:textId="77777777" w:rsidR="007616DA" w:rsidRDefault="007616DA" w:rsidP="007616DA">
      <w:pPr>
        <w:pStyle w:val="ParaNum"/>
        <w:numPr>
          <w:ilvl w:val="0"/>
          <w:numId w:val="0"/>
        </w:numPr>
        <w:spacing w:after="220"/>
      </w:pPr>
    </w:p>
    <w:p w14:paraId="458B5064" w14:textId="57A4AC63" w:rsidR="00F935B1" w:rsidRPr="00F935B1" w:rsidRDefault="00F935B1" w:rsidP="00F935B1">
      <w:pPr>
        <w:pStyle w:val="RuleHeader"/>
        <w:keepNext w:val="0"/>
        <w:spacing w:before="0" w:after="0" w:line="480" w:lineRule="auto"/>
        <w:rPr>
          <w:b w:val="0"/>
        </w:rPr>
        <w:sectPr w:rsidR="00F935B1" w:rsidRPr="00F935B1" w:rsidSect="0083602C">
          <w:footnotePr>
            <w:numRestart w:val="eachSect"/>
          </w:footnotePr>
          <w:endnotePr>
            <w:numFmt w:val="decimal"/>
          </w:endnotePr>
          <w:pgSz w:w="12240" w:h="15840"/>
          <w:pgMar w:top="1440" w:right="1440" w:bottom="720" w:left="1440" w:header="720" w:footer="720" w:gutter="0"/>
          <w:cols w:space="720"/>
          <w:noEndnote/>
        </w:sectPr>
      </w:pPr>
    </w:p>
    <w:tbl>
      <w:tblPr>
        <w:tblpPr w:leftFromText="187" w:rightFromText="187" w:horzAnchor="margin" w:tblpXSpec="center" w:tblpYSpec="bottom"/>
        <w:tblW w:w="5000" w:type="pct"/>
        <w:tblLook w:val="00A0" w:firstRow="1" w:lastRow="0" w:firstColumn="1" w:lastColumn="0" w:noHBand="0" w:noVBand="0"/>
      </w:tblPr>
      <w:tblGrid>
        <w:gridCol w:w="8856"/>
      </w:tblGrid>
      <w:tr w:rsidR="00F935B1" w14:paraId="38B0E4F4" w14:textId="77777777" w:rsidTr="0083602C">
        <w:tc>
          <w:tcPr>
            <w:tcW w:w="5000" w:type="pct"/>
          </w:tcPr>
          <w:p w14:paraId="0C97DAC8" w14:textId="7285E508" w:rsidR="00F935B1" w:rsidRPr="005A4A57" w:rsidRDefault="00F935B1" w:rsidP="0083602C">
            <w:pPr>
              <w:pStyle w:val="NoSpacing"/>
              <w:rPr>
                <w:rFonts w:ascii="Verdana" w:hAnsi="Verdana"/>
              </w:rPr>
            </w:pPr>
          </w:p>
        </w:tc>
      </w:tr>
    </w:tbl>
    <w:p w14:paraId="754C2440" w14:textId="77777777" w:rsidR="00F935B1" w:rsidRDefault="00F935B1" w:rsidP="00F935B1">
      <w:pPr>
        <w:tabs>
          <w:tab w:val="num" w:pos="1440"/>
        </w:tabs>
        <w:jc w:val="center"/>
        <w:rPr>
          <w:b/>
        </w:rPr>
      </w:pPr>
      <w:r>
        <w:rPr>
          <w:b/>
        </w:rPr>
        <w:t>APPENDIX B</w:t>
      </w:r>
    </w:p>
    <w:p w14:paraId="0517B3A0" w14:textId="77777777" w:rsidR="00F935B1" w:rsidRDefault="00F935B1" w:rsidP="00F935B1">
      <w:pPr>
        <w:tabs>
          <w:tab w:val="num" w:pos="1440"/>
        </w:tabs>
        <w:jc w:val="center"/>
        <w:rPr>
          <w:b/>
        </w:rPr>
      </w:pPr>
    </w:p>
    <w:p w14:paraId="7952A4B6" w14:textId="77777777" w:rsidR="00F935B1" w:rsidRDefault="00F935B1" w:rsidP="00F935B1">
      <w:pPr>
        <w:jc w:val="center"/>
        <w:rPr>
          <w:b/>
        </w:rPr>
      </w:pPr>
      <w:r>
        <w:rPr>
          <w:b/>
        </w:rPr>
        <w:t>2013 Eligible Services List</w:t>
      </w:r>
    </w:p>
    <w:p w14:paraId="16B74B05" w14:textId="77777777" w:rsidR="00F935B1" w:rsidRDefault="00F935B1" w:rsidP="00F935B1">
      <w:pPr>
        <w:tabs>
          <w:tab w:val="num" w:pos="1440"/>
        </w:tabs>
      </w:pPr>
    </w:p>
    <w:p w14:paraId="4FE95F3D" w14:textId="77777777" w:rsidR="00F935B1" w:rsidRDefault="00F935B1" w:rsidP="00F935B1">
      <w:pPr>
        <w:tabs>
          <w:tab w:val="num" w:pos="1440"/>
        </w:tabs>
      </w:pPr>
    </w:p>
    <w:tbl>
      <w:tblPr>
        <w:tblpPr w:leftFromText="187" w:rightFromText="187" w:horzAnchor="margin" w:tblpXSpec="center" w:tblpYSpec="bottom"/>
        <w:tblW w:w="5000" w:type="pct"/>
        <w:tblLook w:val="00A0" w:firstRow="1" w:lastRow="0" w:firstColumn="1" w:lastColumn="0" w:noHBand="0" w:noVBand="0"/>
      </w:tblPr>
      <w:tblGrid>
        <w:gridCol w:w="8856"/>
      </w:tblGrid>
      <w:tr w:rsidR="00F935B1" w14:paraId="674461B0" w14:textId="77777777" w:rsidTr="0083602C">
        <w:tc>
          <w:tcPr>
            <w:tcW w:w="5000" w:type="pct"/>
          </w:tcPr>
          <w:p w14:paraId="16A8DD74" w14:textId="77777777" w:rsidR="00F935B1" w:rsidRPr="005A4A57" w:rsidRDefault="00F935B1" w:rsidP="0083602C">
            <w:pPr>
              <w:pStyle w:val="NoSpacing"/>
              <w:rPr>
                <w:rFonts w:ascii="Verdana" w:hAnsi="Verdana"/>
              </w:rPr>
            </w:pPr>
            <w:r>
              <w:rPr>
                <w:rFonts w:ascii="Verdana" w:hAnsi="Verdana"/>
                <w:sz w:val="18"/>
                <w:szCs w:val="18"/>
              </w:rPr>
              <w:t>T</w:t>
            </w:r>
            <w:r w:rsidRPr="00695B85">
              <w:rPr>
                <w:rFonts w:ascii="Verdana" w:hAnsi="Verdana"/>
                <w:sz w:val="18"/>
                <w:szCs w:val="18"/>
              </w:rPr>
              <w:t>he Federal Communications Commission’s rules provide that all services that are eligible for to receive discounts under the Schools and Libraries Universal Service Support Mechanism (otherwise known as the E-rate program or “E-rate”) are listed in this Eligible Services List (ESL).  The E-rate program is administered by the Universal Se</w:t>
            </w:r>
            <w:r>
              <w:rPr>
                <w:rFonts w:ascii="Verdana" w:hAnsi="Verdana"/>
                <w:sz w:val="18"/>
                <w:szCs w:val="18"/>
              </w:rPr>
              <w:t>rvice Administrative Company (</w:t>
            </w:r>
            <w:r w:rsidRPr="00695B85">
              <w:rPr>
                <w:rFonts w:ascii="Verdana" w:hAnsi="Verdana"/>
                <w:sz w:val="18"/>
                <w:szCs w:val="18"/>
              </w:rPr>
              <w:t>USAC</w:t>
            </w:r>
            <w:r>
              <w:rPr>
                <w:rFonts w:ascii="Verdana" w:hAnsi="Verdana"/>
                <w:sz w:val="18"/>
                <w:szCs w:val="18"/>
              </w:rPr>
              <w:t>)</w:t>
            </w:r>
            <w:r w:rsidRPr="00695B85">
              <w:rPr>
                <w:rFonts w:ascii="Verdana" w:hAnsi="Verdana"/>
                <w:sz w:val="18"/>
                <w:szCs w:val="18"/>
              </w:rPr>
              <w:t>.</w:t>
            </w:r>
          </w:p>
        </w:tc>
      </w:tr>
    </w:tbl>
    <w:p w14:paraId="45647FC5" w14:textId="77777777" w:rsidR="00F935B1" w:rsidRPr="008B5F5C" w:rsidRDefault="00F935B1" w:rsidP="00F935B1">
      <w:pPr>
        <w:rPr>
          <w:vanish/>
        </w:rPr>
      </w:pPr>
    </w:p>
    <w:tbl>
      <w:tblPr>
        <w:tblW w:w="5000" w:type="pct"/>
        <w:jc w:val="center"/>
        <w:tblLook w:val="00A0" w:firstRow="1" w:lastRow="0" w:firstColumn="1" w:lastColumn="0" w:noHBand="0" w:noVBand="0"/>
      </w:tblPr>
      <w:tblGrid>
        <w:gridCol w:w="8856"/>
      </w:tblGrid>
      <w:tr w:rsidR="00F935B1" w14:paraId="2FE15D00" w14:textId="77777777" w:rsidTr="0083602C">
        <w:trPr>
          <w:trHeight w:val="2880"/>
          <w:jc w:val="center"/>
        </w:trPr>
        <w:tc>
          <w:tcPr>
            <w:tcW w:w="5000" w:type="pct"/>
          </w:tcPr>
          <w:p w14:paraId="3B867272" w14:textId="77777777" w:rsidR="00F935B1" w:rsidRPr="005A4A57" w:rsidRDefault="00F935B1" w:rsidP="0083602C">
            <w:pPr>
              <w:pStyle w:val="NoSpacing"/>
              <w:jc w:val="center"/>
              <w:rPr>
                <w:rFonts w:ascii="Cambria" w:hAnsi="Cambria"/>
                <w:caps/>
              </w:rPr>
            </w:pPr>
          </w:p>
        </w:tc>
      </w:tr>
      <w:tr w:rsidR="00F935B1" w14:paraId="32E84C71" w14:textId="77777777" w:rsidTr="0083602C">
        <w:trPr>
          <w:trHeight w:val="1440"/>
          <w:jc w:val="center"/>
        </w:trPr>
        <w:tc>
          <w:tcPr>
            <w:tcW w:w="5000" w:type="pct"/>
            <w:tcBorders>
              <w:bottom w:val="single" w:sz="4" w:space="0" w:color="4F81BD"/>
            </w:tcBorders>
            <w:vAlign w:val="center"/>
          </w:tcPr>
          <w:p w14:paraId="73B99DD1" w14:textId="77777777" w:rsidR="00F935B1" w:rsidRDefault="00F935B1" w:rsidP="0083602C">
            <w:pPr>
              <w:pStyle w:val="NoSpacing"/>
              <w:jc w:val="center"/>
              <w:rPr>
                <w:rFonts w:ascii="Cambria" w:hAnsi="Cambria"/>
                <w:sz w:val="80"/>
                <w:szCs w:val="80"/>
              </w:rPr>
            </w:pPr>
            <w:r>
              <w:rPr>
                <w:rFonts w:ascii="Cambria" w:hAnsi="Cambria"/>
                <w:sz w:val="80"/>
                <w:szCs w:val="80"/>
              </w:rPr>
              <w:t>Schools and Libraries Universal Service Support Mechanism</w:t>
            </w:r>
          </w:p>
        </w:tc>
      </w:tr>
      <w:tr w:rsidR="00F935B1" w14:paraId="0E444417" w14:textId="77777777" w:rsidTr="0083602C">
        <w:trPr>
          <w:trHeight w:val="720"/>
          <w:jc w:val="center"/>
        </w:trPr>
        <w:tc>
          <w:tcPr>
            <w:tcW w:w="5000" w:type="pct"/>
            <w:tcBorders>
              <w:top w:val="single" w:sz="4" w:space="0" w:color="4F81BD"/>
            </w:tcBorders>
            <w:vAlign w:val="center"/>
          </w:tcPr>
          <w:p w14:paraId="14C96C16" w14:textId="77777777" w:rsidR="00F935B1" w:rsidRDefault="00F935B1" w:rsidP="0083602C">
            <w:pPr>
              <w:pStyle w:val="NoSpacing"/>
              <w:jc w:val="center"/>
              <w:rPr>
                <w:rFonts w:ascii="Cambria" w:hAnsi="Cambria"/>
                <w:sz w:val="44"/>
                <w:szCs w:val="44"/>
              </w:rPr>
            </w:pPr>
            <w:r w:rsidRPr="00AC4D50">
              <w:rPr>
                <w:rFonts w:ascii="Cambria" w:hAnsi="Cambria"/>
                <w:b/>
                <w:sz w:val="44"/>
                <w:szCs w:val="44"/>
              </w:rPr>
              <w:t>Eligible</w:t>
            </w:r>
            <w:r w:rsidRPr="00D22C50">
              <w:rPr>
                <w:rFonts w:ascii="Cambria" w:hAnsi="Cambria"/>
                <w:b/>
                <w:sz w:val="44"/>
                <w:szCs w:val="44"/>
              </w:rPr>
              <w:t xml:space="preserve"> Services List</w:t>
            </w:r>
          </w:p>
        </w:tc>
      </w:tr>
      <w:tr w:rsidR="00F935B1" w:rsidRPr="00695B85" w14:paraId="29786785" w14:textId="77777777" w:rsidTr="0083602C">
        <w:trPr>
          <w:trHeight w:val="360"/>
          <w:jc w:val="center"/>
        </w:trPr>
        <w:tc>
          <w:tcPr>
            <w:tcW w:w="5000" w:type="pct"/>
            <w:vAlign w:val="center"/>
          </w:tcPr>
          <w:p w14:paraId="6BF4CD64" w14:textId="77777777" w:rsidR="00F935B1" w:rsidRPr="005A4A57" w:rsidRDefault="00F935B1" w:rsidP="0083602C">
            <w:pPr>
              <w:pStyle w:val="NoSpacing"/>
              <w:rPr>
                <w:i/>
              </w:rPr>
            </w:pPr>
          </w:p>
        </w:tc>
      </w:tr>
      <w:tr w:rsidR="00F935B1" w:rsidRPr="00695B85" w14:paraId="1F36E31A" w14:textId="77777777" w:rsidTr="0083602C">
        <w:trPr>
          <w:trHeight w:val="360"/>
          <w:jc w:val="center"/>
        </w:trPr>
        <w:tc>
          <w:tcPr>
            <w:tcW w:w="5000" w:type="pct"/>
            <w:vAlign w:val="center"/>
          </w:tcPr>
          <w:p w14:paraId="0B282C44" w14:textId="77777777" w:rsidR="00F935B1" w:rsidRPr="005A4A57" w:rsidRDefault="00F935B1" w:rsidP="0083602C">
            <w:pPr>
              <w:pStyle w:val="NoSpacing"/>
              <w:jc w:val="center"/>
              <w:rPr>
                <w:b/>
                <w:bCs/>
              </w:rPr>
            </w:pPr>
            <w:r w:rsidRPr="005A4A57">
              <w:rPr>
                <w:b/>
                <w:bCs/>
              </w:rPr>
              <w:t>CC Docket No. 02-6; GN Docket No. 09-51</w:t>
            </w:r>
          </w:p>
        </w:tc>
      </w:tr>
      <w:tr w:rsidR="00F935B1" w:rsidRPr="00695B85" w14:paraId="5078A8BA" w14:textId="77777777" w:rsidTr="0083602C">
        <w:trPr>
          <w:trHeight w:val="360"/>
          <w:jc w:val="center"/>
        </w:trPr>
        <w:tc>
          <w:tcPr>
            <w:tcW w:w="5000" w:type="pct"/>
            <w:vAlign w:val="center"/>
          </w:tcPr>
          <w:p w14:paraId="17B33158" w14:textId="77777777" w:rsidR="00F935B1" w:rsidRPr="005A4A57" w:rsidRDefault="00F935B1" w:rsidP="0083602C">
            <w:pPr>
              <w:pStyle w:val="NoSpacing"/>
              <w:jc w:val="center"/>
              <w:rPr>
                <w:b/>
                <w:bCs/>
              </w:rPr>
            </w:pPr>
            <w:r w:rsidRPr="005A4A57">
              <w:rPr>
                <w:b/>
                <w:i/>
              </w:rPr>
              <w:t xml:space="preserve">Released: </w:t>
            </w:r>
            <w:r>
              <w:rPr>
                <w:b/>
                <w:i/>
              </w:rPr>
              <w:t xml:space="preserve">September 27, </w:t>
            </w:r>
            <w:r w:rsidRPr="005A4A57">
              <w:rPr>
                <w:b/>
                <w:i/>
              </w:rPr>
              <w:t>2012</w:t>
            </w:r>
          </w:p>
        </w:tc>
      </w:tr>
    </w:tbl>
    <w:p w14:paraId="3FEDC468" w14:textId="77777777" w:rsidR="00F935B1" w:rsidRDefault="00F935B1" w:rsidP="00F935B1"/>
    <w:p w14:paraId="1F94A5A5" w14:textId="77777777" w:rsidR="00F935B1" w:rsidRPr="00140CA3" w:rsidRDefault="00F935B1" w:rsidP="00F935B1">
      <w:pPr>
        <w:rPr>
          <w:rFonts w:ascii="Verdana" w:hAnsi="Verdana"/>
          <w:b/>
          <w:i/>
        </w:rPr>
      </w:pPr>
      <w:r>
        <w:rPr>
          <w:b/>
          <w:bCs/>
        </w:rPr>
        <w:br w:type="page"/>
      </w:r>
      <w:r w:rsidRPr="00140CA3">
        <w:rPr>
          <w:rFonts w:ascii="Verdana" w:hAnsi="Verdana"/>
          <w:b/>
          <w:i/>
        </w:rPr>
        <w:lastRenderedPageBreak/>
        <w:t>Background:</w:t>
      </w:r>
    </w:p>
    <w:p w14:paraId="24A378F2" w14:textId="77777777" w:rsidR="00F935B1" w:rsidRPr="005E385F" w:rsidRDefault="00F935B1" w:rsidP="00F935B1">
      <w:pPr>
        <w:pStyle w:val="NormalWeb"/>
        <w:spacing w:before="0" w:beforeAutospacing="0" w:after="0"/>
        <w:rPr>
          <w:rFonts w:ascii="Verdana" w:hAnsi="Verdana"/>
          <w:sz w:val="20"/>
        </w:rPr>
      </w:pPr>
      <w:r w:rsidRPr="005E385F">
        <w:rPr>
          <w:rFonts w:ascii="Verdana" w:hAnsi="Verdana"/>
          <w:color w:val="000000"/>
          <w:sz w:val="20"/>
        </w:rPr>
        <w:t xml:space="preserve">The E-rate program </w:t>
      </w:r>
      <w:r w:rsidRPr="005E385F">
        <w:rPr>
          <w:rFonts w:ascii="Verdana" w:hAnsi="Verdana"/>
          <w:sz w:val="20"/>
        </w:rPr>
        <w:t>provides eligible schools and libraries discounts for eligible services and products.  Consistent with prior years, in each category the ESL first lists the services and products that are eligible for funding, and then lists the services and products that are not eligible for funding.  Under the E-rate program, E-rate funds are allocated according to rules of priority, with first priority given to requests for telecommunications services, telecommunications, and Internet access services; these services are listed in the “Priority One” section of the ESL.  The remaining available funds are allocated to requests for support for internal connections and basic maintenance of internal connections; these services are listed in the “Priority Two” section of this ESL.  There is also a Miscellaneous section, and at the end of this ESL, a Special Eligibility Conditions</w:t>
      </w:r>
      <w:r w:rsidRPr="005E385F">
        <w:rPr>
          <w:rFonts w:ascii="Verdana" w:hAnsi="Verdana"/>
          <w:sz w:val="20"/>
        </w:rPr>
        <w:fldChar w:fldCharType="begin"/>
      </w:r>
      <w:r w:rsidRPr="005E385F">
        <w:rPr>
          <w:rFonts w:ascii="Verdana" w:hAnsi="Verdana"/>
          <w:sz w:val="20"/>
        </w:rPr>
        <w:instrText>xe "</w:instrText>
      </w:r>
      <w:r w:rsidRPr="005E385F">
        <w:rPr>
          <w:rStyle w:val="Hyperlink"/>
          <w:rFonts w:ascii="Verdana" w:hAnsi="Verdana"/>
          <w:sz w:val="20"/>
        </w:rPr>
        <w:instrText>Special Eligibility Conditions</w:instrText>
      </w:r>
      <w:r w:rsidRPr="005E385F">
        <w:rPr>
          <w:rFonts w:ascii="Verdana" w:hAnsi="Verdana"/>
          <w:sz w:val="20"/>
        </w:rPr>
        <w:instrText>"</w:instrText>
      </w:r>
      <w:r w:rsidRPr="005E385F">
        <w:rPr>
          <w:rFonts w:ascii="Verdana" w:hAnsi="Verdana"/>
          <w:sz w:val="20"/>
        </w:rPr>
        <w:fldChar w:fldCharType="end"/>
      </w:r>
      <w:r w:rsidRPr="005E385F">
        <w:rPr>
          <w:rFonts w:ascii="Verdana" w:hAnsi="Verdana"/>
          <w:sz w:val="20"/>
        </w:rPr>
        <w:t xml:space="preserve"> section and a </w:t>
      </w:r>
      <w:hyperlink w:anchor="xxGlossary" w:history="1">
        <w:r w:rsidRPr="005E385F">
          <w:rPr>
            <w:rStyle w:val="Hyperlink"/>
            <w:rFonts w:ascii="Verdana" w:hAnsi="Verdana"/>
            <w:sz w:val="20"/>
          </w:rPr>
          <w:t>Glossary</w:t>
        </w:r>
        <w:r w:rsidRPr="005E385F">
          <w:rPr>
            <w:rFonts w:ascii="Verdana" w:hAnsi="Verdana"/>
            <w:sz w:val="20"/>
          </w:rPr>
          <w:fldChar w:fldCharType="begin"/>
        </w:r>
        <w:r w:rsidRPr="005E385F">
          <w:rPr>
            <w:rFonts w:ascii="Verdana" w:hAnsi="Verdana"/>
            <w:sz w:val="20"/>
          </w:rPr>
          <w:instrText>xe "Glossary"</w:instrText>
        </w:r>
        <w:r w:rsidRPr="005E385F">
          <w:rPr>
            <w:rFonts w:ascii="Verdana" w:hAnsi="Verdana"/>
            <w:sz w:val="20"/>
          </w:rPr>
          <w:fldChar w:fldCharType="end"/>
        </w:r>
      </w:hyperlink>
      <w:r w:rsidRPr="005E385F">
        <w:rPr>
          <w:rFonts w:ascii="Verdana" w:hAnsi="Verdana"/>
          <w:sz w:val="20"/>
        </w:rPr>
        <w:t>, providing additional information and definitions for many of the terms used herein.</w:t>
      </w:r>
    </w:p>
    <w:p w14:paraId="2E6392C3" w14:textId="77777777" w:rsidR="00F935B1" w:rsidRPr="005E385F" w:rsidRDefault="00F935B1" w:rsidP="00F935B1">
      <w:pPr>
        <w:pStyle w:val="NormalWeb"/>
        <w:spacing w:before="0" w:beforeAutospacing="0" w:after="0"/>
        <w:rPr>
          <w:rFonts w:ascii="Verdana" w:hAnsi="Verdana"/>
          <w:sz w:val="20"/>
        </w:rPr>
      </w:pPr>
    </w:p>
    <w:p w14:paraId="3D021B2E" w14:textId="77777777" w:rsidR="00F935B1" w:rsidRPr="005E385F" w:rsidRDefault="00F935B1" w:rsidP="00F935B1">
      <w:pPr>
        <w:pStyle w:val="NormalWeb"/>
        <w:spacing w:before="0" w:beforeAutospacing="0" w:after="0"/>
        <w:rPr>
          <w:rFonts w:ascii="Verdana" w:hAnsi="Verdana"/>
          <w:sz w:val="20"/>
        </w:rPr>
      </w:pPr>
      <w:r w:rsidRPr="005E385F">
        <w:rPr>
          <w:rFonts w:ascii="Verdana" w:hAnsi="Verdana"/>
          <w:i/>
          <w:sz w:val="20"/>
          <w:u w:val="single"/>
        </w:rPr>
        <w:t>Note on FCC Form 471.</w:t>
      </w:r>
      <w:r w:rsidRPr="005E385F">
        <w:rPr>
          <w:rFonts w:ascii="Verdana" w:hAnsi="Verdana"/>
          <w:i/>
          <w:sz w:val="20"/>
        </w:rPr>
        <w:t xml:space="preserve">  </w:t>
      </w:r>
      <w:r w:rsidRPr="005E385F">
        <w:rPr>
          <w:rFonts w:ascii="Verdana" w:hAnsi="Verdana"/>
          <w:sz w:val="20"/>
        </w:rPr>
        <w:t>For Block 5 of the FCC Form 471, for Priority One services, applicants must indicate the services they select as a Priority One Telecommunications Service or Priority One Internet Access.  The applicant may select one or the other category depending on the provider of the service (</w:t>
      </w:r>
      <w:r w:rsidRPr="005E385F">
        <w:rPr>
          <w:rFonts w:ascii="Verdana" w:hAnsi="Verdana"/>
          <w:i/>
          <w:sz w:val="20"/>
        </w:rPr>
        <w:t xml:space="preserve">i.e., </w:t>
      </w:r>
      <w:r w:rsidRPr="005E385F">
        <w:rPr>
          <w:rFonts w:ascii="Verdana" w:hAnsi="Verdana"/>
          <w:sz w:val="20"/>
        </w:rPr>
        <w:t>if the service is one that could be requested as a telecommunications service or Internet access, but the applicant checks “Telecommunications Services” on Block 5, the service needs to be provided by a “telecommunications carrier” (see “Special Regulatory Requirements” in the Special Eligibility Conditions section below)).  After an applicant has complied with E-rate competitive bidding requirements and selected its vendors, it may consult with each vendor about which service category in Block 5 of the FCC Form 471 the applicant should use in describing the service the vendor will be providing. See also “Administrative Convenience” below for additional information regarding combined service offerings.</w:t>
      </w:r>
    </w:p>
    <w:p w14:paraId="14D99379" w14:textId="77777777" w:rsidR="00F935B1" w:rsidRPr="005E385F" w:rsidRDefault="00F935B1" w:rsidP="00F935B1">
      <w:pPr>
        <w:pStyle w:val="NormalWeb"/>
        <w:spacing w:before="0" w:beforeAutospacing="0" w:after="0"/>
        <w:ind w:left="720"/>
        <w:rPr>
          <w:rFonts w:ascii="Verdana" w:hAnsi="Verdana"/>
          <w:sz w:val="20"/>
        </w:rPr>
      </w:pPr>
    </w:p>
    <w:p w14:paraId="79FB41AD" w14:textId="77777777" w:rsidR="00F935B1" w:rsidRPr="005E385F" w:rsidRDefault="00F935B1" w:rsidP="00F935B1">
      <w:pPr>
        <w:pStyle w:val="NormalWeb"/>
        <w:spacing w:before="0" w:beforeAutospacing="0" w:after="0"/>
        <w:rPr>
          <w:rFonts w:ascii="Verdana" w:hAnsi="Verdana"/>
          <w:sz w:val="20"/>
        </w:rPr>
      </w:pPr>
      <w:r w:rsidRPr="005E385F">
        <w:rPr>
          <w:rFonts w:ascii="Verdana" w:hAnsi="Verdana"/>
          <w:i/>
          <w:sz w:val="20"/>
          <w:u w:val="single"/>
        </w:rPr>
        <w:t>Administrative Convenience.</w:t>
      </w:r>
      <w:r w:rsidRPr="005E385F">
        <w:rPr>
          <w:rFonts w:ascii="Verdana" w:hAnsi="Verdana"/>
          <w:sz w:val="20"/>
        </w:rPr>
        <w:t xml:space="preserve">  </w:t>
      </w:r>
      <w:r w:rsidRPr="005E385F">
        <w:rPr>
          <w:rFonts w:ascii="Verdana" w:hAnsi="Verdana"/>
          <w:bCs/>
          <w:sz w:val="20"/>
        </w:rPr>
        <w:t xml:space="preserve">Some </w:t>
      </w:r>
      <w:r w:rsidRPr="005E385F">
        <w:rPr>
          <w:rFonts w:ascii="Verdana" w:hAnsi="Verdana"/>
          <w:sz w:val="20"/>
        </w:rPr>
        <w:t>service offerings provide a combination of both Internet access</w:t>
      </w:r>
      <w:r w:rsidRPr="005E385F">
        <w:rPr>
          <w:rFonts w:ascii="Verdana" w:hAnsi="Verdana"/>
          <w:sz w:val="20"/>
        </w:rPr>
        <w:fldChar w:fldCharType="begin"/>
      </w:r>
      <w:r w:rsidRPr="005E385F">
        <w:rPr>
          <w:rFonts w:ascii="Verdana" w:hAnsi="Verdana"/>
          <w:sz w:val="20"/>
        </w:rPr>
        <w:instrText>xe "</w:instrText>
      </w:r>
      <w:r w:rsidRPr="005E385F">
        <w:rPr>
          <w:rStyle w:val="Hyperlink"/>
          <w:rFonts w:ascii="Verdana" w:hAnsi="Verdana"/>
          <w:sz w:val="20"/>
        </w:rPr>
        <w:instrText>Internet Access</w:instrText>
      </w:r>
      <w:r w:rsidRPr="005E385F">
        <w:rPr>
          <w:rFonts w:ascii="Verdana" w:hAnsi="Verdana"/>
          <w:sz w:val="20"/>
        </w:rPr>
        <w:instrText>"</w:instrText>
      </w:r>
      <w:r w:rsidRPr="005E385F">
        <w:rPr>
          <w:rFonts w:ascii="Verdana" w:hAnsi="Verdana"/>
          <w:sz w:val="20"/>
        </w:rPr>
        <w:fldChar w:fldCharType="end"/>
      </w:r>
      <w:r w:rsidRPr="005E385F">
        <w:rPr>
          <w:rFonts w:ascii="Verdana" w:hAnsi="Verdana"/>
          <w:sz w:val="20"/>
        </w:rPr>
        <w:t xml:space="preserve"> and telecommunications services</w:t>
      </w:r>
      <w:r w:rsidRPr="005E385F">
        <w:rPr>
          <w:rFonts w:ascii="Verdana" w:hAnsi="Verdana"/>
          <w:sz w:val="20"/>
        </w:rPr>
        <w:fldChar w:fldCharType="begin"/>
      </w:r>
      <w:r w:rsidRPr="005E385F">
        <w:rPr>
          <w:rFonts w:ascii="Verdana" w:hAnsi="Verdana"/>
          <w:sz w:val="20"/>
        </w:rPr>
        <w:instrText>xe "</w:instrText>
      </w:r>
      <w:r w:rsidRPr="005E385F">
        <w:rPr>
          <w:rStyle w:val="Hyperlink"/>
          <w:rFonts w:ascii="Verdana" w:hAnsi="Verdana"/>
          <w:sz w:val="20"/>
        </w:rPr>
        <w:instrText>Telecommunications Services</w:instrText>
      </w:r>
      <w:r w:rsidRPr="005E385F">
        <w:rPr>
          <w:rFonts w:ascii="Verdana" w:hAnsi="Verdana"/>
          <w:sz w:val="20"/>
        </w:rPr>
        <w:instrText>"</w:instrText>
      </w:r>
      <w:r w:rsidRPr="005E385F">
        <w:rPr>
          <w:rFonts w:ascii="Verdana" w:hAnsi="Verdana"/>
          <w:sz w:val="20"/>
        </w:rPr>
        <w:fldChar w:fldCharType="end"/>
      </w:r>
      <w:r w:rsidRPr="005E385F">
        <w:rPr>
          <w:rFonts w:ascii="Verdana" w:hAnsi="Verdana"/>
          <w:sz w:val="20"/>
        </w:rPr>
        <w:t>, which are both Priority One services.  For example, a service provider may offer local phone</w:t>
      </w:r>
      <w:r w:rsidRPr="005E385F">
        <w:rPr>
          <w:rFonts w:ascii="Verdana" w:hAnsi="Verdana"/>
          <w:sz w:val="20"/>
        </w:rPr>
        <w:fldChar w:fldCharType="begin"/>
      </w:r>
      <w:r w:rsidRPr="005E385F">
        <w:rPr>
          <w:rFonts w:ascii="Verdana" w:hAnsi="Verdana"/>
          <w:sz w:val="20"/>
        </w:rPr>
        <w:instrText>xe "Local Phone Service"</w:instrText>
      </w:r>
      <w:r w:rsidRPr="005E385F">
        <w:rPr>
          <w:rFonts w:ascii="Verdana" w:hAnsi="Verdana"/>
          <w:sz w:val="20"/>
        </w:rPr>
        <w:fldChar w:fldCharType="end"/>
      </w:r>
      <w:r w:rsidRPr="005E385F">
        <w:rPr>
          <w:rFonts w:ascii="Verdana" w:hAnsi="Verdana"/>
          <w:sz w:val="20"/>
        </w:rPr>
        <w:t xml:space="preserve"> service, long distance</w:t>
      </w:r>
      <w:r w:rsidRPr="005E385F">
        <w:rPr>
          <w:rFonts w:ascii="Verdana" w:hAnsi="Verdana"/>
          <w:sz w:val="20"/>
        </w:rPr>
        <w:fldChar w:fldCharType="begin"/>
      </w:r>
      <w:r w:rsidRPr="005E385F">
        <w:rPr>
          <w:rFonts w:ascii="Verdana" w:hAnsi="Verdana"/>
          <w:sz w:val="20"/>
        </w:rPr>
        <w:instrText>xe "Long Distance"</w:instrText>
      </w:r>
      <w:r w:rsidRPr="005E385F">
        <w:rPr>
          <w:rFonts w:ascii="Verdana" w:hAnsi="Verdana"/>
          <w:sz w:val="20"/>
        </w:rPr>
        <w:fldChar w:fldCharType="end"/>
      </w:r>
      <w:r w:rsidRPr="005E385F">
        <w:rPr>
          <w:rFonts w:ascii="Verdana" w:hAnsi="Verdana"/>
          <w:sz w:val="20"/>
        </w:rPr>
        <w:t xml:space="preserve"> service, and Internet access</w:t>
      </w:r>
      <w:r w:rsidRPr="005E385F">
        <w:rPr>
          <w:rFonts w:ascii="Verdana" w:hAnsi="Verdana"/>
          <w:sz w:val="20"/>
        </w:rPr>
        <w:fldChar w:fldCharType="begin"/>
      </w:r>
      <w:r w:rsidRPr="005E385F">
        <w:rPr>
          <w:rFonts w:ascii="Verdana" w:hAnsi="Verdana"/>
          <w:sz w:val="20"/>
        </w:rPr>
        <w:instrText>xe "</w:instrText>
      </w:r>
      <w:r w:rsidRPr="005E385F">
        <w:rPr>
          <w:rFonts w:ascii="Verdana" w:hAnsi="Verdana"/>
          <w:bCs/>
          <w:sz w:val="20"/>
        </w:rPr>
        <w:instrText>Internet Access</w:instrText>
      </w:r>
      <w:r w:rsidRPr="005E385F">
        <w:rPr>
          <w:rFonts w:ascii="Verdana" w:hAnsi="Verdana"/>
          <w:sz w:val="20"/>
        </w:rPr>
        <w:instrText>"</w:instrText>
      </w:r>
      <w:r w:rsidRPr="005E385F">
        <w:rPr>
          <w:rFonts w:ascii="Verdana" w:hAnsi="Verdana"/>
          <w:sz w:val="20"/>
        </w:rPr>
        <w:fldChar w:fldCharType="end"/>
      </w:r>
      <w:r w:rsidRPr="005E385F">
        <w:rPr>
          <w:rFonts w:ascii="Verdana" w:hAnsi="Verdana"/>
          <w:sz w:val="20"/>
        </w:rPr>
        <w:t xml:space="preserve"> for one price.  For administrative convenience, such a combined offering, if provided by a telecommunications carrier, may be requested in the telecommunications services</w:t>
      </w:r>
      <w:r w:rsidRPr="005E385F">
        <w:rPr>
          <w:rFonts w:ascii="Verdana" w:hAnsi="Verdana"/>
          <w:sz w:val="20"/>
        </w:rPr>
        <w:fldChar w:fldCharType="begin"/>
      </w:r>
      <w:r w:rsidRPr="005E385F">
        <w:rPr>
          <w:rFonts w:ascii="Verdana" w:hAnsi="Verdana"/>
          <w:sz w:val="20"/>
        </w:rPr>
        <w:instrText>xe "Telecommunications Services"</w:instrText>
      </w:r>
      <w:r w:rsidRPr="005E385F">
        <w:rPr>
          <w:rFonts w:ascii="Verdana" w:hAnsi="Verdana"/>
          <w:sz w:val="20"/>
        </w:rPr>
        <w:fldChar w:fldCharType="end"/>
      </w:r>
      <w:r w:rsidRPr="005E385F">
        <w:rPr>
          <w:rFonts w:ascii="Verdana" w:hAnsi="Verdana"/>
          <w:sz w:val="20"/>
        </w:rPr>
        <w:t xml:space="preserve"> category of service on the FCC Form 471.  Alternatively, funding may be requested as two separate requests, with the price of the offering appropriately allocated between the telecommunications services and Internet access categories.  </w:t>
      </w:r>
    </w:p>
    <w:p w14:paraId="371376F2" w14:textId="77777777" w:rsidR="00F935B1" w:rsidRPr="005E385F" w:rsidRDefault="00F935B1" w:rsidP="00F935B1">
      <w:pPr>
        <w:pStyle w:val="NormalWeb"/>
        <w:spacing w:before="0" w:beforeAutospacing="0" w:after="0"/>
        <w:rPr>
          <w:rFonts w:ascii="Verdana" w:hAnsi="Verdana"/>
          <w:i/>
          <w:sz w:val="20"/>
          <w:u w:val="single"/>
        </w:rPr>
      </w:pPr>
    </w:p>
    <w:p w14:paraId="00C6E760" w14:textId="77777777" w:rsidR="00F935B1" w:rsidRPr="005E385F" w:rsidRDefault="00F935B1" w:rsidP="00F935B1">
      <w:pPr>
        <w:pStyle w:val="NormalWeb"/>
        <w:spacing w:before="0" w:beforeAutospacing="0" w:after="0"/>
        <w:rPr>
          <w:rFonts w:ascii="Verdana" w:hAnsi="Verdana"/>
          <w:sz w:val="20"/>
        </w:rPr>
      </w:pPr>
      <w:r w:rsidRPr="005E385F">
        <w:rPr>
          <w:rFonts w:ascii="Verdana" w:hAnsi="Verdana"/>
          <w:i/>
          <w:sz w:val="20"/>
          <w:u w:val="single"/>
        </w:rPr>
        <w:t>CIPA Reminder.</w:t>
      </w:r>
      <w:r w:rsidRPr="005E385F">
        <w:rPr>
          <w:rFonts w:ascii="Verdana" w:hAnsi="Verdana"/>
          <w:sz w:val="20"/>
        </w:rPr>
        <w:t xml:space="preserve">  The funding of Internet access in the telecommunications services</w:t>
      </w:r>
      <w:r w:rsidRPr="005E385F">
        <w:rPr>
          <w:rFonts w:ascii="Verdana" w:hAnsi="Verdana"/>
          <w:sz w:val="20"/>
        </w:rPr>
        <w:fldChar w:fldCharType="begin"/>
      </w:r>
      <w:r w:rsidRPr="005E385F">
        <w:rPr>
          <w:rFonts w:ascii="Verdana" w:hAnsi="Verdana"/>
          <w:sz w:val="20"/>
        </w:rPr>
        <w:instrText>xe "Telecommunications Services"</w:instrText>
      </w:r>
      <w:r w:rsidRPr="005E385F">
        <w:rPr>
          <w:rFonts w:ascii="Verdana" w:hAnsi="Verdana"/>
          <w:sz w:val="20"/>
        </w:rPr>
        <w:fldChar w:fldCharType="end"/>
      </w:r>
      <w:r w:rsidRPr="005E385F">
        <w:rPr>
          <w:rFonts w:ascii="Verdana" w:hAnsi="Verdana"/>
          <w:sz w:val="20"/>
        </w:rPr>
        <w:t xml:space="preserve"> category </w:t>
      </w:r>
      <w:r w:rsidRPr="005E385F">
        <w:rPr>
          <w:rFonts w:ascii="Verdana" w:hAnsi="Verdana"/>
          <w:i/>
          <w:sz w:val="20"/>
        </w:rPr>
        <w:t>does not</w:t>
      </w:r>
      <w:r w:rsidRPr="005E385F">
        <w:rPr>
          <w:rFonts w:ascii="Verdana" w:hAnsi="Verdana"/>
          <w:sz w:val="20"/>
        </w:rPr>
        <w:t xml:space="preserve"> relieve applicants of complying with the requirements of the </w:t>
      </w:r>
      <w:hyperlink w:anchor="xxAddlRefInfoCIPA" w:history="1">
        <w:r w:rsidRPr="005E385F">
          <w:rPr>
            <w:rStyle w:val="Hyperlink"/>
            <w:rFonts w:ascii="Verdana" w:hAnsi="Verdana"/>
            <w:sz w:val="20"/>
          </w:rPr>
          <w:t>Children’s Internet Protection Act</w:t>
        </w:r>
        <w:r w:rsidRPr="005E385F">
          <w:rPr>
            <w:rFonts w:ascii="Verdana" w:hAnsi="Verdana"/>
            <w:sz w:val="20"/>
          </w:rPr>
          <w:fldChar w:fldCharType="begin"/>
        </w:r>
        <w:r w:rsidRPr="005E385F">
          <w:rPr>
            <w:rFonts w:ascii="Verdana" w:hAnsi="Verdana"/>
            <w:sz w:val="20"/>
          </w:rPr>
          <w:instrText>xe "</w:instrText>
        </w:r>
        <w:r w:rsidRPr="005E385F">
          <w:rPr>
            <w:rStyle w:val="Hyperlink"/>
            <w:rFonts w:ascii="Verdana" w:hAnsi="Verdana"/>
            <w:sz w:val="20"/>
          </w:rPr>
          <w:instrText>Children’s Internet Protection Act</w:instrText>
        </w:r>
        <w:r w:rsidRPr="005E385F">
          <w:rPr>
            <w:rFonts w:ascii="Verdana" w:hAnsi="Verdana"/>
            <w:sz w:val="20"/>
          </w:rPr>
          <w:instrText>"</w:instrText>
        </w:r>
        <w:r w:rsidRPr="005E385F">
          <w:rPr>
            <w:rFonts w:ascii="Verdana" w:hAnsi="Verdana"/>
            <w:sz w:val="20"/>
          </w:rPr>
          <w:fldChar w:fldCharType="end"/>
        </w:r>
      </w:hyperlink>
      <w:r w:rsidRPr="005E385F">
        <w:rPr>
          <w:rFonts w:ascii="Verdana" w:hAnsi="Verdana"/>
          <w:sz w:val="20"/>
        </w:rPr>
        <w:t xml:space="preserve"> (CIPA) if the service request includes Internet access.</w:t>
      </w:r>
    </w:p>
    <w:p w14:paraId="3509D6B0" w14:textId="77777777" w:rsidR="00160730" w:rsidRPr="005E385F" w:rsidRDefault="00160730" w:rsidP="00F935B1">
      <w:pPr>
        <w:pStyle w:val="NormalWeb"/>
        <w:spacing w:before="0" w:beforeAutospacing="0" w:after="0"/>
        <w:rPr>
          <w:rFonts w:ascii="Verdana" w:hAnsi="Verdana"/>
          <w:sz w:val="20"/>
        </w:rPr>
      </w:pPr>
    </w:p>
    <w:p w14:paraId="50EC5F9C" w14:textId="0CD0EB21" w:rsidR="00F935B1" w:rsidRPr="005E385F" w:rsidRDefault="00F935B1" w:rsidP="00F935B1">
      <w:pPr>
        <w:pStyle w:val="NormalWeb"/>
        <w:spacing w:before="0" w:beforeAutospacing="0" w:after="0"/>
        <w:rPr>
          <w:rFonts w:ascii="Verdana" w:hAnsi="Verdana"/>
          <w:sz w:val="20"/>
        </w:rPr>
      </w:pPr>
      <w:r w:rsidRPr="005E385F">
        <w:rPr>
          <w:rFonts w:ascii="Verdana" w:hAnsi="Verdana"/>
          <w:sz w:val="20"/>
        </w:rPr>
        <w:t xml:space="preserve">Additional information about eligibility requirements is available at USAC’s website at </w:t>
      </w:r>
      <w:hyperlink r:id="rId21" w:history="1">
        <w:r w:rsidRPr="005E385F">
          <w:rPr>
            <w:rStyle w:val="Hyperlink"/>
            <w:rFonts w:ascii="Verdana" w:hAnsi="Verdana"/>
            <w:sz w:val="20"/>
          </w:rPr>
          <w:t>http://www.usac.org/sl/</w:t>
        </w:r>
      </w:hyperlink>
      <w:r w:rsidRPr="005E385F">
        <w:rPr>
          <w:rFonts w:ascii="Verdana" w:hAnsi="Verdana"/>
          <w:sz w:val="20"/>
        </w:rPr>
        <w:t xml:space="preserve">, the reference area of the USAC website at </w:t>
      </w:r>
      <w:hyperlink r:id="rId22" w:history="1">
        <w:r w:rsidRPr="005E385F">
          <w:rPr>
            <w:rStyle w:val="Hyperlink"/>
            <w:rFonts w:ascii="Verdana" w:hAnsi="Verdana"/>
            <w:sz w:val="20"/>
          </w:rPr>
          <w:t>http://www.usac.org/sl/tools/reference-area.aspx</w:t>
        </w:r>
      </w:hyperlink>
      <w:r w:rsidRPr="005E385F">
        <w:rPr>
          <w:rFonts w:ascii="Verdana" w:hAnsi="Verdana"/>
          <w:sz w:val="20"/>
        </w:rPr>
        <w:t xml:space="preserve">, and in Schools and Libraries News-briefs available at </w:t>
      </w:r>
      <w:hyperlink r:id="rId23" w:history="1">
        <w:r w:rsidRPr="005E385F">
          <w:rPr>
            <w:rStyle w:val="Hyperlink"/>
            <w:rFonts w:ascii="Verdana" w:hAnsi="Verdana"/>
            <w:sz w:val="20"/>
          </w:rPr>
          <w:t>http://www.usac.org/sl/tools/news-briefs/Default.aspx</w:t>
        </w:r>
      </w:hyperlink>
      <w:r w:rsidRPr="005E385F">
        <w:rPr>
          <w:rFonts w:ascii="Verdana" w:hAnsi="Verdana"/>
          <w:sz w:val="20"/>
        </w:rPr>
        <w:t>. These documents are not incorporated by reference into the Eligible Services List.</w:t>
      </w:r>
    </w:p>
    <w:p w14:paraId="171CC47B" w14:textId="77777777" w:rsidR="00F935B1" w:rsidRPr="005E385F" w:rsidRDefault="00F935B1" w:rsidP="00F935B1">
      <w:pPr>
        <w:pStyle w:val="NormalWeb"/>
        <w:spacing w:before="0" w:beforeAutospacing="0" w:after="0"/>
        <w:rPr>
          <w:rFonts w:ascii="Verdana" w:hAnsi="Verdana"/>
          <w:sz w:val="20"/>
        </w:rPr>
      </w:pPr>
    </w:p>
    <w:p w14:paraId="45AA703C" w14:textId="77777777" w:rsidR="00F935B1" w:rsidRPr="005E385F" w:rsidRDefault="00F935B1" w:rsidP="00F935B1">
      <w:pPr>
        <w:pStyle w:val="NormalWeb"/>
        <w:spacing w:before="0" w:beforeAutospacing="0" w:after="0"/>
        <w:rPr>
          <w:rFonts w:ascii="Verdana" w:hAnsi="Verdana"/>
          <w:sz w:val="20"/>
        </w:rPr>
      </w:pPr>
      <w:r w:rsidRPr="005E385F">
        <w:rPr>
          <w:rFonts w:ascii="Verdana" w:hAnsi="Verdana"/>
          <w:sz w:val="20"/>
        </w:rPr>
        <w:t xml:space="preserve">This List, dated </w:t>
      </w:r>
      <w:r w:rsidRPr="005E385F">
        <w:rPr>
          <w:rFonts w:ascii="Verdana" w:hAnsi="Verdana"/>
          <w:b/>
          <w:sz w:val="20"/>
        </w:rPr>
        <w:t>September 27, 2012</w:t>
      </w:r>
      <w:r w:rsidRPr="005E385F">
        <w:rPr>
          <w:rFonts w:ascii="Verdana" w:hAnsi="Verdana"/>
          <w:sz w:val="20"/>
        </w:rPr>
        <w:t xml:space="preserve"> may represent a change from prior funding years and applies to funding requests for Funding Year 2013.</w:t>
      </w:r>
    </w:p>
    <w:p w14:paraId="36A08790" w14:textId="77777777" w:rsidR="00F935B1" w:rsidRDefault="00F935B1" w:rsidP="00F935B1">
      <w:pPr>
        <w:pStyle w:val="NormalWeb"/>
        <w:spacing w:before="0" w:beforeAutospacing="0" w:after="0"/>
        <w:sectPr w:rsidR="00F935B1" w:rsidSect="00F935B1">
          <w:footerReference w:type="default" r:id="rId24"/>
          <w:pgSz w:w="12240" w:h="15840" w:code="1"/>
          <w:pgMar w:top="1440" w:right="1800" w:bottom="1440" w:left="1800" w:header="720" w:footer="720" w:gutter="0"/>
          <w:cols w:space="720"/>
          <w:docGrid w:linePitch="360"/>
        </w:sectPr>
      </w:pPr>
    </w:p>
    <w:tbl>
      <w:tblPr>
        <w:tblpPr w:leftFromText="180" w:rightFromText="180" w:tblpX="216" w:tblpY="302"/>
        <w:tblW w:w="9243" w:type="dxa"/>
        <w:tblCellSpacing w:w="1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43" w:type="dxa"/>
          <w:left w:w="288" w:type="dxa"/>
          <w:bottom w:w="43" w:type="dxa"/>
          <w:right w:w="288" w:type="dxa"/>
        </w:tblCellMar>
        <w:tblLook w:val="0000" w:firstRow="0" w:lastRow="0" w:firstColumn="0" w:lastColumn="0" w:noHBand="0" w:noVBand="0"/>
      </w:tblPr>
      <w:tblGrid>
        <w:gridCol w:w="9243"/>
      </w:tblGrid>
      <w:tr w:rsidR="00F935B1" w14:paraId="3158F8F7" w14:textId="77777777" w:rsidTr="0083602C">
        <w:trPr>
          <w:tblCellSpacing w:w="15" w:type="dxa"/>
        </w:trPr>
        <w:tc>
          <w:tcPr>
            <w:tcW w:w="9183" w:type="dxa"/>
            <w:shd w:val="clear" w:color="auto" w:fill="FFCC00"/>
          </w:tcPr>
          <w:p w14:paraId="477D6A04" w14:textId="77777777" w:rsidR="00F935B1" w:rsidRDefault="00F935B1" w:rsidP="0083602C">
            <w:pPr>
              <w:spacing w:before="150" w:after="150"/>
              <w:jc w:val="center"/>
              <w:rPr>
                <w:rFonts w:ascii="Verdana" w:hAnsi="Verdana" w:cs="Arial"/>
                <w:b/>
                <w:bCs/>
              </w:rPr>
            </w:pPr>
            <w:r>
              <w:rPr>
                <w:rFonts w:ascii="Verdana" w:hAnsi="Verdana" w:cs="Arial"/>
                <w:b/>
                <w:bCs/>
              </w:rPr>
              <w:lastRenderedPageBreak/>
              <w:t>Priority One</w:t>
            </w:r>
          </w:p>
        </w:tc>
      </w:tr>
      <w:tr w:rsidR="00F935B1" w:rsidRPr="005E385F" w14:paraId="07BFB424" w14:textId="77777777" w:rsidTr="0083602C">
        <w:trPr>
          <w:tblCellSpacing w:w="15" w:type="dxa"/>
        </w:trPr>
        <w:tc>
          <w:tcPr>
            <w:tcW w:w="9183" w:type="dxa"/>
          </w:tcPr>
          <w:p w14:paraId="3D53E995" w14:textId="77777777" w:rsidR="00F935B1" w:rsidRPr="005E385F" w:rsidRDefault="00F935B1" w:rsidP="0083602C">
            <w:pPr>
              <w:pStyle w:val="NormalWeb"/>
              <w:spacing w:before="0" w:beforeAutospacing="0" w:after="0"/>
              <w:rPr>
                <w:rFonts w:ascii="Verdana" w:hAnsi="Verdana"/>
                <w:sz w:val="20"/>
              </w:rPr>
            </w:pPr>
            <w:r w:rsidRPr="005E385F">
              <w:rPr>
                <w:rFonts w:ascii="Verdana" w:hAnsi="Verdana"/>
                <w:sz w:val="20"/>
              </w:rPr>
              <w:t xml:space="preserve">This section lists the Priority One telecommunications services, telecommunications, and Internet access services for which E-rate applicants may seek discounts.    </w:t>
            </w:r>
          </w:p>
          <w:p w14:paraId="5734C867" w14:textId="77777777" w:rsidR="00F935B1" w:rsidRPr="005E385F" w:rsidRDefault="00F935B1" w:rsidP="0083602C">
            <w:pPr>
              <w:pStyle w:val="NormalWeb"/>
              <w:spacing w:before="0" w:beforeAutospacing="0" w:after="0"/>
              <w:rPr>
                <w:rFonts w:ascii="Verdana" w:hAnsi="Verdana"/>
                <w:sz w:val="20"/>
              </w:rPr>
            </w:pPr>
          </w:p>
          <w:p w14:paraId="1EF8F801" w14:textId="3A27327D" w:rsidR="00F935B1" w:rsidRPr="005E385F" w:rsidRDefault="00F935B1" w:rsidP="0083602C">
            <w:pPr>
              <w:pStyle w:val="NormalWeb"/>
              <w:spacing w:before="0" w:beforeAutospacing="0" w:after="0"/>
              <w:rPr>
                <w:rFonts w:ascii="Verdana" w:hAnsi="Verdana"/>
                <w:sz w:val="20"/>
              </w:rPr>
            </w:pPr>
            <w:r w:rsidRPr="005E385F">
              <w:rPr>
                <w:rFonts w:ascii="Verdana" w:hAnsi="Verdana"/>
                <w:sz w:val="20"/>
              </w:rPr>
              <w:t>Support is also available for m</w:t>
            </w:r>
            <w:r w:rsidRPr="005E385F">
              <w:rPr>
                <w:rFonts w:ascii="Verdana" w:hAnsi="Verdana"/>
                <w:bCs/>
                <w:sz w:val="20"/>
              </w:rPr>
              <w:t>aintenance</w:t>
            </w:r>
            <w:r w:rsidRPr="005E385F">
              <w:rPr>
                <w:rFonts w:ascii="Verdana" w:hAnsi="Verdana"/>
                <w:sz w:val="20"/>
              </w:rPr>
              <w:fldChar w:fldCharType="begin"/>
            </w:r>
            <w:r w:rsidRPr="005E385F">
              <w:rPr>
                <w:rFonts w:ascii="Verdana" w:hAnsi="Verdana"/>
                <w:sz w:val="20"/>
              </w:rPr>
              <w:instrText>xe "</w:instrText>
            </w:r>
            <w:r w:rsidRPr="005E385F">
              <w:rPr>
                <w:rFonts w:ascii="Verdana" w:hAnsi="Verdana"/>
                <w:bCs/>
                <w:sz w:val="20"/>
              </w:rPr>
              <w:instrText>Maintenance</w:instrText>
            </w:r>
            <w:r w:rsidRPr="005E385F">
              <w:rPr>
                <w:rFonts w:ascii="Verdana" w:hAnsi="Verdana"/>
                <w:sz w:val="20"/>
              </w:rPr>
              <w:instrText>"</w:instrText>
            </w:r>
            <w:r w:rsidRPr="005E385F">
              <w:rPr>
                <w:rFonts w:ascii="Verdana" w:hAnsi="Verdana"/>
                <w:sz w:val="20"/>
              </w:rPr>
              <w:fldChar w:fldCharType="end"/>
            </w:r>
            <w:r w:rsidRPr="005E385F">
              <w:rPr>
                <w:rFonts w:ascii="Verdana" w:hAnsi="Verdana"/>
                <w:bCs/>
                <w:sz w:val="20"/>
              </w:rPr>
              <w:t xml:space="preserve"> and technical support</w:t>
            </w:r>
            <w:r w:rsidRPr="005E385F">
              <w:rPr>
                <w:rFonts w:ascii="Verdana" w:hAnsi="Verdana"/>
                <w:sz w:val="20"/>
              </w:rPr>
              <w:fldChar w:fldCharType="begin"/>
            </w:r>
            <w:r w:rsidRPr="005E385F">
              <w:rPr>
                <w:rFonts w:ascii="Verdana" w:hAnsi="Verdana"/>
                <w:sz w:val="20"/>
              </w:rPr>
              <w:instrText>xe "T</w:instrText>
            </w:r>
            <w:r w:rsidRPr="005E385F">
              <w:rPr>
                <w:rFonts w:ascii="Verdana" w:hAnsi="Verdana"/>
                <w:bCs/>
                <w:sz w:val="20"/>
              </w:rPr>
              <w:instrText>echnical Support</w:instrText>
            </w:r>
            <w:r w:rsidRPr="005E385F">
              <w:rPr>
                <w:rFonts w:ascii="Verdana" w:hAnsi="Verdana"/>
                <w:sz w:val="20"/>
              </w:rPr>
              <w:instrText>"</w:instrText>
            </w:r>
            <w:r w:rsidRPr="005E385F">
              <w:rPr>
                <w:rFonts w:ascii="Verdana" w:hAnsi="Verdana"/>
                <w:sz w:val="20"/>
              </w:rPr>
              <w:fldChar w:fldCharType="end"/>
            </w:r>
            <w:r w:rsidRPr="005E385F">
              <w:rPr>
                <w:rFonts w:ascii="Verdana" w:hAnsi="Verdana"/>
                <w:bCs/>
                <w:sz w:val="20"/>
              </w:rPr>
              <w:t xml:space="preserve"> appropriate to maintain reliable operation when provided as a component of these services.  Please see the </w:t>
            </w:r>
            <w:hyperlink r:id="rId25" w:anchor="xxMiscellaneous" w:history="1">
              <w:r w:rsidRPr="005E385F">
                <w:rPr>
                  <w:rStyle w:val="Hyperlink"/>
                  <w:rFonts w:ascii="Verdana" w:hAnsi="Verdana"/>
                  <w:bCs/>
                  <w:sz w:val="20"/>
                </w:rPr>
                <w:t>Miscellaneous</w:t>
              </w:r>
              <w:r w:rsidRPr="005E385F">
                <w:rPr>
                  <w:rFonts w:ascii="Verdana" w:hAnsi="Verdana"/>
                  <w:sz w:val="20"/>
                </w:rPr>
                <w:fldChar w:fldCharType="begin"/>
              </w:r>
              <w:r w:rsidRPr="005E385F">
                <w:rPr>
                  <w:rFonts w:ascii="Verdana" w:hAnsi="Verdana"/>
                  <w:sz w:val="20"/>
                </w:rPr>
                <w:instrText>xe "Miscellaneous Services"</w:instrText>
              </w:r>
              <w:r w:rsidRPr="005E385F">
                <w:rPr>
                  <w:rFonts w:ascii="Verdana" w:hAnsi="Verdana"/>
                  <w:sz w:val="20"/>
                </w:rPr>
                <w:fldChar w:fldCharType="end"/>
              </w:r>
            </w:hyperlink>
            <w:r w:rsidRPr="005E385F">
              <w:rPr>
                <w:rFonts w:ascii="Verdana" w:hAnsi="Verdana"/>
                <w:bCs/>
                <w:sz w:val="20"/>
              </w:rPr>
              <w:t xml:space="preserve"> section of this document for additional entries applicable to these services, such as charges for installation</w:t>
            </w:r>
            <w:r w:rsidRPr="005E385F">
              <w:rPr>
                <w:rFonts w:ascii="Verdana" w:hAnsi="Verdana"/>
                <w:sz w:val="20"/>
              </w:rPr>
              <w:fldChar w:fldCharType="begin"/>
            </w:r>
            <w:r w:rsidRPr="005E385F">
              <w:rPr>
                <w:rFonts w:ascii="Verdana" w:hAnsi="Verdana"/>
                <w:sz w:val="20"/>
              </w:rPr>
              <w:instrText>xe "Installation"</w:instrText>
            </w:r>
            <w:r w:rsidRPr="005E385F">
              <w:rPr>
                <w:rFonts w:ascii="Verdana" w:hAnsi="Verdana"/>
                <w:sz w:val="20"/>
              </w:rPr>
              <w:fldChar w:fldCharType="end"/>
            </w:r>
            <w:r w:rsidRPr="005E385F">
              <w:rPr>
                <w:rFonts w:ascii="Verdana" w:hAnsi="Verdana"/>
                <w:bCs/>
                <w:sz w:val="20"/>
              </w:rPr>
              <w:t xml:space="preserve"> and configuration.</w:t>
            </w:r>
            <w:r w:rsidRPr="005E385F">
              <w:rPr>
                <w:rFonts w:ascii="Verdana" w:hAnsi="Verdana"/>
                <w:sz w:val="20"/>
              </w:rPr>
              <w:fldChar w:fldCharType="begin"/>
            </w:r>
            <w:r w:rsidRPr="005E385F">
              <w:rPr>
                <w:rFonts w:ascii="Verdana" w:hAnsi="Verdana"/>
                <w:sz w:val="20"/>
              </w:rPr>
              <w:instrText>xe "</w:instrText>
            </w:r>
            <w:r w:rsidRPr="005E385F">
              <w:rPr>
                <w:rFonts w:ascii="Verdana" w:hAnsi="Verdana"/>
                <w:bCs/>
                <w:sz w:val="20"/>
              </w:rPr>
              <w:instrText>Configuration</w:instrText>
            </w:r>
            <w:r w:rsidRPr="005E385F">
              <w:rPr>
                <w:rFonts w:ascii="Verdana" w:hAnsi="Verdana"/>
                <w:sz w:val="20"/>
              </w:rPr>
              <w:instrText>"</w:instrText>
            </w:r>
            <w:r w:rsidRPr="005E385F">
              <w:rPr>
                <w:rFonts w:ascii="Verdana" w:hAnsi="Verdana"/>
                <w:sz w:val="20"/>
              </w:rPr>
              <w:fldChar w:fldCharType="end"/>
            </w:r>
          </w:p>
          <w:p w14:paraId="504EF702" w14:textId="77777777" w:rsidR="00F935B1" w:rsidRPr="005E385F" w:rsidRDefault="00F935B1" w:rsidP="0083602C">
            <w:pPr>
              <w:pStyle w:val="NormalWeb"/>
              <w:spacing w:before="0" w:beforeAutospacing="0" w:after="0"/>
              <w:rPr>
                <w:rFonts w:ascii="Verdana" w:hAnsi="Verdana"/>
                <w:sz w:val="20"/>
              </w:rPr>
            </w:pPr>
          </w:p>
          <w:p w14:paraId="0066EDDC" w14:textId="77777777" w:rsidR="00F935B1" w:rsidRPr="005E385F" w:rsidRDefault="00F935B1" w:rsidP="0083602C">
            <w:pPr>
              <w:pStyle w:val="NormalWeb"/>
              <w:spacing w:before="0" w:beforeAutospacing="0" w:after="0"/>
              <w:rPr>
                <w:rFonts w:ascii="Verdana" w:hAnsi="Verdana"/>
                <w:sz w:val="20"/>
              </w:rPr>
            </w:pPr>
          </w:p>
        </w:tc>
      </w:tr>
    </w:tbl>
    <w:p w14:paraId="606E8ACA" w14:textId="77777777" w:rsidR="00F935B1" w:rsidRPr="005E385F" w:rsidRDefault="00F935B1" w:rsidP="00F935B1">
      <w:pPr>
        <w:rPr>
          <w:rFonts w:ascii="Verdana" w:hAnsi="Verdana"/>
          <w:sz w:val="20"/>
        </w:rPr>
      </w:pPr>
    </w:p>
    <w:tbl>
      <w:tblPr>
        <w:tblW w:w="9253"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000" w:firstRow="0" w:lastRow="0" w:firstColumn="0" w:lastColumn="0" w:noHBand="0" w:noVBand="0"/>
      </w:tblPr>
      <w:tblGrid>
        <w:gridCol w:w="2206"/>
        <w:gridCol w:w="7047"/>
      </w:tblGrid>
      <w:tr w:rsidR="00F935B1" w:rsidRPr="005E385F" w14:paraId="7457AAB7" w14:textId="77777777" w:rsidTr="0083602C">
        <w:trPr>
          <w:tblCellSpacing w:w="20" w:type="dxa"/>
        </w:trPr>
        <w:tc>
          <w:tcPr>
            <w:tcW w:w="2146" w:type="dxa"/>
          </w:tcPr>
          <w:p w14:paraId="0BCF5B11" w14:textId="77777777" w:rsidR="00F935B1" w:rsidRPr="005E385F" w:rsidRDefault="00F935B1" w:rsidP="0083602C">
            <w:pPr>
              <w:jc w:val="center"/>
              <w:rPr>
                <w:rFonts w:ascii="Verdana" w:hAnsi="Verdana"/>
                <w:sz w:val="20"/>
              </w:rPr>
            </w:pPr>
            <w:r w:rsidRPr="005E385F">
              <w:rPr>
                <w:rFonts w:ascii="Verdana" w:hAnsi="Verdana"/>
                <w:b/>
                <w:bCs/>
                <w:sz w:val="20"/>
              </w:rPr>
              <w:t>Function</w:t>
            </w:r>
          </w:p>
        </w:tc>
        <w:tc>
          <w:tcPr>
            <w:tcW w:w="6987" w:type="dxa"/>
          </w:tcPr>
          <w:p w14:paraId="2CE550C0" w14:textId="77777777" w:rsidR="00F935B1" w:rsidRPr="005E385F" w:rsidRDefault="00F935B1" w:rsidP="0083602C">
            <w:pPr>
              <w:jc w:val="center"/>
              <w:rPr>
                <w:rFonts w:ascii="Verdana" w:hAnsi="Verdana"/>
                <w:sz w:val="20"/>
              </w:rPr>
            </w:pPr>
            <w:r w:rsidRPr="005E385F">
              <w:rPr>
                <w:rFonts w:ascii="Verdana" w:hAnsi="Verdana"/>
                <w:b/>
                <w:bCs/>
                <w:sz w:val="20"/>
              </w:rPr>
              <w:t>Description</w:t>
            </w:r>
            <w:r w:rsidRPr="005E385F">
              <w:rPr>
                <w:rFonts w:ascii="Verdana" w:hAnsi="Verdana"/>
                <w:sz w:val="20"/>
              </w:rPr>
              <w:t xml:space="preserve"> </w:t>
            </w:r>
          </w:p>
        </w:tc>
      </w:tr>
      <w:tr w:rsidR="00F935B1" w:rsidRPr="005E385F" w14:paraId="751A73D9" w14:textId="77777777" w:rsidTr="0083602C">
        <w:trPr>
          <w:tblCellSpacing w:w="20" w:type="dxa"/>
        </w:trPr>
        <w:tc>
          <w:tcPr>
            <w:tcW w:w="2146" w:type="dxa"/>
          </w:tcPr>
          <w:p w14:paraId="623D2DEF" w14:textId="77777777" w:rsidR="00F935B1" w:rsidRPr="005E385F" w:rsidRDefault="00F935B1" w:rsidP="0083602C">
            <w:pPr>
              <w:rPr>
                <w:rFonts w:ascii="Verdana" w:hAnsi="Verdana"/>
                <w:b/>
                <w:sz w:val="20"/>
              </w:rPr>
            </w:pPr>
            <w:r w:rsidRPr="005E385F">
              <w:rPr>
                <w:rFonts w:ascii="Verdana" w:hAnsi="Verdana"/>
                <w:b/>
                <w:sz w:val="20"/>
              </w:rPr>
              <w:t>Digital Transmission Services</w:t>
            </w:r>
            <w:r w:rsidRPr="005E385F">
              <w:rPr>
                <w:rFonts w:ascii="Verdana" w:hAnsi="Verdana"/>
                <w:b/>
                <w:sz w:val="20"/>
              </w:rPr>
              <w:fldChar w:fldCharType="begin"/>
            </w:r>
            <w:r w:rsidRPr="005E385F">
              <w:rPr>
                <w:rFonts w:ascii="Verdana" w:hAnsi="Verdana"/>
                <w:b/>
                <w:sz w:val="20"/>
              </w:rPr>
              <w:instrText>xe "Digital Transmission Services"</w:instrText>
            </w:r>
            <w:r w:rsidRPr="005E385F">
              <w:rPr>
                <w:rFonts w:ascii="Verdana" w:hAnsi="Verdana"/>
                <w:b/>
                <w:sz w:val="20"/>
              </w:rPr>
              <w:fldChar w:fldCharType="end"/>
            </w:r>
          </w:p>
          <w:p w14:paraId="6018029D" w14:textId="77777777" w:rsidR="00F935B1" w:rsidRPr="005E385F" w:rsidRDefault="00F935B1" w:rsidP="0083602C">
            <w:pPr>
              <w:rPr>
                <w:rFonts w:ascii="Verdana" w:hAnsi="Verdana"/>
                <w:sz w:val="20"/>
              </w:rPr>
            </w:pPr>
          </w:p>
          <w:p w14:paraId="1429243E" w14:textId="77777777" w:rsidR="00F935B1" w:rsidRPr="005E385F" w:rsidRDefault="00F935B1" w:rsidP="0083602C">
            <w:pPr>
              <w:rPr>
                <w:rFonts w:ascii="Verdana" w:hAnsi="Verdana"/>
                <w:i/>
                <w:sz w:val="20"/>
              </w:rPr>
            </w:pPr>
          </w:p>
        </w:tc>
        <w:tc>
          <w:tcPr>
            <w:tcW w:w="6987" w:type="dxa"/>
          </w:tcPr>
          <w:p w14:paraId="096024E2" w14:textId="77777777" w:rsidR="00F935B1" w:rsidRPr="005E385F" w:rsidRDefault="00F935B1" w:rsidP="0083602C">
            <w:pPr>
              <w:pStyle w:val="NormalWeb"/>
              <w:spacing w:before="0" w:beforeAutospacing="0" w:after="0"/>
              <w:rPr>
                <w:rFonts w:ascii="Verdana" w:hAnsi="Verdana"/>
                <w:sz w:val="20"/>
              </w:rPr>
            </w:pPr>
            <w:r w:rsidRPr="005E385F">
              <w:rPr>
                <w:rFonts w:ascii="Verdana" w:hAnsi="Verdana"/>
                <w:bCs/>
                <w:sz w:val="20"/>
              </w:rPr>
              <w:t>Digital transmission services provide transmission from an eligible school or library facility to other locations beyond the school or library.  Such services</w:t>
            </w:r>
            <w:r w:rsidRPr="005E385F">
              <w:rPr>
                <w:rFonts w:ascii="Verdana" w:hAnsi="Verdana"/>
                <w:sz w:val="20"/>
              </w:rPr>
              <w:fldChar w:fldCharType="begin"/>
            </w:r>
            <w:r w:rsidRPr="005E385F">
              <w:rPr>
                <w:rFonts w:ascii="Verdana" w:hAnsi="Verdana"/>
                <w:sz w:val="20"/>
              </w:rPr>
              <w:instrText>xe "</w:instrText>
            </w:r>
            <w:r w:rsidRPr="005E385F">
              <w:rPr>
                <w:rFonts w:ascii="Verdana" w:hAnsi="Verdana"/>
                <w:bCs/>
                <w:sz w:val="20"/>
              </w:rPr>
              <w:instrText>Digital Transmission Services</w:instrText>
            </w:r>
            <w:r w:rsidRPr="005E385F">
              <w:rPr>
                <w:rFonts w:ascii="Verdana" w:hAnsi="Verdana"/>
                <w:sz w:val="20"/>
              </w:rPr>
              <w:instrText>"</w:instrText>
            </w:r>
            <w:r w:rsidRPr="005E385F">
              <w:rPr>
                <w:rFonts w:ascii="Verdana" w:hAnsi="Verdana"/>
                <w:sz w:val="20"/>
              </w:rPr>
              <w:fldChar w:fldCharType="end"/>
            </w:r>
            <w:r w:rsidRPr="005E385F">
              <w:rPr>
                <w:rFonts w:ascii="Verdana" w:hAnsi="Verdana"/>
                <w:bCs/>
                <w:sz w:val="20"/>
              </w:rPr>
              <w:t xml:space="preserve"> generally refer to data links that connect multiple points using any available technology.</w:t>
            </w:r>
            <w:r w:rsidRPr="005E385F">
              <w:rPr>
                <w:rFonts w:ascii="Verdana" w:hAnsi="Verdana"/>
                <w:sz w:val="20"/>
              </w:rPr>
              <w:t xml:space="preserve">  An eligible digital transmission service may be used to connect an eligible location to the Internet</w:t>
            </w:r>
            <w:r w:rsidRPr="005E385F">
              <w:rPr>
                <w:rFonts w:ascii="Verdana" w:hAnsi="Verdana"/>
                <w:sz w:val="20"/>
              </w:rPr>
              <w:fldChar w:fldCharType="begin"/>
            </w:r>
            <w:r w:rsidRPr="005E385F">
              <w:rPr>
                <w:rFonts w:ascii="Verdana" w:hAnsi="Verdana"/>
                <w:sz w:val="20"/>
              </w:rPr>
              <w:instrText>xe "Internet"</w:instrText>
            </w:r>
            <w:r w:rsidRPr="005E385F">
              <w:rPr>
                <w:rFonts w:ascii="Verdana" w:hAnsi="Verdana"/>
                <w:sz w:val="20"/>
              </w:rPr>
              <w:fldChar w:fldCharType="end"/>
            </w:r>
            <w:r w:rsidRPr="005E385F">
              <w:rPr>
                <w:rFonts w:ascii="Verdana" w:hAnsi="Verdana"/>
                <w:sz w:val="20"/>
              </w:rPr>
              <w:t xml:space="preserve"> or </w:t>
            </w:r>
            <w:hyperlink w:anchor="IAInternet2" w:history="1">
              <w:r w:rsidRPr="005E385F">
                <w:rPr>
                  <w:rStyle w:val="Hyperlink"/>
                  <w:rFonts w:ascii="Verdana" w:hAnsi="Verdana"/>
                  <w:sz w:val="20"/>
                </w:rPr>
                <w:t>Internet2</w:t>
              </w:r>
              <w:r w:rsidRPr="005E385F">
                <w:rPr>
                  <w:rFonts w:ascii="Verdana" w:hAnsi="Verdana"/>
                  <w:sz w:val="20"/>
                </w:rPr>
                <w:fldChar w:fldCharType="begin"/>
              </w:r>
              <w:r w:rsidRPr="005E385F">
                <w:rPr>
                  <w:rFonts w:ascii="Verdana" w:hAnsi="Verdana"/>
                  <w:sz w:val="20"/>
                </w:rPr>
                <w:instrText>xe "</w:instrText>
              </w:r>
              <w:r w:rsidRPr="005E385F">
                <w:rPr>
                  <w:rStyle w:val="Hyperlink"/>
                  <w:rFonts w:ascii="Verdana" w:hAnsi="Verdana"/>
                  <w:sz w:val="20"/>
                </w:rPr>
                <w:instrText>Internet2</w:instrText>
              </w:r>
              <w:r w:rsidRPr="005E385F">
                <w:rPr>
                  <w:rFonts w:ascii="Verdana" w:hAnsi="Verdana"/>
                  <w:sz w:val="20"/>
                </w:rPr>
                <w:instrText>"</w:instrText>
              </w:r>
              <w:r w:rsidRPr="005E385F">
                <w:rPr>
                  <w:rFonts w:ascii="Verdana" w:hAnsi="Verdana"/>
                  <w:sz w:val="20"/>
                </w:rPr>
                <w:fldChar w:fldCharType="end"/>
              </w:r>
            </w:hyperlink>
            <w:r w:rsidRPr="005E385F">
              <w:rPr>
                <w:rFonts w:ascii="Verdana" w:hAnsi="Verdana"/>
                <w:sz w:val="20"/>
              </w:rPr>
              <w:t>. Digital transmission services used to link local networks are commonly called “wide area networks</w:t>
            </w:r>
            <w:r w:rsidRPr="005E385F">
              <w:rPr>
                <w:rFonts w:ascii="Verdana" w:hAnsi="Verdana"/>
                <w:sz w:val="20"/>
              </w:rPr>
              <w:fldChar w:fldCharType="begin"/>
            </w:r>
            <w:r w:rsidRPr="005E385F">
              <w:rPr>
                <w:rFonts w:ascii="Verdana" w:hAnsi="Verdana"/>
                <w:sz w:val="20"/>
              </w:rPr>
              <w:instrText>xe "Wide Area Network"</w:instrText>
            </w:r>
            <w:r w:rsidRPr="005E385F">
              <w:rPr>
                <w:rFonts w:ascii="Verdana" w:hAnsi="Verdana"/>
                <w:sz w:val="20"/>
              </w:rPr>
              <w:fldChar w:fldCharType="end"/>
            </w:r>
            <w:r w:rsidRPr="005E385F">
              <w:rPr>
                <w:rFonts w:ascii="Verdana" w:hAnsi="Verdana"/>
                <w:sz w:val="20"/>
              </w:rPr>
              <w:t>” (</w:t>
            </w:r>
            <w:hyperlink w:anchor="xxAddlRefInfoWANs" w:history="1">
              <w:r w:rsidRPr="005E385F">
                <w:rPr>
                  <w:rStyle w:val="Hyperlink"/>
                  <w:rFonts w:ascii="Verdana" w:hAnsi="Verdana"/>
                  <w:sz w:val="20"/>
                </w:rPr>
                <w:t>WAN</w:t>
              </w:r>
            </w:hyperlink>
            <w:r w:rsidRPr="005E385F">
              <w:rPr>
                <w:rFonts w:ascii="Verdana" w:hAnsi="Verdana"/>
                <w:sz w:val="20"/>
              </w:rPr>
              <w:t xml:space="preserve">s).  </w:t>
            </w:r>
          </w:p>
          <w:p w14:paraId="4873BB15" w14:textId="77777777" w:rsidR="00F935B1" w:rsidRPr="005E385F" w:rsidRDefault="00F935B1" w:rsidP="0083602C">
            <w:pPr>
              <w:pStyle w:val="NormalWeb"/>
              <w:spacing w:before="0" w:beforeAutospacing="0" w:after="0"/>
              <w:rPr>
                <w:rFonts w:ascii="Verdana" w:hAnsi="Verdana"/>
                <w:sz w:val="20"/>
              </w:rPr>
            </w:pPr>
          </w:p>
          <w:p w14:paraId="1ADCEB53" w14:textId="77777777" w:rsidR="00F935B1" w:rsidRPr="005E385F" w:rsidRDefault="00F935B1" w:rsidP="0083602C">
            <w:pPr>
              <w:pStyle w:val="NormalWeb"/>
              <w:spacing w:before="0" w:beforeAutospacing="0" w:after="0"/>
              <w:rPr>
                <w:rFonts w:ascii="Verdana" w:hAnsi="Verdana"/>
                <w:sz w:val="20"/>
              </w:rPr>
            </w:pPr>
            <w:r w:rsidRPr="005E385F">
              <w:rPr>
                <w:rFonts w:ascii="Verdana" w:hAnsi="Verdana"/>
                <w:sz w:val="20"/>
              </w:rPr>
              <w:t>Eligible digital transmission technologies include, but are not limited to:</w:t>
            </w:r>
          </w:p>
          <w:p w14:paraId="283C88B3" w14:textId="77777777" w:rsidR="00F935B1" w:rsidRPr="005E385F" w:rsidRDefault="00A0395D" w:rsidP="00F935B1">
            <w:pPr>
              <w:pStyle w:val="NormalWeb"/>
              <w:numPr>
                <w:ilvl w:val="0"/>
                <w:numId w:val="10"/>
              </w:numPr>
              <w:spacing w:before="0" w:beforeAutospacing="0" w:after="0"/>
              <w:rPr>
                <w:rFonts w:ascii="Verdana" w:hAnsi="Verdana"/>
                <w:sz w:val="20"/>
              </w:rPr>
            </w:pPr>
            <w:hyperlink w:anchor="TelecomAsyncTransferMode" w:history="1">
              <w:r w:rsidR="00F935B1" w:rsidRPr="005E385F">
                <w:rPr>
                  <w:rStyle w:val="Hyperlink"/>
                  <w:rFonts w:ascii="Verdana" w:hAnsi="Verdana"/>
                  <w:sz w:val="20"/>
                </w:rPr>
                <w:t>Asynchronous Transfer Mode (ATM)</w:t>
              </w:r>
              <w:r w:rsidR="00F935B1" w:rsidRPr="005E385F">
                <w:rPr>
                  <w:rFonts w:ascii="Verdana" w:hAnsi="Verdana"/>
                  <w:sz w:val="20"/>
                </w:rPr>
                <w:fldChar w:fldCharType="begin"/>
              </w:r>
              <w:r w:rsidR="00F935B1" w:rsidRPr="005E385F">
                <w:rPr>
                  <w:rFonts w:ascii="Verdana" w:hAnsi="Verdana"/>
                  <w:sz w:val="20"/>
                </w:rPr>
                <w:instrText>xe "</w:instrText>
              </w:r>
              <w:r w:rsidR="00F935B1" w:rsidRPr="005E385F">
                <w:rPr>
                  <w:rStyle w:val="Hyperlink"/>
                  <w:rFonts w:ascii="Verdana" w:hAnsi="Verdana"/>
                  <w:sz w:val="20"/>
                </w:rPr>
                <w:instrText>Asynchronous Transfer Mode</w:instrText>
              </w:r>
              <w:r w:rsidR="00F935B1" w:rsidRPr="005E385F">
                <w:rPr>
                  <w:rFonts w:ascii="Verdana" w:hAnsi="Verdana"/>
                  <w:sz w:val="20"/>
                </w:rPr>
                <w:instrText>"</w:instrText>
              </w:r>
              <w:r w:rsidR="00F935B1" w:rsidRPr="005E385F">
                <w:rPr>
                  <w:rFonts w:ascii="Verdana" w:hAnsi="Verdana"/>
                  <w:sz w:val="20"/>
                </w:rPr>
                <w:fldChar w:fldCharType="end"/>
              </w:r>
            </w:hyperlink>
          </w:p>
          <w:p w14:paraId="355501B0" w14:textId="77777777" w:rsidR="00F935B1" w:rsidRPr="005E385F" w:rsidRDefault="00A0395D" w:rsidP="00F935B1">
            <w:pPr>
              <w:pStyle w:val="NormalWeb"/>
              <w:numPr>
                <w:ilvl w:val="0"/>
                <w:numId w:val="10"/>
              </w:numPr>
              <w:spacing w:before="0" w:beforeAutospacing="0" w:after="0"/>
              <w:rPr>
                <w:rFonts w:ascii="Verdana" w:hAnsi="Verdana"/>
                <w:sz w:val="20"/>
              </w:rPr>
            </w:pPr>
            <w:hyperlink w:anchor="xxBroadbandOverPowerLines" w:history="1">
              <w:r w:rsidR="00F935B1" w:rsidRPr="005E385F">
                <w:rPr>
                  <w:rStyle w:val="Hyperlink"/>
                  <w:rFonts w:ascii="Verdana" w:hAnsi="Verdana"/>
                  <w:sz w:val="20"/>
                </w:rPr>
                <w:t>Broadband over Power Lines</w:t>
              </w:r>
            </w:hyperlink>
            <w:r w:rsidR="00F935B1" w:rsidRPr="005E385F">
              <w:rPr>
                <w:rFonts w:ascii="Verdana" w:hAnsi="Verdana"/>
                <w:sz w:val="20"/>
              </w:rPr>
              <w:t xml:space="preserve"> (BPL) </w:t>
            </w:r>
            <w:r w:rsidR="00F935B1" w:rsidRPr="005E385F">
              <w:rPr>
                <w:rFonts w:ascii="Verdana" w:hAnsi="Verdana"/>
                <w:sz w:val="20"/>
              </w:rPr>
              <w:fldChar w:fldCharType="begin"/>
            </w:r>
            <w:r w:rsidR="00F935B1" w:rsidRPr="005E385F">
              <w:rPr>
                <w:rFonts w:ascii="Verdana" w:hAnsi="Verdana"/>
                <w:sz w:val="20"/>
              </w:rPr>
              <w:instrText>xe "Broadband over Power Lines"</w:instrText>
            </w:r>
            <w:r w:rsidR="00F935B1" w:rsidRPr="005E385F">
              <w:rPr>
                <w:rFonts w:ascii="Verdana" w:hAnsi="Verdana"/>
                <w:sz w:val="20"/>
              </w:rPr>
              <w:fldChar w:fldCharType="end"/>
            </w:r>
          </w:p>
          <w:p w14:paraId="192E7B6E" w14:textId="77777777" w:rsidR="00F935B1" w:rsidRPr="005E385F" w:rsidRDefault="00A0395D" w:rsidP="00F935B1">
            <w:pPr>
              <w:pStyle w:val="NormalWeb"/>
              <w:numPr>
                <w:ilvl w:val="0"/>
                <w:numId w:val="10"/>
              </w:numPr>
              <w:spacing w:before="0" w:beforeAutospacing="0" w:after="0"/>
              <w:rPr>
                <w:rFonts w:ascii="Verdana" w:hAnsi="Verdana"/>
                <w:sz w:val="20"/>
              </w:rPr>
            </w:pPr>
            <w:hyperlink w:anchor="IADigitalSubscriberLine" w:history="1">
              <w:r w:rsidR="00F935B1" w:rsidRPr="005E385F">
                <w:rPr>
                  <w:rStyle w:val="Hyperlink"/>
                  <w:rFonts w:ascii="Verdana" w:hAnsi="Verdana"/>
                  <w:sz w:val="20"/>
                </w:rPr>
                <w:t>Digital Subscriber Line</w:t>
              </w:r>
            </w:hyperlink>
            <w:r w:rsidR="00F935B1" w:rsidRPr="005E385F">
              <w:rPr>
                <w:rFonts w:ascii="Verdana" w:hAnsi="Verdana"/>
                <w:sz w:val="20"/>
              </w:rPr>
              <w:t xml:space="preserve"> (DSL)</w:t>
            </w:r>
            <w:r w:rsidR="00F935B1" w:rsidRPr="005E385F">
              <w:rPr>
                <w:rFonts w:ascii="Verdana" w:hAnsi="Verdana"/>
                <w:sz w:val="20"/>
              </w:rPr>
              <w:fldChar w:fldCharType="begin"/>
            </w:r>
            <w:r w:rsidR="00F935B1" w:rsidRPr="005E385F">
              <w:rPr>
                <w:rFonts w:ascii="Verdana" w:hAnsi="Verdana"/>
                <w:sz w:val="20"/>
              </w:rPr>
              <w:instrText>xe "ATM"</w:instrText>
            </w:r>
            <w:r w:rsidR="00F935B1" w:rsidRPr="005E385F">
              <w:rPr>
                <w:rFonts w:ascii="Verdana" w:hAnsi="Verdana"/>
                <w:sz w:val="20"/>
              </w:rPr>
              <w:fldChar w:fldCharType="end"/>
            </w:r>
          </w:p>
          <w:p w14:paraId="2741F12C" w14:textId="77777777" w:rsidR="00F935B1" w:rsidRPr="005E385F" w:rsidRDefault="00A0395D" w:rsidP="00F935B1">
            <w:pPr>
              <w:pStyle w:val="NormalWeb"/>
              <w:numPr>
                <w:ilvl w:val="0"/>
                <w:numId w:val="10"/>
              </w:numPr>
              <w:spacing w:before="0" w:beforeAutospacing="0" w:after="0"/>
              <w:rPr>
                <w:rFonts w:ascii="Verdana" w:hAnsi="Verdana"/>
                <w:sz w:val="20"/>
              </w:rPr>
            </w:pPr>
            <w:hyperlink w:anchor="TelecomDS1" w:history="1">
              <w:r w:rsidR="00F935B1" w:rsidRPr="005E385F">
                <w:rPr>
                  <w:rStyle w:val="Hyperlink"/>
                  <w:rFonts w:ascii="Verdana" w:hAnsi="Verdana"/>
                  <w:sz w:val="20"/>
                </w:rPr>
                <w:t>DS-1</w:t>
              </w:r>
              <w:r w:rsidR="00F935B1" w:rsidRPr="005E385F">
                <w:rPr>
                  <w:rFonts w:ascii="Verdana" w:hAnsi="Verdana"/>
                  <w:sz w:val="20"/>
                </w:rPr>
                <w:fldChar w:fldCharType="begin"/>
              </w:r>
              <w:r w:rsidR="00F935B1" w:rsidRPr="005E385F">
                <w:rPr>
                  <w:rFonts w:ascii="Verdana" w:hAnsi="Verdana"/>
                  <w:sz w:val="20"/>
                </w:rPr>
                <w:instrText>xe "</w:instrText>
              </w:r>
              <w:r w:rsidR="00F935B1" w:rsidRPr="005E385F">
                <w:rPr>
                  <w:rStyle w:val="Hyperlink"/>
                  <w:rFonts w:ascii="Verdana" w:hAnsi="Verdana"/>
                  <w:sz w:val="20"/>
                </w:rPr>
                <w:instrText>DS-1</w:instrText>
              </w:r>
              <w:r w:rsidR="00F935B1" w:rsidRPr="005E385F">
                <w:rPr>
                  <w:rFonts w:ascii="Verdana" w:hAnsi="Verdana"/>
                  <w:sz w:val="20"/>
                </w:rPr>
                <w:instrText>"</w:instrText>
              </w:r>
              <w:r w:rsidR="00F935B1" w:rsidRPr="005E385F">
                <w:rPr>
                  <w:rFonts w:ascii="Verdana" w:hAnsi="Verdana"/>
                  <w:sz w:val="20"/>
                </w:rPr>
                <w:fldChar w:fldCharType="end"/>
              </w:r>
            </w:hyperlink>
            <w:r w:rsidR="00F935B1" w:rsidRPr="005E385F">
              <w:rPr>
                <w:rFonts w:ascii="Verdana" w:hAnsi="Verdana"/>
                <w:sz w:val="20"/>
              </w:rPr>
              <w:t>, DS-3</w:t>
            </w:r>
          </w:p>
          <w:p w14:paraId="27CDE008" w14:textId="77777777" w:rsidR="00F935B1" w:rsidRPr="005E385F" w:rsidRDefault="00F935B1" w:rsidP="00F935B1">
            <w:pPr>
              <w:pStyle w:val="NormalWeb"/>
              <w:numPr>
                <w:ilvl w:val="0"/>
                <w:numId w:val="10"/>
              </w:numPr>
              <w:spacing w:before="0" w:beforeAutospacing="0" w:after="0"/>
              <w:rPr>
                <w:rStyle w:val="Hyperlink"/>
                <w:rFonts w:ascii="Verdana" w:hAnsi="Verdana"/>
                <w:sz w:val="20"/>
              </w:rPr>
            </w:pPr>
            <w:r w:rsidRPr="005E385F">
              <w:rPr>
                <w:rFonts w:ascii="Verdana" w:hAnsi="Verdana"/>
                <w:sz w:val="20"/>
              </w:rPr>
              <w:fldChar w:fldCharType="begin"/>
            </w:r>
            <w:r w:rsidRPr="005E385F">
              <w:rPr>
                <w:rFonts w:ascii="Verdana" w:hAnsi="Verdana"/>
                <w:sz w:val="20"/>
              </w:rPr>
              <w:instrText xml:space="preserve"> HYPERLINK  \l "TelecomEthernet" </w:instrText>
            </w:r>
            <w:r w:rsidRPr="005E385F">
              <w:rPr>
                <w:rFonts w:ascii="Verdana" w:hAnsi="Verdana"/>
                <w:sz w:val="20"/>
              </w:rPr>
              <w:fldChar w:fldCharType="separate"/>
            </w:r>
            <w:r w:rsidRPr="005E385F">
              <w:rPr>
                <w:rStyle w:val="Hyperlink"/>
                <w:rFonts w:ascii="Verdana" w:hAnsi="Verdana"/>
                <w:sz w:val="20"/>
              </w:rPr>
              <w:t xml:space="preserve">Ethernet </w:t>
            </w:r>
          </w:p>
          <w:p w14:paraId="20184B7B" w14:textId="77777777" w:rsidR="00F935B1" w:rsidRPr="005E385F" w:rsidRDefault="00F935B1" w:rsidP="00F935B1">
            <w:pPr>
              <w:pStyle w:val="NormalWeb"/>
              <w:numPr>
                <w:ilvl w:val="0"/>
                <w:numId w:val="10"/>
              </w:numPr>
              <w:spacing w:before="0" w:beforeAutospacing="0" w:after="0"/>
              <w:rPr>
                <w:rFonts w:ascii="Verdana" w:hAnsi="Verdana"/>
                <w:sz w:val="20"/>
              </w:rPr>
            </w:pPr>
            <w:r w:rsidRPr="005E385F">
              <w:rPr>
                <w:rFonts w:ascii="Verdana" w:hAnsi="Verdana"/>
                <w:sz w:val="20"/>
              </w:rPr>
              <w:fldChar w:fldCharType="end"/>
            </w:r>
            <w:hyperlink w:anchor="TelecomFiberOptics" w:history="1">
              <w:r w:rsidRPr="005E385F">
                <w:rPr>
                  <w:rStyle w:val="Hyperlink"/>
                  <w:rFonts w:ascii="Verdana" w:hAnsi="Verdana"/>
                  <w:sz w:val="20"/>
                </w:rPr>
                <w:t>Fiber</w:t>
              </w:r>
              <w:r w:rsidRPr="005E385F">
                <w:rPr>
                  <w:rFonts w:ascii="Verdana" w:hAnsi="Verdana"/>
                  <w:sz w:val="20"/>
                </w:rPr>
                <w:fldChar w:fldCharType="begin"/>
              </w:r>
              <w:r w:rsidRPr="005E385F">
                <w:rPr>
                  <w:rFonts w:ascii="Verdana" w:hAnsi="Verdana"/>
                  <w:sz w:val="20"/>
                </w:rPr>
                <w:instrText>xe "</w:instrText>
              </w:r>
              <w:r w:rsidRPr="005E385F">
                <w:rPr>
                  <w:rFonts w:ascii="Verdana" w:hAnsi="Verdana" w:cs="Verdana"/>
                  <w:bCs/>
                  <w:sz w:val="20"/>
                </w:rPr>
                <w:instrText>Fiber</w:instrText>
              </w:r>
              <w:r w:rsidRPr="005E385F">
                <w:rPr>
                  <w:rFonts w:ascii="Verdana" w:hAnsi="Verdana"/>
                  <w:sz w:val="20"/>
                </w:rPr>
                <w:instrText>"</w:instrText>
              </w:r>
              <w:r w:rsidRPr="005E385F">
                <w:rPr>
                  <w:rFonts w:ascii="Verdana" w:hAnsi="Verdana"/>
                  <w:sz w:val="20"/>
                </w:rPr>
                <w:fldChar w:fldCharType="end"/>
              </w:r>
            </w:hyperlink>
          </w:p>
          <w:p w14:paraId="5F14667A" w14:textId="77777777" w:rsidR="00F935B1" w:rsidRPr="005E385F" w:rsidRDefault="00A0395D" w:rsidP="00F935B1">
            <w:pPr>
              <w:pStyle w:val="NormalWeb"/>
              <w:numPr>
                <w:ilvl w:val="0"/>
                <w:numId w:val="10"/>
              </w:numPr>
              <w:spacing w:before="0" w:beforeAutospacing="0" w:after="0"/>
              <w:rPr>
                <w:rFonts w:ascii="Verdana" w:hAnsi="Verdana"/>
                <w:sz w:val="20"/>
              </w:rPr>
            </w:pPr>
            <w:hyperlink w:anchor="TelecomFrameRelay" w:history="1">
              <w:r w:rsidR="00F935B1" w:rsidRPr="005E385F">
                <w:rPr>
                  <w:rStyle w:val="Hyperlink"/>
                  <w:rFonts w:ascii="Verdana" w:hAnsi="Verdana"/>
                  <w:sz w:val="20"/>
                </w:rPr>
                <w:t>Frame Relay</w:t>
              </w:r>
              <w:r w:rsidR="00F935B1" w:rsidRPr="005E385F">
                <w:rPr>
                  <w:rFonts w:ascii="Verdana" w:hAnsi="Verdana"/>
                  <w:sz w:val="20"/>
                </w:rPr>
                <w:fldChar w:fldCharType="begin"/>
              </w:r>
              <w:r w:rsidR="00F935B1" w:rsidRPr="005E385F">
                <w:rPr>
                  <w:rFonts w:ascii="Verdana" w:hAnsi="Verdana"/>
                  <w:sz w:val="20"/>
                </w:rPr>
                <w:instrText>xe "</w:instrText>
              </w:r>
              <w:r w:rsidR="00F935B1" w:rsidRPr="005E385F">
                <w:rPr>
                  <w:rStyle w:val="Hyperlink"/>
                  <w:rFonts w:ascii="Verdana" w:hAnsi="Verdana"/>
                  <w:sz w:val="20"/>
                </w:rPr>
                <w:instrText>Frame Relay</w:instrText>
              </w:r>
              <w:r w:rsidR="00F935B1" w:rsidRPr="005E385F">
                <w:rPr>
                  <w:rFonts w:ascii="Verdana" w:hAnsi="Verdana"/>
                  <w:sz w:val="20"/>
                </w:rPr>
                <w:instrText>"</w:instrText>
              </w:r>
              <w:r w:rsidR="00F935B1" w:rsidRPr="005E385F">
                <w:rPr>
                  <w:rFonts w:ascii="Verdana" w:hAnsi="Verdana"/>
                  <w:sz w:val="20"/>
                </w:rPr>
                <w:fldChar w:fldCharType="end"/>
              </w:r>
            </w:hyperlink>
          </w:p>
          <w:p w14:paraId="2CAC4A63" w14:textId="77777777" w:rsidR="00F935B1" w:rsidRPr="005E385F" w:rsidRDefault="00A0395D" w:rsidP="00F935B1">
            <w:pPr>
              <w:pStyle w:val="NormalWeb"/>
              <w:numPr>
                <w:ilvl w:val="0"/>
                <w:numId w:val="10"/>
              </w:numPr>
              <w:spacing w:before="0" w:beforeAutospacing="0" w:after="0"/>
              <w:rPr>
                <w:rFonts w:ascii="Verdana" w:hAnsi="Verdana"/>
                <w:sz w:val="20"/>
              </w:rPr>
            </w:pPr>
            <w:hyperlink w:anchor="TelecomIntegratedServDigitalNetwork" w:history="1">
              <w:r w:rsidR="00F935B1" w:rsidRPr="005E385F">
                <w:rPr>
                  <w:rStyle w:val="Hyperlink"/>
                  <w:rFonts w:ascii="Verdana" w:hAnsi="Verdana"/>
                  <w:sz w:val="20"/>
                </w:rPr>
                <w:t>Integrated Services Digital Network</w:t>
              </w:r>
              <w:r w:rsidR="00F935B1" w:rsidRPr="005E385F">
                <w:rPr>
                  <w:rFonts w:ascii="Verdana" w:hAnsi="Verdana"/>
                  <w:sz w:val="20"/>
                </w:rPr>
                <w:fldChar w:fldCharType="begin"/>
              </w:r>
              <w:r w:rsidR="00F935B1" w:rsidRPr="005E385F">
                <w:rPr>
                  <w:rFonts w:ascii="Verdana" w:hAnsi="Verdana"/>
                  <w:sz w:val="20"/>
                </w:rPr>
                <w:instrText>xe "</w:instrText>
              </w:r>
              <w:r w:rsidR="00F935B1" w:rsidRPr="005E385F">
                <w:rPr>
                  <w:rStyle w:val="Hyperlink"/>
                  <w:rFonts w:ascii="Verdana" w:hAnsi="Verdana"/>
                  <w:sz w:val="20"/>
                </w:rPr>
                <w:instrText>Integrated Services Digital Network</w:instrText>
              </w:r>
              <w:r w:rsidR="00F935B1" w:rsidRPr="005E385F">
                <w:rPr>
                  <w:rFonts w:ascii="Verdana" w:hAnsi="Verdana"/>
                  <w:sz w:val="20"/>
                </w:rPr>
                <w:instrText>"</w:instrText>
              </w:r>
              <w:r w:rsidR="00F935B1" w:rsidRPr="005E385F">
                <w:rPr>
                  <w:rFonts w:ascii="Verdana" w:hAnsi="Verdana"/>
                  <w:sz w:val="20"/>
                </w:rPr>
                <w:fldChar w:fldCharType="end"/>
              </w:r>
            </w:hyperlink>
            <w:r w:rsidR="00F935B1" w:rsidRPr="005E385F">
              <w:rPr>
                <w:rFonts w:ascii="Verdana" w:hAnsi="Verdana"/>
                <w:sz w:val="20"/>
              </w:rPr>
              <w:t xml:space="preserve"> (ISDN</w:t>
            </w:r>
            <w:r w:rsidR="00F935B1" w:rsidRPr="005E385F">
              <w:rPr>
                <w:rFonts w:ascii="Verdana" w:hAnsi="Verdana"/>
                <w:sz w:val="20"/>
              </w:rPr>
              <w:fldChar w:fldCharType="begin"/>
            </w:r>
            <w:r w:rsidR="00F935B1" w:rsidRPr="005E385F">
              <w:rPr>
                <w:rFonts w:ascii="Verdana" w:hAnsi="Verdana"/>
                <w:sz w:val="20"/>
              </w:rPr>
              <w:instrText>xe "ISDN"</w:instrText>
            </w:r>
            <w:r w:rsidR="00F935B1" w:rsidRPr="005E385F">
              <w:rPr>
                <w:rFonts w:ascii="Verdana" w:hAnsi="Verdana"/>
                <w:sz w:val="20"/>
              </w:rPr>
              <w:fldChar w:fldCharType="end"/>
            </w:r>
            <w:r w:rsidR="00F935B1" w:rsidRPr="005E385F">
              <w:rPr>
                <w:rFonts w:ascii="Verdana" w:hAnsi="Verdana"/>
                <w:sz w:val="20"/>
              </w:rPr>
              <w:t>, BRI</w:t>
            </w:r>
            <w:r w:rsidR="00F935B1" w:rsidRPr="005E385F">
              <w:rPr>
                <w:rFonts w:ascii="Verdana" w:hAnsi="Verdana"/>
                <w:sz w:val="20"/>
              </w:rPr>
              <w:fldChar w:fldCharType="begin"/>
            </w:r>
            <w:r w:rsidR="00F935B1" w:rsidRPr="005E385F">
              <w:rPr>
                <w:rFonts w:ascii="Verdana" w:hAnsi="Verdana"/>
                <w:sz w:val="20"/>
              </w:rPr>
              <w:instrText>xe "BRI"</w:instrText>
            </w:r>
            <w:r w:rsidR="00F935B1" w:rsidRPr="005E385F">
              <w:rPr>
                <w:rFonts w:ascii="Verdana" w:hAnsi="Verdana"/>
                <w:sz w:val="20"/>
              </w:rPr>
              <w:fldChar w:fldCharType="end"/>
            </w:r>
            <w:r w:rsidR="00F935B1" w:rsidRPr="005E385F">
              <w:rPr>
                <w:rFonts w:ascii="Verdana" w:hAnsi="Verdana"/>
                <w:sz w:val="20"/>
              </w:rPr>
              <w:t>, PRI</w:t>
            </w:r>
            <w:r w:rsidR="00F935B1" w:rsidRPr="005E385F">
              <w:rPr>
                <w:rFonts w:ascii="Verdana" w:hAnsi="Verdana"/>
                <w:sz w:val="20"/>
              </w:rPr>
              <w:fldChar w:fldCharType="begin"/>
            </w:r>
            <w:r w:rsidR="00F935B1" w:rsidRPr="005E385F">
              <w:rPr>
                <w:rFonts w:ascii="Verdana" w:hAnsi="Verdana"/>
                <w:sz w:val="20"/>
              </w:rPr>
              <w:instrText>xe "PRI"</w:instrText>
            </w:r>
            <w:r w:rsidR="00F935B1" w:rsidRPr="005E385F">
              <w:rPr>
                <w:rFonts w:ascii="Verdana" w:hAnsi="Verdana"/>
                <w:sz w:val="20"/>
              </w:rPr>
              <w:fldChar w:fldCharType="end"/>
            </w:r>
            <w:r w:rsidR="00F935B1" w:rsidRPr="005E385F">
              <w:rPr>
                <w:rFonts w:ascii="Verdana" w:hAnsi="Verdana"/>
                <w:sz w:val="20"/>
              </w:rPr>
              <w:t>)</w:t>
            </w:r>
          </w:p>
          <w:p w14:paraId="68AE794D" w14:textId="77777777" w:rsidR="00F935B1" w:rsidRPr="005E385F" w:rsidRDefault="00A0395D" w:rsidP="00F935B1">
            <w:pPr>
              <w:pStyle w:val="NormalWeb"/>
              <w:numPr>
                <w:ilvl w:val="0"/>
                <w:numId w:val="10"/>
              </w:numPr>
              <w:spacing w:before="0" w:beforeAutospacing="0" w:after="0"/>
              <w:rPr>
                <w:rFonts w:ascii="Verdana" w:hAnsi="Verdana"/>
                <w:sz w:val="20"/>
              </w:rPr>
            </w:pPr>
            <w:hyperlink w:anchor="TelecomOC1" w:history="1">
              <w:r w:rsidR="00F935B1" w:rsidRPr="005E385F">
                <w:rPr>
                  <w:rStyle w:val="Hyperlink"/>
                  <w:rFonts w:ascii="Verdana" w:hAnsi="Verdana"/>
                  <w:sz w:val="20"/>
                </w:rPr>
                <w:t>OC-1</w:t>
              </w:r>
              <w:r w:rsidR="00F935B1" w:rsidRPr="005E385F">
                <w:rPr>
                  <w:rFonts w:ascii="Verdana" w:hAnsi="Verdana"/>
                  <w:sz w:val="20"/>
                </w:rPr>
                <w:fldChar w:fldCharType="begin"/>
              </w:r>
              <w:r w:rsidR="00F935B1" w:rsidRPr="005E385F">
                <w:rPr>
                  <w:rFonts w:ascii="Verdana" w:hAnsi="Verdana"/>
                  <w:sz w:val="20"/>
                </w:rPr>
                <w:instrText>xe "</w:instrText>
              </w:r>
              <w:r w:rsidR="00F935B1" w:rsidRPr="005E385F">
                <w:rPr>
                  <w:rStyle w:val="Hyperlink"/>
                  <w:rFonts w:ascii="Verdana" w:hAnsi="Verdana"/>
                  <w:sz w:val="20"/>
                </w:rPr>
                <w:instrText>OC-1</w:instrText>
              </w:r>
              <w:r w:rsidR="00F935B1" w:rsidRPr="005E385F">
                <w:rPr>
                  <w:rFonts w:ascii="Verdana" w:hAnsi="Verdana"/>
                  <w:sz w:val="20"/>
                </w:rPr>
                <w:instrText>"</w:instrText>
              </w:r>
              <w:r w:rsidR="00F935B1" w:rsidRPr="005E385F">
                <w:rPr>
                  <w:rFonts w:ascii="Verdana" w:hAnsi="Verdana"/>
                  <w:sz w:val="20"/>
                </w:rPr>
                <w:fldChar w:fldCharType="end"/>
              </w:r>
            </w:hyperlink>
            <w:r w:rsidR="00F935B1" w:rsidRPr="005E385F">
              <w:rPr>
                <w:rFonts w:ascii="Verdana" w:hAnsi="Verdana"/>
                <w:sz w:val="20"/>
              </w:rPr>
              <w:t>, OC-3</w:t>
            </w:r>
            <w:r w:rsidR="00F935B1" w:rsidRPr="005E385F">
              <w:rPr>
                <w:rFonts w:ascii="Verdana" w:hAnsi="Verdana"/>
                <w:sz w:val="20"/>
              </w:rPr>
              <w:fldChar w:fldCharType="begin"/>
            </w:r>
            <w:r w:rsidR="00F935B1" w:rsidRPr="005E385F">
              <w:rPr>
                <w:rFonts w:ascii="Verdana" w:hAnsi="Verdana"/>
                <w:sz w:val="20"/>
              </w:rPr>
              <w:instrText>xe "OC-3"</w:instrText>
            </w:r>
            <w:r w:rsidR="00F935B1" w:rsidRPr="005E385F">
              <w:rPr>
                <w:rFonts w:ascii="Verdana" w:hAnsi="Verdana"/>
                <w:sz w:val="20"/>
              </w:rPr>
              <w:fldChar w:fldCharType="end"/>
            </w:r>
            <w:r w:rsidR="00F935B1" w:rsidRPr="005E385F">
              <w:rPr>
                <w:rFonts w:ascii="Verdana" w:hAnsi="Verdana"/>
                <w:sz w:val="20"/>
              </w:rPr>
              <w:t>, OC-12</w:t>
            </w:r>
            <w:r w:rsidR="00F935B1" w:rsidRPr="005E385F">
              <w:rPr>
                <w:rFonts w:ascii="Verdana" w:hAnsi="Verdana"/>
                <w:sz w:val="20"/>
              </w:rPr>
              <w:fldChar w:fldCharType="begin"/>
            </w:r>
            <w:r w:rsidR="00F935B1" w:rsidRPr="005E385F">
              <w:rPr>
                <w:rFonts w:ascii="Verdana" w:hAnsi="Verdana"/>
                <w:sz w:val="20"/>
              </w:rPr>
              <w:instrText>xe "OC-12"</w:instrText>
            </w:r>
            <w:r w:rsidR="00F935B1" w:rsidRPr="005E385F">
              <w:rPr>
                <w:rFonts w:ascii="Verdana" w:hAnsi="Verdana"/>
                <w:sz w:val="20"/>
              </w:rPr>
              <w:fldChar w:fldCharType="end"/>
            </w:r>
            <w:r w:rsidR="00F935B1" w:rsidRPr="005E385F">
              <w:rPr>
                <w:rFonts w:ascii="Verdana" w:hAnsi="Verdana"/>
                <w:sz w:val="20"/>
              </w:rPr>
              <w:t>, OC-n</w:t>
            </w:r>
            <w:r w:rsidR="00F935B1" w:rsidRPr="005E385F">
              <w:rPr>
                <w:rFonts w:ascii="Verdana" w:hAnsi="Verdana"/>
                <w:sz w:val="20"/>
              </w:rPr>
              <w:fldChar w:fldCharType="begin"/>
            </w:r>
            <w:r w:rsidR="00F935B1" w:rsidRPr="005E385F">
              <w:rPr>
                <w:rFonts w:ascii="Verdana" w:hAnsi="Verdana"/>
                <w:sz w:val="20"/>
              </w:rPr>
              <w:instrText>xe "OC-n"</w:instrText>
            </w:r>
            <w:r w:rsidR="00F935B1" w:rsidRPr="005E385F">
              <w:rPr>
                <w:rFonts w:ascii="Verdana" w:hAnsi="Verdana"/>
                <w:sz w:val="20"/>
              </w:rPr>
              <w:fldChar w:fldCharType="end"/>
            </w:r>
          </w:p>
          <w:p w14:paraId="087067CD" w14:textId="77777777" w:rsidR="00F935B1" w:rsidRPr="005E385F" w:rsidRDefault="00A0395D" w:rsidP="00F935B1">
            <w:pPr>
              <w:pStyle w:val="NormalWeb"/>
              <w:numPr>
                <w:ilvl w:val="0"/>
                <w:numId w:val="10"/>
              </w:numPr>
              <w:spacing w:before="0" w:beforeAutospacing="0" w:after="0"/>
              <w:rPr>
                <w:rFonts w:ascii="Verdana" w:hAnsi="Verdana"/>
                <w:sz w:val="20"/>
              </w:rPr>
            </w:pPr>
            <w:hyperlink w:anchor="TelecomSatelliteService" w:history="1">
              <w:r w:rsidR="00F935B1" w:rsidRPr="005E385F">
                <w:rPr>
                  <w:rStyle w:val="Hyperlink"/>
                  <w:rFonts w:ascii="Verdana" w:hAnsi="Verdana"/>
                  <w:sz w:val="20"/>
                </w:rPr>
                <w:t>Satellite service</w:t>
              </w:r>
              <w:r w:rsidR="00F935B1" w:rsidRPr="005E385F">
                <w:rPr>
                  <w:rFonts w:ascii="Verdana" w:hAnsi="Verdana"/>
                  <w:sz w:val="20"/>
                </w:rPr>
                <w:fldChar w:fldCharType="begin"/>
              </w:r>
              <w:r w:rsidR="00F935B1" w:rsidRPr="005E385F">
                <w:rPr>
                  <w:rFonts w:ascii="Verdana" w:hAnsi="Verdana"/>
                  <w:sz w:val="20"/>
                </w:rPr>
                <w:instrText>xe "</w:instrText>
              </w:r>
              <w:r w:rsidR="00F935B1" w:rsidRPr="005E385F">
                <w:rPr>
                  <w:rStyle w:val="Hyperlink"/>
                  <w:rFonts w:ascii="Verdana" w:hAnsi="Verdana"/>
                  <w:sz w:val="20"/>
                </w:rPr>
                <w:instrText>Satellite</w:instrText>
              </w:r>
              <w:r w:rsidR="00F935B1" w:rsidRPr="005E385F">
                <w:rPr>
                  <w:rFonts w:ascii="Verdana" w:hAnsi="Verdana"/>
                  <w:sz w:val="20"/>
                </w:rPr>
                <w:instrText>"</w:instrText>
              </w:r>
              <w:r w:rsidR="00F935B1" w:rsidRPr="005E385F">
                <w:rPr>
                  <w:rFonts w:ascii="Verdana" w:hAnsi="Verdana"/>
                  <w:sz w:val="20"/>
                </w:rPr>
                <w:fldChar w:fldCharType="end"/>
              </w:r>
            </w:hyperlink>
          </w:p>
          <w:p w14:paraId="5B4ADB5E" w14:textId="77777777" w:rsidR="00F935B1" w:rsidRPr="005E385F" w:rsidRDefault="00A0395D" w:rsidP="00F935B1">
            <w:pPr>
              <w:pStyle w:val="NormalWeb"/>
              <w:numPr>
                <w:ilvl w:val="0"/>
                <w:numId w:val="10"/>
              </w:numPr>
              <w:spacing w:before="0" w:beforeAutospacing="0" w:after="0"/>
              <w:rPr>
                <w:rFonts w:ascii="Verdana" w:hAnsi="Verdana"/>
                <w:sz w:val="20"/>
              </w:rPr>
            </w:pPr>
            <w:hyperlink w:anchor="TelecomSwitchedMultimegDataService" w:history="1">
              <w:r w:rsidR="00F935B1" w:rsidRPr="005E385F">
                <w:rPr>
                  <w:rStyle w:val="Hyperlink"/>
                  <w:rFonts w:ascii="Verdana" w:hAnsi="Verdana"/>
                  <w:sz w:val="20"/>
                </w:rPr>
                <w:t>Switched Multimegabit Data Service (SMDS)</w:t>
              </w:r>
              <w:r w:rsidR="00F935B1" w:rsidRPr="005E385F">
                <w:rPr>
                  <w:rFonts w:ascii="Verdana" w:hAnsi="Verdana"/>
                  <w:sz w:val="20"/>
                </w:rPr>
                <w:fldChar w:fldCharType="begin"/>
              </w:r>
              <w:r w:rsidR="00F935B1" w:rsidRPr="005E385F">
                <w:rPr>
                  <w:rFonts w:ascii="Verdana" w:hAnsi="Verdana"/>
                  <w:sz w:val="20"/>
                </w:rPr>
                <w:instrText>xe "</w:instrText>
              </w:r>
              <w:r w:rsidR="00F935B1" w:rsidRPr="005E385F">
                <w:rPr>
                  <w:rStyle w:val="Hyperlink"/>
                  <w:rFonts w:ascii="Verdana" w:hAnsi="Verdana"/>
                  <w:sz w:val="20"/>
                </w:rPr>
                <w:instrText>Switched Multimegabit Data Service</w:instrText>
              </w:r>
              <w:r w:rsidR="00F935B1" w:rsidRPr="005E385F">
                <w:rPr>
                  <w:rFonts w:ascii="Verdana" w:hAnsi="Verdana"/>
                  <w:sz w:val="20"/>
                </w:rPr>
                <w:instrText>"</w:instrText>
              </w:r>
              <w:r w:rsidR="00F935B1" w:rsidRPr="005E385F">
                <w:rPr>
                  <w:rFonts w:ascii="Verdana" w:hAnsi="Verdana"/>
                  <w:sz w:val="20"/>
                </w:rPr>
                <w:fldChar w:fldCharType="end"/>
              </w:r>
            </w:hyperlink>
            <w:r w:rsidR="00F935B1" w:rsidRPr="005E385F">
              <w:rPr>
                <w:rFonts w:ascii="Verdana" w:hAnsi="Verdana"/>
                <w:sz w:val="20"/>
              </w:rPr>
              <w:fldChar w:fldCharType="begin"/>
            </w:r>
            <w:r w:rsidR="00F935B1" w:rsidRPr="005E385F">
              <w:rPr>
                <w:rFonts w:ascii="Verdana" w:hAnsi="Verdana"/>
                <w:sz w:val="20"/>
              </w:rPr>
              <w:instrText>xe "SMDS"</w:instrText>
            </w:r>
            <w:r w:rsidR="00F935B1" w:rsidRPr="005E385F">
              <w:rPr>
                <w:rFonts w:ascii="Verdana" w:hAnsi="Verdana"/>
                <w:sz w:val="20"/>
              </w:rPr>
              <w:fldChar w:fldCharType="end"/>
            </w:r>
          </w:p>
          <w:p w14:paraId="61CE9251" w14:textId="77777777" w:rsidR="00F935B1" w:rsidRPr="005E385F" w:rsidRDefault="00A0395D" w:rsidP="00F935B1">
            <w:pPr>
              <w:pStyle w:val="NormalWeb"/>
              <w:numPr>
                <w:ilvl w:val="0"/>
                <w:numId w:val="10"/>
              </w:numPr>
              <w:spacing w:before="0" w:beforeAutospacing="0" w:after="0"/>
              <w:rPr>
                <w:rFonts w:ascii="Verdana" w:hAnsi="Verdana"/>
                <w:sz w:val="20"/>
              </w:rPr>
            </w:pPr>
            <w:hyperlink w:anchor="TelecomT1" w:history="1">
              <w:r w:rsidR="00F935B1" w:rsidRPr="005E385F">
                <w:rPr>
                  <w:rStyle w:val="Hyperlink"/>
                  <w:rFonts w:ascii="Verdana" w:hAnsi="Verdana"/>
                  <w:sz w:val="20"/>
                </w:rPr>
                <w:t>T-1</w:t>
              </w:r>
              <w:r w:rsidR="00F935B1" w:rsidRPr="005E385F">
                <w:rPr>
                  <w:rFonts w:ascii="Verdana" w:hAnsi="Verdana"/>
                  <w:sz w:val="20"/>
                </w:rPr>
                <w:fldChar w:fldCharType="begin"/>
              </w:r>
              <w:r w:rsidR="00F935B1" w:rsidRPr="005E385F">
                <w:rPr>
                  <w:rFonts w:ascii="Verdana" w:hAnsi="Verdana"/>
                  <w:sz w:val="20"/>
                </w:rPr>
                <w:instrText>xe "</w:instrText>
              </w:r>
              <w:r w:rsidR="00F935B1" w:rsidRPr="005E385F">
                <w:rPr>
                  <w:rStyle w:val="Hyperlink"/>
                  <w:rFonts w:ascii="Verdana" w:hAnsi="Verdana"/>
                  <w:sz w:val="20"/>
                </w:rPr>
                <w:instrText>T-1</w:instrText>
              </w:r>
              <w:r w:rsidR="00F935B1" w:rsidRPr="005E385F">
                <w:rPr>
                  <w:rFonts w:ascii="Verdana" w:hAnsi="Verdana"/>
                  <w:sz w:val="20"/>
                </w:rPr>
                <w:instrText>"</w:instrText>
              </w:r>
              <w:r w:rsidR="00F935B1" w:rsidRPr="005E385F">
                <w:rPr>
                  <w:rFonts w:ascii="Verdana" w:hAnsi="Verdana"/>
                  <w:sz w:val="20"/>
                </w:rPr>
                <w:fldChar w:fldCharType="end"/>
              </w:r>
            </w:hyperlink>
            <w:r w:rsidR="00F935B1" w:rsidRPr="005E385F">
              <w:rPr>
                <w:rFonts w:ascii="Verdana" w:hAnsi="Verdana"/>
                <w:sz w:val="20"/>
              </w:rPr>
              <w:t>, T-3</w:t>
            </w:r>
            <w:r w:rsidR="00F935B1" w:rsidRPr="005E385F">
              <w:rPr>
                <w:rFonts w:ascii="Verdana" w:hAnsi="Verdana"/>
                <w:sz w:val="20"/>
              </w:rPr>
              <w:fldChar w:fldCharType="begin"/>
            </w:r>
            <w:r w:rsidR="00F935B1" w:rsidRPr="005E385F">
              <w:rPr>
                <w:rFonts w:ascii="Verdana" w:hAnsi="Verdana"/>
                <w:sz w:val="20"/>
              </w:rPr>
              <w:instrText>xe "T-3"</w:instrText>
            </w:r>
            <w:r w:rsidR="00F935B1" w:rsidRPr="005E385F">
              <w:rPr>
                <w:rFonts w:ascii="Verdana" w:hAnsi="Verdana"/>
                <w:sz w:val="20"/>
              </w:rPr>
              <w:fldChar w:fldCharType="end"/>
            </w:r>
            <w:r w:rsidR="00F935B1" w:rsidRPr="005E385F">
              <w:rPr>
                <w:rFonts w:ascii="Verdana" w:hAnsi="Verdana"/>
                <w:sz w:val="20"/>
              </w:rPr>
              <w:t>, Fractional T-1</w:t>
            </w:r>
            <w:r w:rsidR="00F935B1" w:rsidRPr="005E385F">
              <w:rPr>
                <w:rFonts w:ascii="Verdana" w:hAnsi="Verdana"/>
                <w:sz w:val="20"/>
              </w:rPr>
              <w:fldChar w:fldCharType="begin"/>
            </w:r>
            <w:r w:rsidR="00F935B1" w:rsidRPr="005E385F">
              <w:rPr>
                <w:rFonts w:ascii="Verdana" w:hAnsi="Verdana"/>
                <w:sz w:val="20"/>
              </w:rPr>
              <w:instrText>xe "Fractional T-1"</w:instrText>
            </w:r>
            <w:r w:rsidR="00F935B1" w:rsidRPr="005E385F">
              <w:rPr>
                <w:rFonts w:ascii="Verdana" w:hAnsi="Verdana"/>
                <w:sz w:val="20"/>
              </w:rPr>
              <w:fldChar w:fldCharType="end"/>
            </w:r>
          </w:p>
          <w:p w14:paraId="4CD02037" w14:textId="77777777" w:rsidR="00F935B1" w:rsidRPr="005E385F" w:rsidRDefault="00A0395D" w:rsidP="00F935B1">
            <w:pPr>
              <w:pStyle w:val="NormalWeb"/>
              <w:numPr>
                <w:ilvl w:val="0"/>
                <w:numId w:val="10"/>
              </w:numPr>
              <w:spacing w:before="0" w:beforeAutospacing="0" w:after="0"/>
              <w:rPr>
                <w:rFonts w:ascii="Verdana" w:hAnsi="Verdana"/>
                <w:sz w:val="20"/>
              </w:rPr>
            </w:pPr>
            <w:hyperlink w:anchor="WirelessTelephoneServices" w:history="1">
              <w:r w:rsidR="00F935B1" w:rsidRPr="005E385F">
                <w:rPr>
                  <w:rStyle w:val="Hyperlink"/>
                  <w:rFonts w:ascii="Verdana" w:hAnsi="Verdana"/>
                  <w:sz w:val="20"/>
                </w:rPr>
                <w:t>Wireless</w:t>
              </w:r>
            </w:hyperlink>
            <w:r w:rsidR="00F935B1" w:rsidRPr="005E385F">
              <w:rPr>
                <w:rFonts w:ascii="Verdana" w:hAnsi="Verdana"/>
                <w:sz w:val="20"/>
              </w:rPr>
              <w:fldChar w:fldCharType="begin"/>
            </w:r>
            <w:r w:rsidR="00F935B1" w:rsidRPr="005E385F">
              <w:rPr>
                <w:rFonts w:ascii="Verdana" w:hAnsi="Verdana"/>
                <w:sz w:val="20"/>
              </w:rPr>
              <w:instrText>xe "Wireless"</w:instrText>
            </w:r>
            <w:r w:rsidR="00F935B1" w:rsidRPr="005E385F">
              <w:rPr>
                <w:rFonts w:ascii="Verdana" w:hAnsi="Verdana"/>
                <w:sz w:val="20"/>
              </w:rPr>
              <w:fldChar w:fldCharType="end"/>
            </w:r>
            <w:r w:rsidR="00F935B1" w:rsidRPr="005E385F">
              <w:rPr>
                <w:rFonts w:ascii="Verdana" w:hAnsi="Verdana"/>
                <w:sz w:val="20"/>
              </w:rPr>
              <w:t xml:space="preserve"> </w:t>
            </w:r>
          </w:p>
          <w:p w14:paraId="6770C24F" w14:textId="77777777" w:rsidR="00F935B1" w:rsidRPr="005E385F" w:rsidRDefault="00F935B1" w:rsidP="0083602C">
            <w:pPr>
              <w:pStyle w:val="NormalWeb"/>
              <w:spacing w:before="0" w:beforeAutospacing="0" w:after="0"/>
              <w:rPr>
                <w:rFonts w:ascii="Verdana" w:hAnsi="Verdana"/>
                <w:sz w:val="20"/>
              </w:rPr>
            </w:pPr>
          </w:p>
          <w:p w14:paraId="6BDB32DA" w14:textId="77777777" w:rsidR="00F935B1" w:rsidRPr="005E385F" w:rsidRDefault="00F935B1" w:rsidP="0083602C">
            <w:pPr>
              <w:pStyle w:val="NormalWeb"/>
              <w:spacing w:before="0" w:beforeAutospacing="0" w:after="0"/>
              <w:rPr>
                <w:rFonts w:ascii="Verdana" w:hAnsi="Verdana"/>
                <w:sz w:val="20"/>
              </w:rPr>
            </w:pPr>
            <w:r w:rsidRPr="005E385F">
              <w:rPr>
                <w:rFonts w:ascii="Verdana" w:hAnsi="Verdana"/>
                <w:sz w:val="20"/>
              </w:rPr>
              <w:t>Components required as an integral part of a digital transmission service are eligible for discount, such as:</w:t>
            </w:r>
          </w:p>
          <w:p w14:paraId="533AD373" w14:textId="77777777" w:rsidR="00F935B1" w:rsidRPr="005E385F" w:rsidRDefault="00F935B1" w:rsidP="0083602C">
            <w:pPr>
              <w:pStyle w:val="NormalWeb"/>
              <w:spacing w:before="0" w:beforeAutospacing="0" w:after="0"/>
              <w:rPr>
                <w:rFonts w:ascii="Verdana" w:hAnsi="Verdana"/>
                <w:sz w:val="20"/>
              </w:rPr>
            </w:pPr>
          </w:p>
          <w:p w14:paraId="12CEBF2B" w14:textId="77777777" w:rsidR="00F935B1" w:rsidRPr="005E385F" w:rsidRDefault="00F935B1" w:rsidP="00F935B1">
            <w:pPr>
              <w:pStyle w:val="NormalWeb"/>
              <w:numPr>
                <w:ilvl w:val="0"/>
                <w:numId w:val="30"/>
              </w:numPr>
              <w:spacing w:before="0" w:beforeAutospacing="0" w:after="0"/>
              <w:rPr>
                <w:rFonts w:ascii="Verdana" w:hAnsi="Verdana"/>
                <w:sz w:val="20"/>
              </w:rPr>
            </w:pPr>
            <w:r w:rsidRPr="005E385F">
              <w:rPr>
                <w:rFonts w:ascii="Verdana" w:hAnsi="Verdana"/>
                <w:sz w:val="20"/>
              </w:rPr>
              <w:t xml:space="preserve">costs of a </w:t>
            </w:r>
            <w:hyperlink w:anchor="TelecomPermanentVirtualCircuit" w:history="1">
              <w:r w:rsidRPr="005E385F">
                <w:rPr>
                  <w:rStyle w:val="Hyperlink"/>
                  <w:rFonts w:ascii="Verdana" w:hAnsi="Verdana"/>
                  <w:sz w:val="20"/>
                </w:rPr>
                <w:t>permanent virtual circuit (PVC)</w:t>
              </w:r>
              <w:r w:rsidRPr="005E385F">
                <w:rPr>
                  <w:rFonts w:ascii="Verdana" w:hAnsi="Verdana"/>
                  <w:sz w:val="20"/>
                </w:rPr>
                <w:fldChar w:fldCharType="begin"/>
              </w:r>
              <w:r w:rsidRPr="005E385F">
                <w:rPr>
                  <w:rFonts w:ascii="Verdana" w:hAnsi="Verdana"/>
                  <w:sz w:val="20"/>
                </w:rPr>
                <w:instrText>xe "P</w:instrText>
              </w:r>
              <w:r w:rsidRPr="005E385F">
                <w:rPr>
                  <w:rStyle w:val="Hyperlink"/>
                  <w:rFonts w:ascii="Verdana" w:hAnsi="Verdana"/>
                  <w:sz w:val="20"/>
                </w:rPr>
                <w:instrText>ermanent Virtual Circuits</w:instrText>
              </w:r>
              <w:r w:rsidRPr="005E385F">
                <w:rPr>
                  <w:rFonts w:ascii="Verdana" w:hAnsi="Verdana"/>
                  <w:sz w:val="20"/>
                </w:rPr>
                <w:instrText>"</w:instrText>
              </w:r>
              <w:r w:rsidRPr="005E385F">
                <w:rPr>
                  <w:rFonts w:ascii="Verdana" w:hAnsi="Verdana"/>
                  <w:sz w:val="20"/>
                </w:rPr>
                <w:fldChar w:fldCharType="end"/>
              </w:r>
            </w:hyperlink>
            <w:r w:rsidRPr="005E385F">
              <w:rPr>
                <w:rFonts w:ascii="Verdana" w:hAnsi="Verdana"/>
                <w:sz w:val="20"/>
              </w:rPr>
              <w:fldChar w:fldCharType="begin"/>
            </w:r>
            <w:r w:rsidRPr="005E385F">
              <w:rPr>
                <w:rFonts w:ascii="Verdana" w:hAnsi="Verdana"/>
                <w:sz w:val="20"/>
              </w:rPr>
              <w:instrText>xe "PVC"</w:instrText>
            </w:r>
            <w:r w:rsidRPr="005E385F">
              <w:rPr>
                <w:rFonts w:ascii="Verdana" w:hAnsi="Verdana"/>
                <w:sz w:val="20"/>
              </w:rPr>
              <w:fldChar w:fldCharType="end"/>
            </w:r>
          </w:p>
          <w:p w14:paraId="208886AD" w14:textId="77777777" w:rsidR="00F935B1" w:rsidRPr="005E385F" w:rsidRDefault="00F935B1" w:rsidP="00F935B1">
            <w:pPr>
              <w:pStyle w:val="NormalWeb"/>
              <w:numPr>
                <w:ilvl w:val="0"/>
                <w:numId w:val="30"/>
              </w:numPr>
              <w:spacing w:before="0" w:beforeAutospacing="0" w:after="0"/>
              <w:rPr>
                <w:rFonts w:ascii="Verdana" w:hAnsi="Verdana"/>
                <w:sz w:val="20"/>
              </w:rPr>
            </w:pPr>
            <w:r w:rsidRPr="005E385F">
              <w:rPr>
                <w:rFonts w:ascii="Verdana" w:hAnsi="Verdana"/>
                <w:sz w:val="20"/>
              </w:rPr>
              <w:t xml:space="preserve">costs of </w:t>
            </w:r>
            <w:hyperlink w:anchor="TelecomTrunk" w:history="1">
              <w:r w:rsidRPr="005E385F">
                <w:rPr>
                  <w:rStyle w:val="Hyperlink"/>
                  <w:rFonts w:ascii="Verdana" w:hAnsi="Verdana"/>
                  <w:sz w:val="20"/>
                </w:rPr>
                <w:t>trunk lines</w:t>
              </w:r>
              <w:r w:rsidRPr="005E385F">
                <w:rPr>
                  <w:rFonts w:ascii="Verdana" w:hAnsi="Verdana"/>
                  <w:sz w:val="20"/>
                </w:rPr>
                <w:fldChar w:fldCharType="begin"/>
              </w:r>
              <w:r w:rsidRPr="005E385F">
                <w:rPr>
                  <w:rFonts w:ascii="Verdana" w:hAnsi="Verdana"/>
                  <w:sz w:val="20"/>
                </w:rPr>
                <w:instrText>xe "T</w:instrText>
              </w:r>
              <w:r w:rsidRPr="005E385F">
                <w:rPr>
                  <w:rStyle w:val="Hyperlink"/>
                  <w:rFonts w:ascii="Verdana" w:hAnsi="Verdana"/>
                  <w:sz w:val="20"/>
                </w:rPr>
                <w:instrText>runk Lines</w:instrText>
              </w:r>
              <w:r w:rsidRPr="005E385F">
                <w:rPr>
                  <w:rFonts w:ascii="Verdana" w:hAnsi="Verdana"/>
                  <w:sz w:val="20"/>
                </w:rPr>
                <w:instrText>"</w:instrText>
              </w:r>
              <w:r w:rsidRPr="005E385F">
                <w:rPr>
                  <w:rFonts w:ascii="Verdana" w:hAnsi="Verdana"/>
                  <w:sz w:val="20"/>
                </w:rPr>
                <w:fldChar w:fldCharType="end"/>
              </w:r>
            </w:hyperlink>
          </w:p>
          <w:p w14:paraId="30A35B36" w14:textId="77777777" w:rsidR="00F935B1" w:rsidRPr="005E385F" w:rsidRDefault="00F935B1" w:rsidP="00F935B1">
            <w:pPr>
              <w:pStyle w:val="NormalWeb"/>
              <w:numPr>
                <w:ilvl w:val="0"/>
                <w:numId w:val="30"/>
              </w:numPr>
              <w:spacing w:before="0" w:beforeAutospacing="0" w:after="0"/>
              <w:rPr>
                <w:rFonts w:ascii="Verdana" w:hAnsi="Verdana"/>
                <w:sz w:val="20"/>
              </w:rPr>
            </w:pPr>
            <w:r w:rsidRPr="005E385F">
              <w:rPr>
                <w:rFonts w:ascii="Verdana" w:hAnsi="Verdana"/>
                <w:sz w:val="20"/>
              </w:rPr>
              <w:t>reasonable installation</w:t>
            </w:r>
            <w:r w:rsidRPr="005E385F">
              <w:rPr>
                <w:rFonts w:ascii="Verdana" w:hAnsi="Verdana"/>
                <w:sz w:val="20"/>
              </w:rPr>
              <w:fldChar w:fldCharType="begin"/>
            </w:r>
            <w:r w:rsidRPr="005E385F">
              <w:rPr>
                <w:rFonts w:ascii="Verdana" w:hAnsi="Verdana"/>
                <w:sz w:val="20"/>
              </w:rPr>
              <w:instrText>xe "Installation"</w:instrText>
            </w:r>
            <w:r w:rsidRPr="005E385F">
              <w:rPr>
                <w:rFonts w:ascii="Verdana" w:hAnsi="Verdana"/>
                <w:sz w:val="20"/>
              </w:rPr>
              <w:fldChar w:fldCharType="end"/>
            </w:r>
            <w:r w:rsidRPr="005E385F">
              <w:rPr>
                <w:rFonts w:ascii="Verdana" w:hAnsi="Verdana"/>
                <w:sz w:val="20"/>
              </w:rPr>
              <w:t xml:space="preserve"> costs</w:t>
            </w:r>
          </w:p>
          <w:p w14:paraId="05EF0196" w14:textId="77777777" w:rsidR="00F935B1" w:rsidRPr="005E385F" w:rsidRDefault="00F935B1" w:rsidP="0083602C">
            <w:pPr>
              <w:pStyle w:val="Default"/>
              <w:rPr>
                <w:rFonts w:ascii="Verdana" w:hAnsi="Verdana"/>
                <w:color w:val="auto"/>
                <w:sz w:val="20"/>
                <w:szCs w:val="20"/>
              </w:rPr>
            </w:pPr>
          </w:p>
          <w:p w14:paraId="3D1C783D" w14:textId="77777777" w:rsidR="00F935B1" w:rsidRPr="005E385F" w:rsidRDefault="00F935B1" w:rsidP="0083602C">
            <w:pPr>
              <w:pStyle w:val="NormalWeb"/>
              <w:spacing w:before="0" w:beforeAutospacing="0" w:after="0"/>
              <w:rPr>
                <w:rFonts w:ascii="Verdana" w:hAnsi="Verdana"/>
                <w:sz w:val="20"/>
              </w:rPr>
            </w:pPr>
            <w:r w:rsidRPr="005E385F">
              <w:rPr>
                <w:rFonts w:ascii="Verdana" w:hAnsi="Verdana"/>
                <w:sz w:val="20"/>
              </w:rPr>
              <w:t xml:space="preserve">-The telecommunications component of: </w:t>
            </w:r>
          </w:p>
          <w:p w14:paraId="083D7E1A" w14:textId="77777777" w:rsidR="00F935B1" w:rsidRPr="005E385F" w:rsidRDefault="00F935B1" w:rsidP="00F935B1">
            <w:pPr>
              <w:pStyle w:val="Default"/>
              <w:numPr>
                <w:ilvl w:val="1"/>
                <w:numId w:val="30"/>
              </w:numPr>
              <w:ind w:hanging="678"/>
              <w:rPr>
                <w:rFonts w:ascii="Verdana" w:hAnsi="Verdana"/>
                <w:color w:val="auto"/>
                <w:sz w:val="20"/>
                <w:szCs w:val="20"/>
              </w:rPr>
            </w:pPr>
            <w:r w:rsidRPr="005E385F">
              <w:rPr>
                <w:rFonts w:ascii="Verdana" w:hAnsi="Verdana"/>
                <w:color w:val="auto"/>
                <w:sz w:val="20"/>
                <w:szCs w:val="20"/>
              </w:rPr>
              <w:t>a distance learning capability</w:t>
            </w:r>
          </w:p>
          <w:p w14:paraId="3A1B58ED" w14:textId="77777777" w:rsidR="00F935B1" w:rsidRPr="005E385F" w:rsidRDefault="00F935B1" w:rsidP="00F935B1">
            <w:pPr>
              <w:pStyle w:val="Default"/>
              <w:numPr>
                <w:ilvl w:val="1"/>
                <w:numId w:val="30"/>
              </w:numPr>
              <w:ind w:hanging="678"/>
              <w:rPr>
                <w:rFonts w:ascii="Verdana" w:hAnsi="Verdana"/>
                <w:color w:val="auto"/>
                <w:sz w:val="20"/>
                <w:szCs w:val="20"/>
              </w:rPr>
            </w:pPr>
            <w:r w:rsidRPr="005E385F">
              <w:rPr>
                <w:rFonts w:ascii="Verdana" w:hAnsi="Verdana"/>
                <w:color w:val="auto"/>
                <w:sz w:val="20"/>
                <w:szCs w:val="20"/>
              </w:rPr>
              <w:t>video, or</w:t>
            </w:r>
          </w:p>
          <w:p w14:paraId="462F5FC1" w14:textId="77777777" w:rsidR="00F935B1" w:rsidRPr="005E385F" w:rsidRDefault="00F935B1" w:rsidP="00F935B1">
            <w:pPr>
              <w:pStyle w:val="Default"/>
              <w:numPr>
                <w:ilvl w:val="1"/>
                <w:numId w:val="30"/>
              </w:numPr>
              <w:ind w:hanging="678"/>
              <w:rPr>
                <w:rFonts w:ascii="Verdana" w:hAnsi="Verdana"/>
                <w:sz w:val="20"/>
                <w:szCs w:val="20"/>
              </w:rPr>
            </w:pPr>
            <w:r w:rsidRPr="005E385F">
              <w:rPr>
                <w:rFonts w:ascii="Verdana" w:hAnsi="Verdana"/>
                <w:sz w:val="20"/>
                <w:szCs w:val="20"/>
              </w:rPr>
              <w:t xml:space="preserve">interactive television, is eligible for discount. </w:t>
            </w:r>
          </w:p>
          <w:p w14:paraId="227938EB" w14:textId="77777777" w:rsidR="00F935B1" w:rsidRPr="005E385F" w:rsidRDefault="00F935B1" w:rsidP="0083602C">
            <w:pPr>
              <w:pStyle w:val="NormalWeb"/>
              <w:spacing w:before="0" w:beforeAutospacing="0" w:after="0"/>
              <w:rPr>
                <w:rFonts w:ascii="Verdana" w:hAnsi="Verdana"/>
                <w:sz w:val="20"/>
              </w:rPr>
            </w:pPr>
            <w:r w:rsidRPr="005E385F">
              <w:rPr>
                <w:rFonts w:ascii="Verdana" w:hAnsi="Verdana"/>
                <w:bCs/>
                <w:sz w:val="20"/>
              </w:rPr>
              <w:t>In addition, the telecommunications component of voice or video</w:t>
            </w:r>
            <w:r w:rsidRPr="005E385F">
              <w:rPr>
                <w:rFonts w:ascii="Verdana" w:hAnsi="Verdana"/>
                <w:sz w:val="20"/>
              </w:rPr>
              <w:fldChar w:fldCharType="begin"/>
            </w:r>
            <w:r w:rsidRPr="005E385F">
              <w:rPr>
                <w:rFonts w:ascii="Verdana" w:hAnsi="Verdana"/>
                <w:sz w:val="20"/>
              </w:rPr>
              <w:instrText>xe "V</w:instrText>
            </w:r>
            <w:r w:rsidRPr="005E385F">
              <w:rPr>
                <w:rFonts w:ascii="Verdana" w:hAnsi="Verdana"/>
                <w:bCs/>
                <w:sz w:val="20"/>
              </w:rPr>
              <w:instrText>ideo</w:instrText>
            </w:r>
            <w:r w:rsidRPr="005E385F">
              <w:rPr>
                <w:rFonts w:ascii="Verdana" w:hAnsi="Verdana"/>
                <w:sz w:val="20"/>
              </w:rPr>
              <w:instrText>"</w:instrText>
            </w:r>
            <w:r w:rsidRPr="005E385F">
              <w:rPr>
                <w:rFonts w:ascii="Verdana" w:hAnsi="Verdana"/>
                <w:sz w:val="20"/>
              </w:rPr>
              <w:fldChar w:fldCharType="end"/>
            </w:r>
            <w:r w:rsidRPr="005E385F">
              <w:rPr>
                <w:rFonts w:ascii="Verdana" w:hAnsi="Verdana"/>
                <w:bCs/>
                <w:sz w:val="20"/>
              </w:rPr>
              <w:t xml:space="preserve"> </w:t>
            </w:r>
            <w:r w:rsidRPr="005E385F">
              <w:rPr>
                <w:rFonts w:ascii="Verdana" w:hAnsi="Verdana"/>
                <w:sz w:val="20"/>
              </w:rPr>
              <w:fldChar w:fldCharType="begin"/>
            </w:r>
            <w:r w:rsidRPr="005E385F">
              <w:rPr>
                <w:rFonts w:ascii="Verdana" w:hAnsi="Verdana"/>
                <w:sz w:val="20"/>
              </w:rPr>
              <w:instrText>xe "</w:instrText>
            </w:r>
            <w:r w:rsidRPr="005E385F">
              <w:rPr>
                <w:rFonts w:ascii="Verdana" w:hAnsi="Verdana"/>
                <w:bCs/>
                <w:sz w:val="20"/>
              </w:rPr>
              <w:instrText>Video Conferencing</w:instrText>
            </w:r>
            <w:r w:rsidRPr="005E385F">
              <w:rPr>
                <w:rFonts w:ascii="Verdana" w:hAnsi="Verdana"/>
                <w:sz w:val="20"/>
              </w:rPr>
              <w:instrText>"</w:instrText>
            </w:r>
            <w:r w:rsidRPr="005E385F">
              <w:rPr>
                <w:rFonts w:ascii="Verdana" w:hAnsi="Verdana"/>
                <w:sz w:val="20"/>
              </w:rPr>
              <w:fldChar w:fldCharType="end"/>
            </w:r>
            <w:r w:rsidRPr="005E385F">
              <w:rPr>
                <w:rFonts w:ascii="Verdana" w:hAnsi="Verdana"/>
                <w:bCs/>
                <w:sz w:val="20"/>
              </w:rPr>
              <w:t xml:space="preserve"> </w:t>
            </w:r>
            <w:hyperlink w:anchor="TelecomConferencingServices" w:history="1">
              <w:r w:rsidRPr="005E385F">
                <w:rPr>
                  <w:rStyle w:val="Hyperlink"/>
                  <w:rFonts w:ascii="Verdana" w:hAnsi="Verdana"/>
                  <w:bCs/>
                  <w:sz w:val="20"/>
                </w:rPr>
                <w:t>conferencing services</w:t>
              </w:r>
              <w:r w:rsidRPr="005E385F">
                <w:rPr>
                  <w:rFonts w:ascii="Verdana" w:hAnsi="Verdana"/>
                  <w:sz w:val="20"/>
                </w:rPr>
                <w:fldChar w:fldCharType="begin"/>
              </w:r>
              <w:r w:rsidRPr="005E385F">
                <w:rPr>
                  <w:rFonts w:ascii="Verdana" w:hAnsi="Verdana"/>
                  <w:sz w:val="20"/>
                </w:rPr>
                <w:instrText>xe "C</w:instrText>
              </w:r>
              <w:r w:rsidRPr="005E385F">
                <w:rPr>
                  <w:rStyle w:val="Hyperlink"/>
                  <w:rFonts w:ascii="Verdana" w:hAnsi="Verdana"/>
                  <w:bCs/>
                  <w:sz w:val="20"/>
                </w:rPr>
                <w:instrText>onferencing Services</w:instrText>
              </w:r>
              <w:r w:rsidRPr="005E385F">
                <w:rPr>
                  <w:rFonts w:ascii="Verdana" w:hAnsi="Verdana"/>
                  <w:sz w:val="20"/>
                </w:rPr>
                <w:instrText>"</w:instrText>
              </w:r>
              <w:r w:rsidRPr="005E385F">
                <w:rPr>
                  <w:rFonts w:ascii="Verdana" w:hAnsi="Verdana"/>
                  <w:sz w:val="20"/>
                </w:rPr>
                <w:fldChar w:fldCharType="end"/>
              </w:r>
            </w:hyperlink>
            <w:r w:rsidRPr="005E385F">
              <w:rPr>
                <w:rFonts w:ascii="Verdana" w:hAnsi="Verdana"/>
                <w:bCs/>
                <w:sz w:val="20"/>
              </w:rPr>
              <w:t xml:space="preserve"> that provide a means for multiple users to participate in group discussions may be eligible if the services are limited only to eligible educational or library purposes.</w:t>
            </w:r>
            <w:r w:rsidRPr="005E385F">
              <w:rPr>
                <w:rFonts w:ascii="Verdana" w:hAnsi="Verdana"/>
                <w:sz w:val="20"/>
              </w:rPr>
              <w:t xml:space="preserve">  </w:t>
            </w:r>
          </w:p>
          <w:p w14:paraId="1F8965FE" w14:textId="77777777" w:rsidR="00F935B1" w:rsidRPr="005E385F" w:rsidRDefault="00F935B1" w:rsidP="0083602C">
            <w:pPr>
              <w:pStyle w:val="NormalWeb"/>
              <w:spacing w:before="0" w:beforeAutospacing="0" w:after="0"/>
              <w:rPr>
                <w:rFonts w:ascii="Verdana" w:hAnsi="Verdana"/>
                <w:bCs/>
                <w:sz w:val="20"/>
              </w:rPr>
            </w:pPr>
          </w:p>
        </w:tc>
      </w:tr>
      <w:tr w:rsidR="00F935B1" w:rsidRPr="005E385F" w14:paraId="6A4BE7E0" w14:textId="77777777" w:rsidTr="0083602C">
        <w:trPr>
          <w:tblCellSpacing w:w="20" w:type="dxa"/>
        </w:trPr>
        <w:tc>
          <w:tcPr>
            <w:tcW w:w="2146" w:type="dxa"/>
          </w:tcPr>
          <w:p w14:paraId="12DB3CFA" w14:textId="77777777" w:rsidR="00F935B1" w:rsidRPr="005E385F" w:rsidRDefault="00F935B1" w:rsidP="0083602C">
            <w:pPr>
              <w:rPr>
                <w:rFonts w:ascii="Verdana" w:hAnsi="Verdana"/>
                <w:b/>
                <w:bCs/>
                <w:sz w:val="20"/>
              </w:rPr>
            </w:pPr>
            <w:r w:rsidRPr="005E385F">
              <w:rPr>
                <w:rFonts w:ascii="Verdana" w:hAnsi="Verdana"/>
                <w:b/>
                <w:sz w:val="20"/>
              </w:rPr>
              <w:lastRenderedPageBreak/>
              <w:t>E-mail</w:t>
            </w:r>
            <w:r w:rsidRPr="005E385F">
              <w:rPr>
                <w:rFonts w:ascii="Verdana" w:hAnsi="Verdana"/>
                <w:sz w:val="20"/>
              </w:rPr>
              <w:fldChar w:fldCharType="begin"/>
            </w:r>
            <w:r w:rsidRPr="005E385F">
              <w:rPr>
                <w:rFonts w:ascii="Verdana" w:hAnsi="Verdana"/>
                <w:sz w:val="20"/>
              </w:rPr>
              <w:instrText>xe "E-Mail"</w:instrText>
            </w:r>
            <w:r w:rsidRPr="005E385F">
              <w:rPr>
                <w:rFonts w:ascii="Verdana" w:hAnsi="Verdana"/>
                <w:sz w:val="20"/>
              </w:rPr>
              <w:fldChar w:fldCharType="end"/>
            </w:r>
            <w:r w:rsidRPr="005E385F">
              <w:rPr>
                <w:rFonts w:ascii="Verdana" w:hAnsi="Verdana"/>
                <w:sz w:val="20"/>
              </w:rPr>
              <w:t xml:space="preserve"> Service</w:t>
            </w:r>
          </w:p>
        </w:tc>
        <w:tc>
          <w:tcPr>
            <w:tcW w:w="6987" w:type="dxa"/>
          </w:tcPr>
          <w:p w14:paraId="7FBF00EF" w14:textId="4DF7920A" w:rsidR="00F935B1" w:rsidRPr="005E385F" w:rsidRDefault="00A0395D" w:rsidP="0083602C">
            <w:pPr>
              <w:pStyle w:val="NormalWeb"/>
              <w:tabs>
                <w:tab w:val="left" w:pos="3230"/>
                <w:tab w:val="left" w:pos="3548"/>
              </w:tabs>
              <w:spacing w:before="0" w:beforeAutospacing="0" w:after="0"/>
              <w:rPr>
                <w:rFonts w:ascii="Verdana" w:hAnsi="Verdana"/>
                <w:b/>
                <w:bCs/>
                <w:sz w:val="20"/>
              </w:rPr>
            </w:pPr>
            <w:hyperlink r:id="rId26" w:anchor="IAEmailService" w:history="1">
              <w:r w:rsidR="00F935B1" w:rsidRPr="005E385F">
                <w:rPr>
                  <w:rStyle w:val="Hyperlink"/>
                  <w:rFonts w:ascii="Verdana" w:hAnsi="Verdana"/>
                  <w:bCs/>
                  <w:sz w:val="20"/>
                </w:rPr>
                <w:t>E-mail</w:t>
              </w:r>
              <w:r w:rsidR="00F935B1" w:rsidRPr="005E385F">
                <w:rPr>
                  <w:rStyle w:val="Hyperlink"/>
                  <w:rFonts w:ascii="Verdana" w:hAnsi="Verdana"/>
                  <w:sz w:val="20"/>
                </w:rPr>
                <w:fldChar w:fldCharType="begin"/>
              </w:r>
              <w:r w:rsidR="00F935B1" w:rsidRPr="005E385F">
                <w:rPr>
                  <w:rStyle w:val="Hyperlink"/>
                  <w:rFonts w:ascii="Verdana" w:hAnsi="Verdana"/>
                  <w:sz w:val="20"/>
                </w:rPr>
                <w:instrText>xe "E-Mail"</w:instrText>
              </w:r>
              <w:r w:rsidR="00F935B1" w:rsidRPr="005E385F">
                <w:rPr>
                  <w:rStyle w:val="Hyperlink"/>
                  <w:rFonts w:ascii="Verdana" w:hAnsi="Verdana"/>
                  <w:sz w:val="20"/>
                </w:rPr>
                <w:fldChar w:fldCharType="end"/>
              </w:r>
            </w:hyperlink>
            <w:r w:rsidR="00F935B1" w:rsidRPr="005E385F">
              <w:rPr>
                <w:rFonts w:ascii="Verdana" w:hAnsi="Verdana"/>
                <w:bCs/>
                <w:sz w:val="20"/>
              </w:rPr>
              <w:t xml:space="preserve"> service is eligible.  E-mail service may be included in the cost of Internet access (listed above) or may be provided at a separate cost, either as a fixed charge and/or on a per-user or other basis.  </w:t>
            </w:r>
          </w:p>
          <w:p w14:paraId="5D93C0EA" w14:textId="77777777" w:rsidR="00F935B1" w:rsidRPr="005E385F" w:rsidRDefault="00F935B1" w:rsidP="0083602C">
            <w:pPr>
              <w:pStyle w:val="NormalWeb"/>
              <w:spacing w:before="0" w:beforeAutospacing="0" w:after="0"/>
              <w:rPr>
                <w:rFonts w:ascii="Verdana" w:hAnsi="Verdana"/>
                <w:bCs/>
                <w:sz w:val="20"/>
              </w:rPr>
            </w:pPr>
          </w:p>
          <w:p w14:paraId="085CC706" w14:textId="77777777" w:rsidR="00F935B1" w:rsidRPr="005E385F" w:rsidRDefault="00F935B1" w:rsidP="0083602C">
            <w:pPr>
              <w:pStyle w:val="NormalWeb"/>
              <w:spacing w:before="0" w:beforeAutospacing="0" w:after="0"/>
              <w:rPr>
                <w:rFonts w:ascii="Verdana" w:hAnsi="Verdana" w:cs="Verdana"/>
                <w:bCs/>
                <w:sz w:val="20"/>
              </w:rPr>
            </w:pPr>
            <w:r w:rsidRPr="005E385F">
              <w:rPr>
                <w:rFonts w:ascii="Verdana" w:hAnsi="Verdana"/>
                <w:bCs/>
                <w:sz w:val="20"/>
              </w:rPr>
              <w:t>Some e-mail</w:t>
            </w:r>
            <w:r w:rsidRPr="005E385F">
              <w:rPr>
                <w:rFonts w:ascii="Verdana" w:hAnsi="Verdana"/>
                <w:sz w:val="20"/>
              </w:rPr>
              <w:fldChar w:fldCharType="begin"/>
            </w:r>
            <w:r w:rsidRPr="005E385F">
              <w:rPr>
                <w:rFonts w:ascii="Verdana" w:hAnsi="Verdana"/>
                <w:sz w:val="20"/>
              </w:rPr>
              <w:instrText>xe "E-Mail"</w:instrText>
            </w:r>
            <w:r w:rsidRPr="005E385F">
              <w:rPr>
                <w:rFonts w:ascii="Verdana" w:hAnsi="Verdana"/>
                <w:sz w:val="20"/>
              </w:rPr>
              <w:fldChar w:fldCharType="end"/>
            </w:r>
            <w:r w:rsidRPr="005E385F">
              <w:rPr>
                <w:rFonts w:ascii="Verdana" w:hAnsi="Verdana"/>
                <w:bCs/>
                <w:sz w:val="20"/>
              </w:rPr>
              <w:t xml:space="preserve"> services may include substantial ineligible features, such as collaboration tools</w:t>
            </w:r>
            <w:r w:rsidRPr="005E385F">
              <w:rPr>
                <w:rFonts w:ascii="Verdana" w:hAnsi="Verdana"/>
                <w:sz w:val="20"/>
              </w:rPr>
              <w:fldChar w:fldCharType="begin"/>
            </w:r>
            <w:r w:rsidRPr="005E385F">
              <w:rPr>
                <w:rFonts w:ascii="Verdana" w:hAnsi="Verdana"/>
                <w:sz w:val="20"/>
              </w:rPr>
              <w:instrText>xe "C</w:instrText>
            </w:r>
            <w:r w:rsidRPr="005E385F">
              <w:rPr>
                <w:rFonts w:ascii="Verdana" w:hAnsi="Verdana"/>
                <w:bCs/>
                <w:sz w:val="20"/>
              </w:rPr>
              <w:instrText>ollaborationTools</w:instrText>
            </w:r>
            <w:r w:rsidRPr="005E385F">
              <w:rPr>
                <w:rFonts w:ascii="Verdana" w:hAnsi="Verdana"/>
                <w:sz w:val="20"/>
              </w:rPr>
              <w:instrText>"</w:instrText>
            </w:r>
            <w:r w:rsidRPr="005E385F">
              <w:rPr>
                <w:rFonts w:ascii="Verdana" w:hAnsi="Verdana"/>
                <w:sz w:val="20"/>
              </w:rPr>
              <w:fldChar w:fldCharType="end"/>
            </w:r>
            <w:r w:rsidRPr="005E385F">
              <w:rPr>
                <w:rFonts w:ascii="Verdana" w:hAnsi="Verdana"/>
                <w:bCs/>
                <w:sz w:val="20"/>
              </w:rPr>
              <w:t>, and services to ineligible users. Funding is limited strictly to the eligible portion of an electronic mail service (</w:t>
            </w:r>
            <w:r w:rsidRPr="005E385F">
              <w:rPr>
                <w:rFonts w:ascii="Verdana" w:hAnsi="Verdana"/>
                <w:bCs/>
                <w:i/>
                <w:sz w:val="20"/>
              </w:rPr>
              <w:t>i.e.</w:t>
            </w:r>
            <w:r w:rsidRPr="005E385F">
              <w:rPr>
                <w:rFonts w:ascii="Verdana" w:hAnsi="Verdana"/>
                <w:bCs/>
                <w:sz w:val="20"/>
              </w:rPr>
              <w:t xml:space="preserve">, the part of the service that provides for the transmission of text messages and other information).  </w:t>
            </w:r>
            <w:hyperlink w:anchor="emailarchiving" w:history="1">
              <w:r w:rsidRPr="005E385F">
                <w:rPr>
                  <w:rStyle w:val="Hyperlink"/>
                  <w:rFonts w:ascii="Verdana" w:hAnsi="Verdana"/>
                  <w:bCs/>
                  <w:sz w:val="20"/>
                </w:rPr>
                <w:t>E-mail archiving</w:t>
              </w:r>
              <w:r w:rsidRPr="005E385F">
                <w:rPr>
                  <w:rFonts w:ascii="Verdana" w:hAnsi="Verdana"/>
                  <w:sz w:val="20"/>
                </w:rPr>
                <w:fldChar w:fldCharType="begin"/>
              </w:r>
              <w:r w:rsidRPr="005E385F">
                <w:rPr>
                  <w:rFonts w:ascii="Verdana" w:hAnsi="Verdana"/>
                  <w:sz w:val="20"/>
                </w:rPr>
                <w:instrText>xe "</w:instrText>
              </w:r>
              <w:r w:rsidRPr="005E385F">
                <w:rPr>
                  <w:rFonts w:ascii="Verdana" w:hAnsi="Verdana"/>
                  <w:bCs/>
                  <w:sz w:val="20"/>
                </w:rPr>
                <w:instrText>Archiving</w:instrText>
              </w:r>
              <w:r w:rsidRPr="005E385F">
                <w:rPr>
                  <w:rFonts w:ascii="Verdana" w:hAnsi="Verdana"/>
                  <w:sz w:val="20"/>
                </w:rPr>
                <w:instrText>"</w:instrText>
              </w:r>
              <w:r w:rsidRPr="005E385F">
                <w:rPr>
                  <w:rFonts w:ascii="Verdana" w:hAnsi="Verdana"/>
                  <w:sz w:val="20"/>
                </w:rPr>
                <w:fldChar w:fldCharType="end"/>
              </w:r>
            </w:hyperlink>
            <w:r w:rsidRPr="005E385F">
              <w:rPr>
                <w:rFonts w:ascii="Verdana" w:hAnsi="Verdana"/>
                <w:bCs/>
                <w:sz w:val="20"/>
              </w:rPr>
              <w:t xml:space="preserve"> is not eligible for discount.  </w:t>
            </w:r>
          </w:p>
        </w:tc>
      </w:tr>
      <w:tr w:rsidR="00F935B1" w:rsidRPr="005E385F" w14:paraId="555BD2E1" w14:textId="77777777" w:rsidTr="0083602C">
        <w:trPr>
          <w:tblCellSpacing w:w="20" w:type="dxa"/>
        </w:trPr>
        <w:tc>
          <w:tcPr>
            <w:tcW w:w="2146" w:type="dxa"/>
          </w:tcPr>
          <w:p w14:paraId="7D0B6D24" w14:textId="77777777" w:rsidR="00F935B1" w:rsidRPr="005E385F" w:rsidRDefault="00F935B1" w:rsidP="0083602C">
            <w:pPr>
              <w:rPr>
                <w:rFonts w:ascii="Verdana" w:hAnsi="Verdana"/>
                <w:b/>
                <w:bCs/>
                <w:sz w:val="20"/>
              </w:rPr>
            </w:pPr>
            <w:r w:rsidRPr="005E385F">
              <w:rPr>
                <w:rFonts w:ascii="Verdana" w:hAnsi="Verdana"/>
                <w:b/>
                <w:bCs/>
                <w:sz w:val="20"/>
              </w:rPr>
              <w:t>Fiber</w:t>
            </w:r>
            <w:r w:rsidRPr="005E385F">
              <w:rPr>
                <w:rFonts w:ascii="Verdana" w:hAnsi="Verdana"/>
                <w:b/>
                <w:sz w:val="20"/>
              </w:rPr>
              <w:fldChar w:fldCharType="begin"/>
            </w:r>
            <w:r w:rsidRPr="005E385F">
              <w:rPr>
                <w:rFonts w:ascii="Verdana" w:hAnsi="Verdana"/>
                <w:b/>
                <w:sz w:val="20"/>
              </w:rPr>
              <w:instrText>xe "</w:instrText>
            </w:r>
            <w:r w:rsidRPr="005E385F">
              <w:rPr>
                <w:rFonts w:ascii="Verdana" w:hAnsi="Verdana" w:cs="Verdana"/>
                <w:b/>
                <w:bCs/>
                <w:sz w:val="20"/>
              </w:rPr>
              <w:instrText>Fiber</w:instrText>
            </w:r>
            <w:r w:rsidRPr="005E385F">
              <w:rPr>
                <w:rFonts w:ascii="Verdana" w:hAnsi="Verdana"/>
                <w:b/>
                <w:sz w:val="20"/>
              </w:rPr>
              <w:instrText>"</w:instrText>
            </w:r>
            <w:r w:rsidRPr="005E385F">
              <w:rPr>
                <w:rFonts w:ascii="Verdana" w:hAnsi="Verdana"/>
                <w:b/>
                <w:sz w:val="20"/>
              </w:rPr>
              <w:fldChar w:fldCharType="end"/>
            </w:r>
            <w:r w:rsidRPr="005E385F">
              <w:rPr>
                <w:rFonts w:ascii="Verdana" w:hAnsi="Verdana"/>
                <w:b/>
                <w:bCs/>
                <w:sz w:val="20"/>
              </w:rPr>
              <w:t xml:space="preserve"> or Dark Fiber </w:t>
            </w:r>
          </w:p>
          <w:p w14:paraId="3A66E614" w14:textId="77777777" w:rsidR="00F935B1" w:rsidRPr="005E385F" w:rsidRDefault="00F935B1" w:rsidP="0083602C">
            <w:pPr>
              <w:rPr>
                <w:rFonts w:ascii="Verdana" w:hAnsi="Verdana"/>
                <w:bCs/>
                <w:sz w:val="20"/>
              </w:rPr>
            </w:pPr>
          </w:p>
          <w:p w14:paraId="18956B9A" w14:textId="77777777" w:rsidR="00F935B1" w:rsidRPr="005E385F" w:rsidRDefault="00F935B1" w:rsidP="0083602C">
            <w:pPr>
              <w:rPr>
                <w:rFonts w:ascii="Verdana" w:hAnsi="Verdana"/>
                <w:bCs/>
                <w:sz w:val="20"/>
              </w:rPr>
            </w:pPr>
          </w:p>
        </w:tc>
        <w:tc>
          <w:tcPr>
            <w:tcW w:w="6987" w:type="dxa"/>
          </w:tcPr>
          <w:p w14:paraId="374DC0B9" w14:textId="77777777" w:rsidR="00F935B1" w:rsidRPr="005E385F" w:rsidRDefault="00F935B1" w:rsidP="0083602C">
            <w:pPr>
              <w:pStyle w:val="NormalWeb"/>
              <w:spacing w:before="0" w:beforeAutospacing="0" w:after="0"/>
              <w:rPr>
                <w:rFonts w:ascii="Verdana" w:hAnsi="Verdana" w:cs="Verdana"/>
                <w:bCs/>
                <w:sz w:val="20"/>
              </w:rPr>
            </w:pPr>
            <w:r w:rsidRPr="005E385F">
              <w:rPr>
                <w:rFonts w:ascii="Verdana" w:hAnsi="Verdana" w:cs="Verdana"/>
                <w:bCs/>
                <w:sz w:val="20"/>
              </w:rPr>
              <w:t>Lit or dark fiber</w:t>
            </w:r>
            <w:r w:rsidRPr="005E385F">
              <w:rPr>
                <w:rFonts w:ascii="Verdana" w:hAnsi="Verdana"/>
                <w:sz w:val="20"/>
              </w:rPr>
              <w:fldChar w:fldCharType="begin"/>
            </w:r>
            <w:r w:rsidRPr="005E385F">
              <w:rPr>
                <w:rFonts w:ascii="Verdana" w:hAnsi="Verdana"/>
                <w:sz w:val="20"/>
              </w:rPr>
              <w:instrText>xe "</w:instrText>
            </w:r>
            <w:r w:rsidRPr="005E385F">
              <w:rPr>
                <w:rFonts w:ascii="Verdana" w:hAnsi="Verdana" w:cs="Verdana"/>
                <w:bCs/>
                <w:sz w:val="20"/>
              </w:rPr>
              <w:instrText>Fiber</w:instrText>
            </w:r>
            <w:r w:rsidRPr="005E385F">
              <w:rPr>
                <w:rFonts w:ascii="Verdana" w:hAnsi="Verdana"/>
                <w:sz w:val="20"/>
              </w:rPr>
              <w:instrText>"</w:instrText>
            </w:r>
            <w:r w:rsidRPr="005E385F">
              <w:rPr>
                <w:rFonts w:ascii="Verdana" w:hAnsi="Verdana"/>
                <w:sz w:val="20"/>
              </w:rPr>
              <w:fldChar w:fldCharType="end"/>
            </w:r>
            <w:r w:rsidRPr="005E385F">
              <w:rPr>
                <w:rFonts w:ascii="Verdana" w:hAnsi="Verdana" w:cs="Verdana"/>
                <w:bCs/>
                <w:sz w:val="20"/>
              </w:rPr>
              <w:t xml:space="preserve">, provided by any entity, including a non-telecommunications carrier, is eligible.  Dark fiber </w:t>
            </w:r>
            <w:r w:rsidRPr="005E385F">
              <w:rPr>
                <w:rFonts w:ascii="Verdana" w:hAnsi="Verdana"/>
                <w:sz w:val="20"/>
              </w:rPr>
              <w:fldChar w:fldCharType="begin"/>
            </w:r>
            <w:r w:rsidRPr="005E385F">
              <w:rPr>
                <w:rFonts w:ascii="Verdana" w:hAnsi="Verdana"/>
                <w:sz w:val="20"/>
              </w:rPr>
              <w:instrText>xe "</w:instrText>
            </w:r>
            <w:r w:rsidRPr="005E385F">
              <w:rPr>
                <w:rFonts w:ascii="Verdana" w:hAnsi="Verdana" w:cs="Verdana"/>
                <w:bCs/>
                <w:sz w:val="20"/>
              </w:rPr>
              <w:instrText>Dark Fiber</w:instrText>
            </w:r>
            <w:r w:rsidRPr="005E385F">
              <w:rPr>
                <w:rFonts w:ascii="Verdana" w:hAnsi="Verdana"/>
                <w:sz w:val="20"/>
              </w:rPr>
              <w:instrText>"</w:instrText>
            </w:r>
            <w:r w:rsidRPr="005E385F">
              <w:rPr>
                <w:rFonts w:ascii="Verdana" w:hAnsi="Verdana"/>
                <w:sz w:val="20"/>
              </w:rPr>
              <w:fldChar w:fldCharType="end"/>
            </w:r>
            <w:r w:rsidRPr="005E385F">
              <w:rPr>
                <w:rFonts w:ascii="Verdana" w:hAnsi="Verdana" w:cs="Verdana"/>
                <w:bCs/>
                <w:sz w:val="20"/>
              </w:rPr>
              <w:t>is eligible as long as applicants light the fiber</w:t>
            </w:r>
            <w:r w:rsidRPr="005E385F">
              <w:rPr>
                <w:rFonts w:ascii="Verdana" w:hAnsi="Verdana"/>
                <w:sz w:val="20"/>
              </w:rPr>
              <w:fldChar w:fldCharType="begin"/>
            </w:r>
            <w:r w:rsidRPr="005E385F">
              <w:rPr>
                <w:rFonts w:ascii="Verdana" w:hAnsi="Verdana"/>
                <w:sz w:val="20"/>
              </w:rPr>
              <w:instrText>xe "Fiber"</w:instrText>
            </w:r>
            <w:r w:rsidRPr="005E385F">
              <w:rPr>
                <w:rFonts w:ascii="Verdana" w:hAnsi="Verdana"/>
                <w:sz w:val="20"/>
              </w:rPr>
              <w:fldChar w:fldCharType="end"/>
            </w:r>
            <w:r w:rsidRPr="005E385F">
              <w:rPr>
                <w:rFonts w:ascii="Verdana" w:hAnsi="Verdana" w:cs="Verdana"/>
                <w:bCs/>
                <w:sz w:val="20"/>
              </w:rPr>
              <w:t xml:space="preserve"> immediately.  </w:t>
            </w:r>
          </w:p>
          <w:p w14:paraId="3CE74183" w14:textId="77777777" w:rsidR="00F935B1" w:rsidRPr="005E385F" w:rsidRDefault="00F935B1" w:rsidP="0083602C">
            <w:pPr>
              <w:pStyle w:val="FootnoteText"/>
              <w:rPr>
                <w:rFonts w:ascii="Verdana" w:hAnsi="Verdana"/>
              </w:rPr>
            </w:pPr>
            <w:r w:rsidRPr="005E385F">
              <w:rPr>
                <w:rFonts w:ascii="Verdana" w:hAnsi="Verdana"/>
              </w:rPr>
              <w:t>Certain maintenance</w:t>
            </w:r>
            <w:r w:rsidRPr="005E385F">
              <w:rPr>
                <w:rFonts w:ascii="Verdana" w:hAnsi="Verdana"/>
              </w:rPr>
              <w:fldChar w:fldCharType="begin"/>
            </w:r>
            <w:r w:rsidRPr="005E385F">
              <w:rPr>
                <w:rFonts w:ascii="Verdana" w:hAnsi="Verdana"/>
              </w:rPr>
              <w:instrText>xe "Maintenance"</w:instrText>
            </w:r>
            <w:r w:rsidRPr="005E385F">
              <w:rPr>
                <w:rFonts w:ascii="Verdana" w:hAnsi="Verdana"/>
              </w:rPr>
              <w:fldChar w:fldCharType="end"/>
            </w:r>
            <w:r w:rsidRPr="005E385F">
              <w:rPr>
                <w:rFonts w:ascii="Verdana" w:hAnsi="Verdana"/>
              </w:rPr>
              <w:t xml:space="preserve"> and installation</w:t>
            </w:r>
            <w:r w:rsidRPr="005E385F">
              <w:rPr>
                <w:rFonts w:ascii="Verdana" w:hAnsi="Verdana"/>
              </w:rPr>
              <w:fldChar w:fldCharType="begin"/>
            </w:r>
            <w:r w:rsidRPr="005E385F">
              <w:rPr>
                <w:rFonts w:ascii="Verdana" w:hAnsi="Verdana"/>
              </w:rPr>
              <w:instrText>xe "Installation"</w:instrText>
            </w:r>
            <w:r w:rsidRPr="005E385F">
              <w:rPr>
                <w:rFonts w:ascii="Verdana" w:hAnsi="Verdana"/>
              </w:rPr>
              <w:fldChar w:fldCharType="end"/>
            </w:r>
            <w:r w:rsidRPr="005E385F">
              <w:rPr>
                <w:rFonts w:ascii="Verdana" w:hAnsi="Verdana"/>
              </w:rPr>
              <w:t xml:space="preserve"> costs are also eligible, including charges for installation of dark fiber within the property line.  </w:t>
            </w:r>
            <w:r w:rsidRPr="005E385F">
              <w:rPr>
                <w:rFonts w:ascii="Verdana" w:hAnsi="Verdana"/>
                <w:color w:val="010101"/>
              </w:rPr>
              <w:t xml:space="preserve">For leased lit fiber, all special construction charges are eligible. </w:t>
            </w:r>
            <w:r w:rsidRPr="005E385F">
              <w:rPr>
                <w:rFonts w:ascii="Verdana" w:hAnsi="Verdana"/>
              </w:rPr>
              <w:t xml:space="preserve">When lit fiber is leased as telecommunications, the modulating electronics included as part of that service is eligible as telecommunications. </w:t>
            </w:r>
            <w:r w:rsidRPr="005E385F">
              <w:rPr>
                <w:rFonts w:ascii="Verdana" w:hAnsi="Verdana"/>
                <w:color w:val="010101"/>
              </w:rPr>
              <w:t xml:space="preserve">   </w:t>
            </w:r>
          </w:p>
          <w:p w14:paraId="0EC9234C" w14:textId="77777777" w:rsidR="00F935B1" w:rsidRPr="005E385F" w:rsidRDefault="00F935B1" w:rsidP="0083602C">
            <w:pPr>
              <w:pStyle w:val="NormalWeb"/>
              <w:spacing w:before="0" w:beforeAutospacing="0" w:after="0"/>
              <w:rPr>
                <w:rFonts w:ascii="Verdana" w:hAnsi="Verdana"/>
                <w:sz w:val="20"/>
              </w:rPr>
            </w:pPr>
            <w:r w:rsidRPr="005E385F">
              <w:rPr>
                <w:rFonts w:ascii="Verdana" w:hAnsi="Verdana"/>
                <w:sz w:val="20"/>
              </w:rPr>
              <w:t xml:space="preserve">Applicants should apply for the fiber service as Internet access, if they select a non-telecommunications carrier to provide the fiber. </w:t>
            </w:r>
            <w:r w:rsidRPr="005E385F">
              <w:rPr>
                <w:rFonts w:ascii="Verdana" w:hAnsi="Verdana"/>
                <w:bCs/>
                <w:sz w:val="20"/>
              </w:rPr>
              <w:t xml:space="preserve">Funding requests for fiber must be submitted in the </w:t>
            </w:r>
            <w:hyperlink w:anchor="xxInternetAccess" w:history="1">
              <w:r w:rsidRPr="005E385F">
                <w:rPr>
                  <w:rStyle w:val="Hyperlink"/>
                  <w:rFonts w:ascii="Verdana" w:hAnsi="Verdana"/>
                  <w:bCs/>
                  <w:sz w:val="20"/>
                </w:rPr>
                <w:t>Internet Access</w:t>
              </w:r>
            </w:hyperlink>
            <w:r w:rsidRPr="005E385F">
              <w:rPr>
                <w:rFonts w:ascii="Verdana" w:hAnsi="Verdana"/>
                <w:sz w:val="20"/>
              </w:rPr>
              <w:fldChar w:fldCharType="begin"/>
            </w:r>
            <w:r w:rsidRPr="005E385F">
              <w:rPr>
                <w:rFonts w:ascii="Verdana" w:hAnsi="Verdana"/>
                <w:sz w:val="20"/>
              </w:rPr>
              <w:instrText>xe "</w:instrText>
            </w:r>
            <w:r w:rsidRPr="005E385F">
              <w:rPr>
                <w:rStyle w:val="Hyperlink"/>
                <w:rFonts w:ascii="Verdana" w:hAnsi="Verdana"/>
                <w:sz w:val="20"/>
              </w:rPr>
              <w:instrText>Internet Access</w:instrText>
            </w:r>
            <w:r w:rsidRPr="005E385F">
              <w:rPr>
                <w:rFonts w:ascii="Verdana" w:hAnsi="Verdana"/>
                <w:sz w:val="20"/>
              </w:rPr>
              <w:instrText>"</w:instrText>
            </w:r>
            <w:r w:rsidRPr="005E385F">
              <w:rPr>
                <w:rFonts w:ascii="Verdana" w:hAnsi="Verdana"/>
                <w:sz w:val="20"/>
              </w:rPr>
              <w:fldChar w:fldCharType="end"/>
            </w:r>
            <w:r w:rsidRPr="005E385F">
              <w:rPr>
                <w:rFonts w:ascii="Verdana" w:hAnsi="Verdana"/>
                <w:bCs/>
                <w:sz w:val="20"/>
              </w:rPr>
              <w:t xml:space="preserve"> category of service if the service will not be provided by a telecommunications carrier.</w:t>
            </w:r>
          </w:p>
        </w:tc>
      </w:tr>
      <w:tr w:rsidR="00F935B1" w:rsidRPr="005E385F" w14:paraId="712F7F01" w14:textId="77777777" w:rsidTr="0083602C">
        <w:trPr>
          <w:tblCellSpacing w:w="20" w:type="dxa"/>
        </w:trPr>
        <w:tc>
          <w:tcPr>
            <w:tcW w:w="2146" w:type="dxa"/>
          </w:tcPr>
          <w:p w14:paraId="3EB5EB63" w14:textId="77777777" w:rsidR="00F935B1" w:rsidRPr="005E385F" w:rsidRDefault="00F935B1" w:rsidP="0083602C">
            <w:pPr>
              <w:rPr>
                <w:rFonts w:ascii="Verdana" w:hAnsi="Verdana"/>
                <w:b/>
                <w:bCs/>
                <w:sz w:val="20"/>
              </w:rPr>
            </w:pPr>
            <w:r w:rsidRPr="005E385F">
              <w:rPr>
                <w:rFonts w:ascii="Verdana" w:hAnsi="Verdana"/>
                <w:b/>
                <w:sz w:val="20"/>
              </w:rPr>
              <w:t>Interconnected Voice Over Internet Protocol</w:t>
            </w:r>
            <w:r w:rsidRPr="005E385F">
              <w:rPr>
                <w:rFonts w:ascii="Verdana" w:hAnsi="Verdana"/>
                <w:sz w:val="20"/>
              </w:rPr>
              <w:t xml:space="preserve"> </w:t>
            </w:r>
            <w:hyperlink w:anchor="InterconnectedVoIPDef" w:history="1">
              <w:r w:rsidRPr="005E385F">
                <w:rPr>
                  <w:rFonts w:ascii="Verdana" w:hAnsi="Verdana"/>
                  <w:sz w:val="20"/>
                </w:rPr>
                <w:fldChar w:fldCharType="begin"/>
              </w:r>
              <w:r w:rsidRPr="005E385F">
                <w:rPr>
                  <w:rFonts w:ascii="Verdana" w:hAnsi="Verdana"/>
                  <w:sz w:val="20"/>
                </w:rPr>
                <w:instrText>xe "</w:instrText>
              </w:r>
              <w:r w:rsidRPr="005E385F">
                <w:rPr>
                  <w:rStyle w:val="Hyperlink"/>
                  <w:rFonts w:ascii="Verdana" w:hAnsi="Verdana"/>
                  <w:bCs/>
                  <w:sz w:val="20"/>
                </w:rPr>
                <w:instrText>Interconnected Voice Over Internet Protocol</w:instrText>
              </w:r>
              <w:r w:rsidRPr="005E385F">
                <w:rPr>
                  <w:rFonts w:ascii="Verdana" w:hAnsi="Verdana"/>
                  <w:sz w:val="20"/>
                </w:rPr>
                <w:instrText>"</w:instrText>
              </w:r>
              <w:r w:rsidRPr="005E385F">
                <w:rPr>
                  <w:rFonts w:ascii="Verdana" w:hAnsi="Verdana"/>
                  <w:sz w:val="20"/>
                </w:rPr>
                <w:fldChar w:fldCharType="end"/>
              </w:r>
            </w:hyperlink>
          </w:p>
        </w:tc>
        <w:tc>
          <w:tcPr>
            <w:tcW w:w="6987" w:type="dxa"/>
          </w:tcPr>
          <w:p w14:paraId="64141326" w14:textId="77777777" w:rsidR="00F935B1" w:rsidRPr="005E385F" w:rsidRDefault="00F935B1" w:rsidP="0083602C">
            <w:pPr>
              <w:pStyle w:val="NormalWeb"/>
              <w:spacing w:before="0" w:beforeAutospacing="0" w:after="0"/>
              <w:rPr>
                <w:rFonts w:ascii="Verdana" w:hAnsi="Verdana" w:cs="Verdana"/>
                <w:bCs/>
                <w:sz w:val="20"/>
              </w:rPr>
            </w:pPr>
            <w:r w:rsidRPr="005E385F">
              <w:rPr>
                <w:rFonts w:ascii="Verdana" w:hAnsi="Verdana"/>
                <w:sz w:val="20"/>
              </w:rPr>
              <w:t>Costs to subscribe to interconnected Voice Over Internet Protocol (VoIP) are generally eligible for E-rate discounts.</w:t>
            </w:r>
          </w:p>
        </w:tc>
      </w:tr>
      <w:tr w:rsidR="00F935B1" w:rsidRPr="005E385F" w14:paraId="29B79C01" w14:textId="77777777" w:rsidTr="0083602C">
        <w:trPr>
          <w:tblCellSpacing w:w="20" w:type="dxa"/>
        </w:trPr>
        <w:tc>
          <w:tcPr>
            <w:tcW w:w="2146" w:type="dxa"/>
          </w:tcPr>
          <w:p w14:paraId="46284046" w14:textId="77777777" w:rsidR="00F935B1" w:rsidRPr="005E385F" w:rsidRDefault="00F935B1" w:rsidP="0083602C">
            <w:pPr>
              <w:rPr>
                <w:rFonts w:ascii="Verdana" w:hAnsi="Verdana"/>
                <w:sz w:val="20"/>
              </w:rPr>
            </w:pPr>
            <w:r w:rsidRPr="005E385F">
              <w:rPr>
                <w:rFonts w:ascii="Verdana" w:hAnsi="Verdana"/>
                <w:b/>
                <w:sz w:val="20"/>
              </w:rPr>
              <w:t>Internet Access</w:t>
            </w:r>
            <w:r w:rsidRPr="005E385F">
              <w:rPr>
                <w:rFonts w:ascii="Verdana" w:hAnsi="Verdana"/>
                <w:sz w:val="20"/>
              </w:rPr>
              <w:fldChar w:fldCharType="begin"/>
            </w:r>
            <w:r w:rsidRPr="005E385F">
              <w:rPr>
                <w:rFonts w:ascii="Verdana" w:hAnsi="Verdana"/>
                <w:sz w:val="20"/>
              </w:rPr>
              <w:instrText>xe "</w:instrText>
            </w:r>
            <w:r w:rsidRPr="005E385F">
              <w:rPr>
                <w:rStyle w:val="Hyperlink"/>
                <w:rFonts w:ascii="Verdana" w:hAnsi="Verdana"/>
                <w:sz w:val="20"/>
              </w:rPr>
              <w:instrText>Internet Access</w:instrText>
            </w:r>
            <w:r w:rsidRPr="005E385F">
              <w:rPr>
                <w:rFonts w:ascii="Verdana" w:hAnsi="Verdana"/>
                <w:sz w:val="20"/>
              </w:rPr>
              <w:instrText>"</w:instrText>
            </w:r>
            <w:r w:rsidRPr="005E385F">
              <w:rPr>
                <w:rFonts w:ascii="Verdana" w:hAnsi="Verdana"/>
                <w:sz w:val="20"/>
              </w:rPr>
              <w:fldChar w:fldCharType="end"/>
            </w:r>
          </w:p>
          <w:p w14:paraId="1136A176" w14:textId="77777777" w:rsidR="00F935B1" w:rsidRPr="005E385F" w:rsidRDefault="00F935B1" w:rsidP="0083602C">
            <w:pPr>
              <w:rPr>
                <w:rFonts w:ascii="Verdana" w:hAnsi="Verdana"/>
                <w:sz w:val="20"/>
              </w:rPr>
            </w:pPr>
          </w:p>
          <w:p w14:paraId="77DCF226" w14:textId="77777777" w:rsidR="00F935B1" w:rsidRPr="005E385F" w:rsidRDefault="00F935B1" w:rsidP="0083602C">
            <w:pPr>
              <w:rPr>
                <w:rFonts w:ascii="Verdana" w:hAnsi="Verdana"/>
                <w:b/>
                <w:sz w:val="20"/>
              </w:rPr>
            </w:pPr>
          </w:p>
        </w:tc>
        <w:tc>
          <w:tcPr>
            <w:tcW w:w="6987" w:type="dxa"/>
          </w:tcPr>
          <w:p w14:paraId="7242842D" w14:textId="77777777" w:rsidR="00F935B1" w:rsidRPr="005E385F" w:rsidRDefault="00F935B1" w:rsidP="0083602C">
            <w:pPr>
              <w:pStyle w:val="NormalWeb"/>
              <w:spacing w:before="0" w:beforeAutospacing="0" w:after="0"/>
              <w:rPr>
                <w:rFonts w:ascii="Verdana" w:hAnsi="Verdana"/>
                <w:sz w:val="20"/>
              </w:rPr>
            </w:pPr>
            <w:r w:rsidRPr="005E385F">
              <w:rPr>
                <w:rFonts w:ascii="Verdana" w:hAnsi="Verdana"/>
                <w:sz w:val="20"/>
              </w:rPr>
              <w:t>Support in this funding category is generally only available for basic conduit</w:t>
            </w:r>
            <w:r w:rsidRPr="005E385F">
              <w:rPr>
                <w:rFonts w:ascii="Verdana" w:hAnsi="Verdana"/>
                <w:sz w:val="20"/>
              </w:rPr>
              <w:fldChar w:fldCharType="begin"/>
            </w:r>
            <w:r w:rsidRPr="005E385F">
              <w:rPr>
                <w:rFonts w:ascii="Verdana" w:hAnsi="Verdana"/>
                <w:sz w:val="20"/>
              </w:rPr>
              <w:instrText>xe "BasicConduit"</w:instrText>
            </w:r>
            <w:r w:rsidRPr="005E385F">
              <w:rPr>
                <w:rFonts w:ascii="Verdana" w:hAnsi="Verdana"/>
                <w:sz w:val="20"/>
              </w:rPr>
              <w:fldChar w:fldCharType="end"/>
            </w:r>
            <w:r w:rsidRPr="005E385F">
              <w:rPr>
                <w:rFonts w:ascii="Verdana" w:hAnsi="Verdana"/>
                <w:sz w:val="20"/>
              </w:rPr>
              <w:t xml:space="preserve"> access to the Internet</w:t>
            </w:r>
            <w:r w:rsidRPr="005E385F">
              <w:rPr>
                <w:rFonts w:ascii="Verdana" w:hAnsi="Verdana"/>
                <w:sz w:val="20"/>
              </w:rPr>
              <w:fldChar w:fldCharType="begin"/>
            </w:r>
            <w:r w:rsidRPr="005E385F">
              <w:rPr>
                <w:rFonts w:ascii="Verdana" w:hAnsi="Verdana"/>
                <w:sz w:val="20"/>
              </w:rPr>
              <w:instrText>xe "Internet"</w:instrText>
            </w:r>
            <w:r w:rsidRPr="005E385F">
              <w:rPr>
                <w:rFonts w:ascii="Verdana" w:hAnsi="Verdana"/>
                <w:sz w:val="20"/>
              </w:rPr>
              <w:fldChar w:fldCharType="end"/>
            </w:r>
            <w:r w:rsidRPr="005E385F">
              <w:rPr>
                <w:rFonts w:ascii="Verdana" w:hAnsi="Verdana"/>
                <w:sz w:val="20"/>
              </w:rPr>
              <w:t xml:space="preserve"> but is not available for content</w:t>
            </w:r>
            <w:r w:rsidRPr="005E385F">
              <w:rPr>
                <w:rFonts w:ascii="Verdana" w:hAnsi="Verdana"/>
                <w:sz w:val="20"/>
              </w:rPr>
              <w:fldChar w:fldCharType="begin"/>
            </w:r>
            <w:r w:rsidRPr="005E385F">
              <w:rPr>
                <w:rFonts w:ascii="Verdana" w:hAnsi="Verdana"/>
                <w:sz w:val="20"/>
              </w:rPr>
              <w:instrText>xe "Content"</w:instrText>
            </w:r>
            <w:r w:rsidRPr="005E385F">
              <w:rPr>
                <w:rFonts w:ascii="Verdana" w:hAnsi="Verdana"/>
                <w:sz w:val="20"/>
              </w:rPr>
              <w:fldChar w:fldCharType="end"/>
            </w:r>
            <w:r w:rsidRPr="005E385F">
              <w:rPr>
                <w:rFonts w:ascii="Verdana" w:hAnsi="Verdana"/>
                <w:sz w:val="20"/>
              </w:rPr>
              <w:t xml:space="preserve">, equipment purchased by applicants, and services beyond basic conduit access to the Internet.  </w:t>
            </w:r>
            <w:r w:rsidRPr="005E385F">
              <w:rPr>
                <w:rFonts w:ascii="Verdana" w:hAnsi="Verdana"/>
                <w:bCs/>
                <w:sz w:val="20"/>
              </w:rPr>
              <w:t>Basic conduit access to the Internet may be used for access to Internet-based distance learning and video conferencing services.</w:t>
            </w:r>
            <w:r w:rsidRPr="005E385F">
              <w:rPr>
                <w:rFonts w:ascii="Verdana" w:hAnsi="Verdana"/>
                <w:sz w:val="20"/>
              </w:rPr>
              <w:t xml:space="preserve">  Basic conduit Access technologies include but are not limited to:</w:t>
            </w:r>
          </w:p>
          <w:p w14:paraId="7CD5B398" w14:textId="2BA2C747" w:rsidR="00F935B1" w:rsidRPr="005E385F" w:rsidRDefault="00A0395D" w:rsidP="00F935B1">
            <w:pPr>
              <w:pStyle w:val="NormalWeb"/>
              <w:numPr>
                <w:ilvl w:val="0"/>
                <w:numId w:val="33"/>
              </w:numPr>
              <w:spacing w:before="0" w:beforeAutospacing="0" w:after="0"/>
              <w:rPr>
                <w:rFonts w:ascii="Verdana" w:hAnsi="Verdana"/>
                <w:sz w:val="20"/>
              </w:rPr>
            </w:pPr>
            <w:hyperlink r:id="rId27" w:anchor="xxBroadbandOverPowerLines" w:history="1">
              <w:r w:rsidR="00F935B1" w:rsidRPr="005E385F">
                <w:rPr>
                  <w:rStyle w:val="Hyperlink"/>
                  <w:rFonts w:ascii="Verdana" w:hAnsi="Verdana"/>
                  <w:sz w:val="20"/>
                </w:rPr>
                <w:t xml:space="preserve">Broadband over Power Lines </w:t>
              </w:r>
            </w:hyperlink>
            <w:r w:rsidR="00F935B1" w:rsidRPr="005E385F">
              <w:rPr>
                <w:rFonts w:ascii="Verdana" w:hAnsi="Verdana"/>
                <w:color w:val="000000"/>
                <w:sz w:val="20"/>
              </w:rPr>
              <w:t>(BPL)-enabled Internet access service</w:t>
            </w:r>
            <w:r w:rsidR="00F935B1" w:rsidRPr="005E385F">
              <w:rPr>
                <w:rFonts w:ascii="Verdana" w:hAnsi="Verdana"/>
                <w:sz w:val="20"/>
              </w:rPr>
              <w:fldChar w:fldCharType="begin"/>
            </w:r>
            <w:r w:rsidR="00F935B1" w:rsidRPr="005E385F">
              <w:rPr>
                <w:rFonts w:ascii="Verdana" w:hAnsi="Verdana"/>
                <w:sz w:val="20"/>
              </w:rPr>
              <w:instrText>xe "BroadbandoverPowerLines"</w:instrText>
            </w:r>
            <w:r w:rsidR="00F935B1" w:rsidRPr="005E385F">
              <w:rPr>
                <w:rFonts w:ascii="Verdana" w:hAnsi="Verdana"/>
                <w:sz w:val="20"/>
              </w:rPr>
              <w:fldChar w:fldCharType="end"/>
            </w:r>
          </w:p>
          <w:p w14:paraId="2D57DB29" w14:textId="7BB0AFBD" w:rsidR="00F935B1" w:rsidRPr="005E385F" w:rsidRDefault="00A0395D" w:rsidP="00F935B1">
            <w:pPr>
              <w:pStyle w:val="NormalWeb"/>
              <w:numPr>
                <w:ilvl w:val="0"/>
                <w:numId w:val="11"/>
              </w:numPr>
              <w:spacing w:before="0" w:beforeAutospacing="0" w:after="0"/>
              <w:rPr>
                <w:rFonts w:ascii="Verdana" w:hAnsi="Verdana"/>
                <w:bCs/>
                <w:sz w:val="20"/>
              </w:rPr>
            </w:pPr>
            <w:hyperlink r:id="rId28" w:anchor="CableModem" w:history="1">
              <w:r w:rsidR="00F935B1" w:rsidRPr="005E385F">
                <w:rPr>
                  <w:rStyle w:val="Hyperlink"/>
                  <w:rFonts w:ascii="Verdana" w:hAnsi="Verdana"/>
                  <w:bCs/>
                  <w:sz w:val="20"/>
                </w:rPr>
                <w:t>Cable Modem</w:t>
              </w:r>
              <w:r w:rsidR="00F935B1" w:rsidRPr="005E385F">
                <w:rPr>
                  <w:rFonts w:ascii="Verdana" w:hAnsi="Verdana"/>
                  <w:sz w:val="20"/>
                </w:rPr>
                <w:fldChar w:fldCharType="begin"/>
              </w:r>
              <w:r w:rsidR="00F935B1" w:rsidRPr="005E385F">
                <w:rPr>
                  <w:rFonts w:ascii="Verdana" w:hAnsi="Verdana"/>
                  <w:sz w:val="20"/>
                </w:rPr>
                <w:instrText>xe "</w:instrText>
              </w:r>
              <w:r w:rsidR="00F935B1" w:rsidRPr="005E385F">
                <w:rPr>
                  <w:rStyle w:val="Hyperlink"/>
                  <w:rFonts w:ascii="Verdana" w:hAnsi="Verdana"/>
                  <w:bCs/>
                  <w:sz w:val="20"/>
                </w:rPr>
                <w:instrText>CableModem</w:instrText>
              </w:r>
              <w:r w:rsidR="00F935B1" w:rsidRPr="005E385F">
                <w:rPr>
                  <w:rFonts w:ascii="Verdana" w:hAnsi="Verdana"/>
                  <w:sz w:val="20"/>
                </w:rPr>
                <w:instrText>"</w:instrText>
              </w:r>
              <w:r w:rsidR="00F935B1" w:rsidRPr="005E385F">
                <w:rPr>
                  <w:rFonts w:ascii="Verdana" w:hAnsi="Verdana"/>
                  <w:sz w:val="20"/>
                </w:rPr>
                <w:fldChar w:fldCharType="end"/>
              </w:r>
            </w:hyperlink>
          </w:p>
          <w:p w14:paraId="1E7F8100" w14:textId="38068846" w:rsidR="00F935B1" w:rsidRPr="005E385F" w:rsidRDefault="00A0395D" w:rsidP="00F935B1">
            <w:pPr>
              <w:pStyle w:val="NormalWeb"/>
              <w:numPr>
                <w:ilvl w:val="0"/>
                <w:numId w:val="11"/>
              </w:numPr>
              <w:spacing w:before="0" w:beforeAutospacing="0" w:after="0"/>
              <w:rPr>
                <w:rFonts w:ascii="Verdana" w:hAnsi="Verdana"/>
                <w:bCs/>
                <w:sz w:val="20"/>
              </w:rPr>
            </w:pPr>
            <w:hyperlink r:id="rId29" w:anchor="IADigitalSubscriberLine" w:history="1">
              <w:r w:rsidR="00F935B1" w:rsidRPr="005E385F">
                <w:rPr>
                  <w:rStyle w:val="Hyperlink"/>
                  <w:rFonts w:ascii="Verdana" w:hAnsi="Verdana"/>
                  <w:bCs/>
                  <w:sz w:val="20"/>
                </w:rPr>
                <w:t>Digital Subscriber Line (DSL)</w:t>
              </w:r>
              <w:r w:rsidR="00F935B1" w:rsidRPr="005E385F">
                <w:rPr>
                  <w:rFonts w:ascii="Verdana" w:hAnsi="Verdana"/>
                  <w:sz w:val="20"/>
                </w:rPr>
                <w:fldChar w:fldCharType="begin"/>
              </w:r>
              <w:r w:rsidR="00F935B1" w:rsidRPr="005E385F">
                <w:rPr>
                  <w:rFonts w:ascii="Verdana" w:hAnsi="Verdana"/>
                  <w:sz w:val="20"/>
                </w:rPr>
                <w:instrText>xe "</w:instrText>
              </w:r>
              <w:r w:rsidR="00F935B1" w:rsidRPr="005E385F">
                <w:rPr>
                  <w:rStyle w:val="Hyperlink"/>
                  <w:rFonts w:ascii="Verdana" w:hAnsi="Verdana"/>
                  <w:bCs/>
                  <w:sz w:val="20"/>
                </w:rPr>
                <w:instrText>DigitalSubscriberLine</w:instrText>
              </w:r>
              <w:r w:rsidR="00F935B1" w:rsidRPr="005E385F">
                <w:rPr>
                  <w:rFonts w:ascii="Verdana" w:hAnsi="Verdana"/>
                  <w:sz w:val="20"/>
                </w:rPr>
                <w:instrText>"</w:instrText>
              </w:r>
              <w:r w:rsidR="00F935B1" w:rsidRPr="005E385F">
                <w:rPr>
                  <w:rFonts w:ascii="Verdana" w:hAnsi="Verdana"/>
                  <w:sz w:val="20"/>
                </w:rPr>
                <w:fldChar w:fldCharType="end"/>
              </w:r>
            </w:hyperlink>
            <w:r w:rsidR="00F935B1" w:rsidRPr="005E385F">
              <w:rPr>
                <w:rFonts w:ascii="Verdana" w:hAnsi="Verdana"/>
                <w:sz w:val="20"/>
              </w:rPr>
              <w:fldChar w:fldCharType="begin"/>
            </w:r>
            <w:r w:rsidR="00F935B1" w:rsidRPr="005E385F">
              <w:rPr>
                <w:rFonts w:ascii="Verdana" w:hAnsi="Verdana"/>
                <w:sz w:val="20"/>
              </w:rPr>
              <w:instrText>xe "</w:instrText>
            </w:r>
            <w:r w:rsidR="00F935B1" w:rsidRPr="005E385F">
              <w:rPr>
                <w:rFonts w:ascii="Verdana" w:hAnsi="Verdana"/>
                <w:bCs/>
                <w:sz w:val="20"/>
              </w:rPr>
              <w:instrText>DSL</w:instrText>
            </w:r>
            <w:r w:rsidR="00F935B1" w:rsidRPr="005E385F">
              <w:rPr>
                <w:rFonts w:ascii="Verdana" w:hAnsi="Verdana"/>
                <w:sz w:val="20"/>
              </w:rPr>
              <w:instrText>"</w:instrText>
            </w:r>
            <w:r w:rsidR="00F935B1" w:rsidRPr="005E385F">
              <w:rPr>
                <w:rFonts w:ascii="Verdana" w:hAnsi="Verdana"/>
                <w:sz w:val="20"/>
              </w:rPr>
              <w:fldChar w:fldCharType="end"/>
            </w:r>
          </w:p>
          <w:p w14:paraId="1C848CF5" w14:textId="77777777" w:rsidR="00F935B1" w:rsidRPr="005E385F" w:rsidRDefault="00F935B1" w:rsidP="00F935B1">
            <w:pPr>
              <w:pStyle w:val="NormalWeb"/>
              <w:numPr>
                <w:ilvl w:val="0"/>
                <w:numId w:val="11"/>
              </w:numPr>
              <w:spacing w:before="0" w:beforeAutospacing="0" w:after="0"/>
              <w:rPr>
                <w:rFonts w:ascii="Verdana" w:hAnsi="Verdana"/>
                <w:bCs/>
                <w:color w:val="0000FF"/>
                <w:sz w:val="20"/>
              </w:rPr>
            </w:pPr>
            <w:r w:rsidRPr="005E385F">
              <w:rPr>
                <w:rFonts w:ascii="Verdana" w:hAnsi="Verdana"/>
                <w:color w:val="0000FF"/>
                <w:sz w:val="20"/>
              </w:rPr>
              <w:t>Fiber</w:t>
            </w:r>
            <w:r w:rsidRPr="005E385F">
              <w:rPr>
                <w:rFonts w:ascii="Verdana" w:hAnsi="Verdana"/>
                <w:color w:val="0000FF"/>
                <w:sz w:val="20"/>
              </w:rPr>
              <w:fldChar w:fldCharType="begin"/>
            </w:r>
            <w:r w:rsidRPr="005E385F">
              <w:rPr>
                <w:rFonts w:ascii="Verdana" w:hAnsi="Verdana"/>
                <w:color w:val="0000FF"/>
                <w:sz w:val="20"/>
              </w:rPr>
              <w:instrText>xe "</w:instrText>
            </w:r>
            <w:r w:rsidRPr="005E385F">
              <w:rPr>
                <w:rFonts w:ascii="Verdana" w:hAnsi="Verdana" w:cs="Verdana"/>
                <w:bCs/>
                <w:color w:val="0000FF"/>
                <w:sz w:val="20"/>
              </w:rPr>
              <w:instrText>Fiber</w:instrText>
            </w:r>
            <w:r w:rsidRPr="005E385F">
              <w:rPr>
                <w:rFonts w:ascii="Verdana" w:hAnsi="Verdana"/>
                <w:color w:val="0000FF"/>
                <w:sz w:val="20"/>
              </w:rPr>
              <w:instrText>"</w:instrText>
            </w:r>
            <w:r w:rsidRPr="005E385F">
              <w:rPr>
                <w:rFonts w:ascii="Verdana" w:hAnsi="Verdana"/>
                <w:color w:val="0000FF"/>
                <w:sz w:val="20"/>
              </w:rPr>
              <w:fldChar w:fldCharType="end"/>
            </w:r>
            <w:r w:rsidRPr="005E385F">
              <w:rPr>
                <w:rFonts w:ascii="Verdana" w:hAnsi="Verdana"/>
                <w:color w:val="0000FF"/>
                <w:sz w:val="20"/>
              </w:rPr>
              <w:t>/Dark Fiber</w:t>
            </w:r>
          </w:p>
          <w:p w14:paraId="24205013" w14:textId="77777777" w:rsidR="00F935B1" w:rsidRPr="005E385F" w:rsidRDefault="00A0395D" w:rsidP="00F935B1">
            <w:pPr>
              <w:pStyle w:val="NormalWeb"/>
              <w:numPr>
                <w:ilvl w:val="0"/>
                <w:numId w:val="11"/>
              </w:numPr>
              <w:spacing w:before="0" w:beforeAutospacing="0" w:after="0"/>
              <w:rPr>
                <w:rFonts w:ascii="Verdana" w:hAnsi="Verdana"/>
                <w:bCs/>
                <w:color w:val="0000FF"/>
                <w:sz w:val="20"/>
              </w:rPr>
            </w:pPr>
            <w:hyperlink w:anchor="TelecomSatelliteService" w:history="1">
              <w:r w:rsidR="00F935B1" w:rsidRPr="005E385F">
                <w:rPr>
                  <w:rStyle w:val="Hyperlink"/>
                  <w:rFonts w:ascii="Verdana" w:hAnsi="Verdana"/>
                  <w:sz w:val="20"/>
                </w:rPr>
                <w:t>Satellite service</w:t>
              </w:r>
            </w:hyperlink>
          </w:p>
          <w:p w14:paraId="06AC9DCE" w14:textId="77777777" w:rsidR="00F935B1" w:rsidRPr="005E385F" w:rsidRDefault="00F935B1" w:rsidP="00F935B1">
            <w:pPr>
              <w:pStyle w:val="NormalWeb"/>
              <w:numPr>
                <w:ilvl w:val="0"/>
                <w:numId w:val="11"/>
              </w:numPr>
              <w:spacing w:before="0" w:beforeAutospacing="0" w:after="0"/>
              <w:rPr>
                <w:rFonts w:ascii="Verdana" w:hAnsi="Verdana"/>
                <w:sz w:val="20"/>
              </w:rPr>
            </w:pPr>
            <w:r w:rsidRPr="005E385F">
              <w:rPr>
                <w:rFonts w:ascii="Verdana" w:hAnsi="Verdana"/>
                <w:color w:val="0000FF"/>
                <w:sz w:val="20"/>
              </w:rPr>
              <w:t>Tel</w:t>
            </w:r>
            <w:r w:rsidRPr="005E385F">
              <w:rPr>
                <w:rFonts w:ascii="Verdana" w:hAnsi="Verdana"/>
                <w:sz w:val="20"/>
              </w:rPr>
              <w:t>ephone</w:t>
            </w:r>
            <w:r w:rsidRPr="005E385F">
              <w:rPr>
                <w:rFonts w:ascii="Verdana" w:hAnsi="Verdana"/>
                <w:sz w:val="20"/>
              </w:rPr>
              <w:fldChar w:fldCharType="begin"/>
            </w:r>
            <w:r w:rsidRPr="005E385F">
              <w:rPr>
                <w:rFonts w:ascii="Verdana" w:hAnsi="Verdana"/>
                <w:sz w:val="20"/>
              </w:rPr>
              <w:instrText>xe "Telephone"</w:instrText>
            </w:r>
            <w:r w:rsidRPr="005E385F">
              <w:rPr>
                <w:rFonts w:ascii="Verdana" w:hAnsi="Verdana"/>
                <w:sz w:val="20"/>
              </w:rPr>
              <w:fldChar w:fldCharType="end"/>
            </w:r>
            <w:r w:rsidRPr="005E385F">
              <w:rPr>
                <w:rFonts w:ascii="Verdana" w:hAnsi="Verdana"/>
                <w:sz w:val="20"/>
              </w:rPr>
              <w:t xml:space="preserve"> dial-up</w:t>
            </w:r>
          </w:p>
          <w:p w14:paraId="272EA474" w14:textId="77777777" w:rsidR="00F935B1" w:rsidRPr="005E385F" w:rsidRDefault="00A0395D" w:rsidP="00F935B1">
            <w:pPr>
              <w:pStyle w:val="NormalWeb"/>
              <w:numPr>
                <w:ilvl w:val="0"/>
                <w:numId w:val="11"/>
              </w:numPr>
              <w:spacing w:before="0" w:beforeAutospacing="0" w:after="0"/>
              <w:rPr>
                <w:rFonts w:ascii="Verdana" w:hAnsi="Verdana"/>
                <w:bCs/>
                <w:sz w:val="20"/>
              </w:rPr>
            </w:pPr>
            <w:hyperlink w:anchor="TelecomT1" w:history="1">
              <w:r w:rsidR="00F935B1" w:rsidRPr="005E385F">
                <w:rPr>
                  <w:rStyle w:val="Hyperlink"/>
                  <w:rFonts w:ascii="Verdana" w:hAnsi="Verdana"/>
                  <w:bCs/>
                  <w:sz w:val="20"/>
                </w:rPr>
                <w:t>T-1</w:t>
              </w:r>
              <w:r w:rsidR="00F935B1" w:rsidRPr="005E385F">
                <w:rPr>
                  <w:rStyle w:val="Hyperlink"/>
                  <w:rFonts w:ascii="Verdana" w:hAnsi="Verdana"/>
                  <w:sz w:val="20"/>
                </w:rPr>
                <w:fldChar w:fldCharType="begin"/>
              </w:r>
              <w:r w:rsidR="00F935B1" w:rsidRPr="005E385F">
                <w:rPr>
                  <w:rStyle w:val="Hyperlink"/>
                  <w:rFonts w:ascii="Verdana" w:hAnsi="Verdana"/>
                  <w:sz w:val="20"/>
                </w:rPr>
                <w:instrText>xe "T-1"</w:instrText>
              </w:r>
              <w:r w:rsidR="00F935B1" w:rsidRPr="005E385F">
                <w:rPr>
                  <w:rStyle w:val="Hyperlink"/>
                  <w:rFonts w:ascii="Verdana" w:hAnsi="Verdana"/>
                  <w:sz w:val="20"/>
                </w:rPr>
                <w:fldChar w:fldCharType="end"/>
              </w:r>
            </w:hyperlink>
            <w:r w:rsidR="00F935B1" w:rsidRPr="005E385F">
              <w:rPr>
                <w:rFonts w:ascii="Verdana" w:hAnsi="Verdana"/>
                <w:bCs/>
                <w:sz w:val="20"/>
              </w:rPr>
              <w:t xml:space="preserve"> lines</w:t>
            </w:r>
          </w:p>
          <w:p w14:paraId="4367CDF5" w14:textId="77777777" w:rsidR="00F935B1" w:rsidRPr="005E385F" w:rsidRDefault="00F935B1" w:rsidP="00F935B1">
            <w:pPr>
              <w:pStyle w:val="NormalWeb"/>
              <w:numPr>
                <w:ilvl w:val="0"/>
                <w:numId w:val="11"/>
              </w:numPr>
              <w:spacing w:before="0" w:beforeAutospacing="0" w:after="0"/>
              <w:rPr>
                <w:rFonts w:ascii="Verdana" w:hAnsi="Verdana"/>
                <w:bCs/>
                <w:sz w:val="20"/>
              </w:rPr>
            </w:pPr>
            <w:r w:rsidRPr="005E385F">
              <w:rPr>
                <w:rFonts w:ascii="Verdana" w:hAnsi="Verdana"/>
                <w:bCs/>
                <w:sz w:val="20"/>
              </w:rPr>
              <w:t>Wireless (For more details see the entry for “Wireless Internet access”)</w:t>
            </w:r>
          </w:p>
          <w:p w14:paraId="0055055A" w14:textId="77777777" w:rsidR="00F935B1" w:rsidRPr="005E385F" w:rsidRDefault="00F935B1" w:rsidP="0083602C">
            <w:pPr>
              <w:pStyle w:val="NormalWeb"/>
              <w:spacing w:before="0" w:beforeAutospacing="0" w:after="0"/>
              <w:rPr>
                <w:rFonts w:ascii="Verdana" w:hAnsi="Verdana"/>
                <w:sz w:val="20"/>
              </w:rPr>
            </w:pPr>
          </w:p>
          <w:p w14:paraId="58BAFCE6" w14:textId="77777777" w:rsidR="00F935B1" w:rsidRPr="005E385F" w:rsidRDefault="00F935B1" w:rsidP="0083602C">
            <w:pPr>
              <w:pStyle w:val="NormalWeb"/>
              <w:spacing w:before="0" w:beforeAutospacing="0" w:after="0"/>
              <w:rPr>
                <w:rFonts w:ascii="Verdana" w:hAnsi="Verdana"/>
                <w:sz w:val="20"/>
              </w:rPr>
            </w:pPr>
            <w:r w:rsidRPr="005E385F">
              <w:rPr>
                <w:rFonts w:ascii="Verdana" w:hAnsi="Verdana"/>
                <w:sz w:val="20"/>
              </w:rPr>
              <w:lastRenderedPageBreak/>
              <w:t>Eligible Internet access</w:t>
            </w:r>
            <w:r w:rsidRPr="005E385F">
              <w:rPr>
                <w:rFonts w:ascii="Verdana" w:hAnsi="Verdana"/>
                <w:sz w:val="20"/>
              </w:rPr>
              <w:fldChar w:fldCharType="begin"/>
            </w:r>
            <w:r w:rsidRPr="005E385F">
              <w:rPr>
                <w:rFonts w:ascii="Verdana" w:hAnsi="Verdana"/>
                <w:sz w:val="20"/>
              </w:rPr>
              <w:instrText>xe "InternetAccess"</w:instrText>
            </w:r>
            <w:r w:rsidRPr="005E385F">
              <w:rPr>
                <w:rFonts w:ascii="Verdana" w:hAnsi="Verdana"/>
                <w:sz w:val="20"/>
              </w:rPr>
              <w:fldChar w:fldCharType="end"/>
            </w:r>
            <w:r w:rsidRPr="005E385F">
              <w:rPr>
                <w:rFonts w:ascii="Verdana" w:hAnsi="Verdana"/>
                <w:sz w:val="20"/>
              </w:rPr>
              <w:t xml:space="preserve"> may include features typically provided for when provided as a standard component of a vendor’s Internet access service.  Such features may include:</w:t>
            </w:r>
          </w:p>
          <w:p w14:paraId="1884EE08" w14:textId="77777777" w:rsidR="00F935B1" w:rsidRPr="005E385F" w:rsidRDefault="00A0395D" w:rsidP="0083602C">
            <w:pPr>
              <w:pStyle w:val="NormalWeb"/>
              <w:spacing w:before="0" w:beforeAutospacing="0" w:after="0"/>
              <w:rPr>
                <w:rFonts w:ascii="Verdana" w:hAnsi="Verdana"/>
                <w:sz w:val="20"/>
              </w:rPr>
            </w:pPr>
            <w:hyperlink w:anchor="DNS" w:history="1">
              <w:r w:rsidR="00F935B1" w:rsidRPr="005E385F">
                <w:rPr>
                  <w:rStyle w:val="Hyperlink"/>
                  <w:rFonts w:ascii="Verdana" w:hAnsi="Verdana"/>
                  <w:sz w:val="20"/>
                </w:rPr>
                <w:t>Domain Name Service</w:t>
              </w:r>
              <w:r w:rsidR="00F935B1" w:rsidRPr="005E385F">
                <w:rPr>
                  <w:rStyle w:val="Hyperlink"/>
                  <w:rFonts w:ascii="Verdana" w:hAnsi="Verdana"/>
                  <w:sz w:val="20"/>
                </w:rPr>
                <w:fldChar w:fldCharType="begin"/>
              </w:r>
              <w:r w:rsidR="00F935B1" w:rsidRPr="005E385F">
                <w:rPr>
                  <w:rStyle w:val="Hyperlink"/>
                  <w:rFonts w:ascii="Verdana" w:hAnsi="Verdana"/>
                  <w:sz w:val="20"/>
                </w:rPr>
                <w:instrText>xe "DomainName"</w:instrText>
              </w:r>
              <w:r w:rsidR="00F935B1" w:rsidRPr="005E385F">
                <w:rPr>
                  <w:rStyle w:val="Hyperlink"/>
                  <w:rFonts w:ascii="Verdana" w:hAnsi="Verdana"/>
                  <w:sz w:val="20"/>
                </w:rPr>
                <w:fldChar w:fldCharType="end"/>
              </w:r>
            </w:hyperlink>
            <w:r w:rsidR="00F935B1" w:rsidRPr="005E385F">
              <w:rPr>
                <w:rFonts w:ascii="Verdana" w:hAnsi="Verdana"/>
                <w:sz w:val="20"/>
              </w:rPr>
              <w:t xml:space="preserve">, </w:t>
            </w:r>
            <w:hyperlink w:anchor="DHCP" w:history="1">
              <w:r w:rsidR="00F935B1" w:rsidRPr="005E385F">
                <w:rPr>
                  <w:rStyle w:val="Hyperlink"/>
                  <w:rFonts w:ascii="Verdana" w:hAnsi="Verdana"/>
                  <w:sz w:val="20"/>
                </w:rPr>
                <w:t>Dynamic Host Configuration</w:t>
              </w:r>
              <w:r w:rsidR="00F935B1" w:rsidRPr="005E385F">
                <w:rPr>
                  <w:rStyle w:val="Hyperlink"/>
                  <w:rFonts w:ascii="Verdana" w:hAnsi="Verdana"/>
                  <w:sz w:val="20"/>
                </w:rPr>
                <w:fldChar w:fldCharType="begin"/>
              </w:r>
              <w:r w:rsidR="00F935B1" w:rsidRPr="005E385F">
                <w:rPr>
                  <w:rStyle w:val="Hyperlink"/>
                  <w:rFonts w:ascii="Verdana" w:hAnsi="Verdana"/>
                  <w:sz w:val="20"/>
                </w:rPr>
                <w:instrText>xe "Configuration"</w:instrText>
              </w:r>
              <w:r w:rsidR="00F935B1" w:rsidRPr="005E385F">
                <w:rPr>
                  <w:rStyle w:val="Hyperlink"/>
                  <w:rFonts w:ascii="Verdana" w:hAnsi="Verdana"/>
                  <w:sz w:val="20"/>
                </w:rPr>
                <w:fldChar w:fldCharType="end"/>
              </w:r>
            </w:hyperlink>
            <w:r w:rsidR="00F935B1" w:rsidRPr="005E385F">
              <w:rPr>
                <w:rFonts w:ascii="Verdana" w:hAnsi="Verdana"/>
                <w:sz w:val="20"/>
              </w:rPr>
              <w:t xml:space="preserve">, and basic </w:t>
            </w:r>
            <w:hyperlink w:anchor="Firewall" w:history="1">
              <w:r w:rsidR="00F935B1" w:rsidRPr="005E385F">
                <w:rPr>
                  <w:rStyle w:val="Hyperlink"/>
                  <w:rFonts w:ascii="Verdana" w:hAnsi="Verdana"/>
                  <w:sz w:val="20"/>
                </w:rPr>
                <w:t>firewall</w:t>
              </w:r>
            </w:hyperlink>
            <w:r w:rsidR="00F935B1" w:rsidRPr="005E385F">
              <w:rPr>
                <w:rFonts w:ascii="Verdana" w:hAnsi="Verdana"/>
                <w:sz w:val="20"/>
              </w:rPr>
              <w:fldChar w:fldCharType="begin"/>
            </w:r>
            <w:r w:rsidR="00F935B1" w:rsidRPr="005E385F">
              <w:rPr>
                <w:rFonts w:ascii="Verdana" w:hAnsi="Verdana"/>
                <w:sz w:val="20"/>
              </w:rPr>
              <w:instrText>xe "Firewall"</w:instrText>
            </w:r>
            <w:r w:rsidR="00F935B1" w:rsidRPr="005E385F">
              <w:rPr>
                <w:rFonts w:ascii="Verdana" w:hAnsi="Verdana"/>
                <w:sz w:val="20"/>
              </w:rPr>
              <w:fldChar w:fldCharType="end"/>
            </w:r>
            <w:r w:rsidR="00F935B1" w:rsidRPr="005E385F">
              <w:rPr>
                <w:rFonts w:ascii="Verdana" w:hAnsi="Verdana"/>
                <w:sz w:val="20"/>
              </w:rPr>
              <w:t xml:space="preserve"> protection against unauthorized use and access.  Firewall protection may not be provided by a vendor other than the Internet access provider and may not be priced out separately.  </w:t>
            </w:r>
          </w:p>
          <w:p w14:paraId="3EAC6F0A" w14:textId="77777777" w:rsidR="00F935B1" w:rsidRPr="005E385F" w:rsidRDefault="00F935B1" w:rsidP="0083602C">
            <w:pPr>
              <w:pStyle w:val="NormalWeb"/>
              <w:spacing w:before="0" w:beforeAutospacing="0" w:after="0"/>
              <w:rPr>
                <w:rFonts w:ascii="Verdana" w:hAnsi="Verdana"/>
                <w:sz w:val="20"/>
              </w:rPr>
            </w:pPr>
          </w:p>
          <w:p w14:paraId="782CAD11" w14:textId="77777777" w:rsidR="00F935B1" w:rsidRPr="005E385F" w:rsidRDefault="00F935B1" w:rsidP="0083602C">
            <w:pPr>
              <w:pStyle w:val="NormalWeb"/>
              <w:spacing w:before="0" w:beforeAutospacing="0" w:after="0"/>
              <w:rPr>
                <w:rFonts w:ascii="Verdana" w:hAnsi="Verdana"/>
                <w:sz w:val="20"/>
              </w:rPr>
            </w:pPr>
            <w:r w:rsidRPr="005E385F">
              <w:rPr>
                <w:rFonts w:ascii="Verdana" w:hAnsi="Verdana"/>
                <w:sz w:val="20"/>
              </w:rPr>
              <w:t xml:space="preserve">A </w:t>
            </w:r>
            <w:hyperlink w:anchor="TelecomWANServices" w:history="1">
              <w:r w:rsidRPr="005E385F">
                <w:rPr>
                  <w:rStyle w:val="Hyperlink"/>
                  <w:rFonts w:ascii="Verdana" w:hAnsi="Verdana"/>
                  <w:sz w:val="20"/>
                </w:rPr>
                <w:t>Wide Area Network</w:t>
              </w:r>
              <w:r w:rsidRPr="005E385F">
                <w:rPr>
                  <w:rStyle w:val="Hyperlink"/>
                  <w:rFonts w:ascii="Verdana" w:hAnsi="Verdana"/>
                  <w:sz w:val="20"/>
                </w:rPr>
                <w:fldChar w:fldCharType="begin"/>
              </w:r>
              <w:r w:rsidRPr="005E385F">
                <w:rPr>
                  <w:rStyle w:val="Hyperlink"/>
                  <w:rFonts w:ascii="Verdana" w:hAnsi="Verdana"/>
                  <w:sz w:val="20"/>
                </w:rPr>
                <w:instrText>xe "Wide Area Network"</w:instrText>
              </w:r>
              <w:r w:rsidRPr="005E385F">
                <w:rPr>
                  <w:rStyle w:val="Hyperlink"/>
                  <w:rFonts w:ascii="Verdana" w:hAnsi="Verdana"/>
                  <w:sz w:val="20"/>
                </w:rPr>
                <w:fldChar w:fldCharType="end"/>
              </w:r>
            </w:hyperlink>
            <w:r w:rsidRPr="005E385F">
              <w:rPr>
                <w:rFonts w:ascii="Verdana" w:hAnsi="Verdana"/>
                <w:sz w:val="20"/>
              </w:rPr>
              <w:t xml:space="preserve"> can be eligible for funding as a part of Internet access</w:t>
            </w:r>
            <w:r w:rsidRPr="005E385F">
              <w:rPr>
                <w:rFonts w:ascii="Verdana" w:hAnsi="Verdana"/>
                <w:sz w:val="20"/>
              </w:rPr>
              <w:fldChar w:fldCharType="begin"/>
            </w:r>
            <w:r w:rsidRPr="005E385F">
              <w:rPr>
                <w:rFonts w:ascii="Verdana" w:hAnsi="Verdana"/>
                <w:sz w:val="20"/>
              </w:rPr>
              <w:instrText>xe "</w:instrText>
            </w:r>
            <w:r w:rsidRPr="005E385F">
              <w:rPr>
                <w:rFonts w:ascii="Verdana" w:hAnsi="Verdana"/>
                <w:bCs/>
                <w:sz w:val="20"/>
              </w:rPr>
              <w:instrText>Internet Access</w:instrText>
            </w:r>
            <w:r w:rsidRPr="005E385F">
              <w:rPr>
                <w:rFonts w:ascii="Verdana" w:hAnsi="Verdana"/>
                <w:sz w:val="20"/>
              </w:rPr>
              <w:instrText>"</w:instrText>
            </w:r>
            <w:r w:rsidRPr="005E385F">
              <w:rPr>
                <w:rFonts w:ascii="Verdana" w:hAnsi="Verdana"/>
                <w:sz w:val="20"/>
              </w:rPr>
              <w:fldChar w:fldCharType="end"/>
            </w:r>
            <w:r w:rsidRPr="005E385F">
              <w:rPr>
                <w:rFonts w:ascii="Verdana" w:hAnsi="Verdana"/>
                <w:sz w:val="20"/>
              </w:rPr>
              <w:t xml:space="preserve"> if the service is limited to basic conduit access to the Internet. </w:t>
            </w:r>
          </w:p>
          <w:p w14:paraId="64F86E98" w14:textId="77777777" w:rsidR="00F935B1" w:rsidRPr="005E385F" w:rsidRDefault="00F935B1" w:rsidP="0083602C">
            <w:pPr>
              <w:pStyle w:val="NormalWeb"/>
              <w:spacing w:before="0" w:beforeAutospacing="0" w:after="0"/>
              <w:ind w:left="360"/>
              <w:rPr>
                <w:rFonts w:ascii="Verdana" w:hAnsi="Verdana"/>
                <w:bCs/>
                <w:sz w:val="20"/>
              </w:rPr>
            </w:pPr>
          </w:p>
        </w:tc>
      </w:tr>
      <w:tr w:rsidR="00F935B1" w:rsidRPr="005E385F" w14:paraId="23D09447" w14:textId="77777777" w:rsidTr="0083602C">
        <w:trPr>
          <w:tblCellSpacing w:w="20" w:type="dxa"/>
        </w:trPr>
        <w:tc>
          <w:tcPr>
            <w:tcW w:w="2146" w:type="dxa"/>
          </w:tcPr>
          <w:p w14:paraId="03E8A397" w14:textId="77777777" w:rsidR="00F935B1" w:rsidRPr="005E385F" w:rsidRDefault="00F935B1" w:rsidP="0083602C">
            <w:pPr>
              <w:rPr>
                <w:rFonts w:ascii="Verdana" w:hAnsi="Verdana"/>
                <w:b/>
                <w:sz w:val="20"/>
              </w:rPr>
            </w:pPr>
            <w:r w:rsidRPr="005E385F">
              <w:rPr>
                <w:rFonts w:ascii="Verdana" w:hAnsi="Verdana"/>
                <w:b/>
                <w:sz w:val="20"/>
              </w:rPr>
              <w:lastRenderedPageBreak/>
              <w:t>Paging</w:t>
            </w:r>
          </w:p>
        </w:tc>
        <w:tc>
          <w:tcPr>
            <w:tcW w:w="6987" w:type="dxa"/>
          </w:tcPr>
          <w:p w14:paraId="0ED88770" w14:textId="77777777" w:rsidR="00F935B1" w:rsidRPr="005E385F" w:rsidRDefault="00A0395D" w:rsidP="0083602C">
            <w:pPr>
              <w:pStyle w:val="NormalWeb"/>
              <w:spacing w:before="0" w:beforeAutospacing="0" w:after="0"/>
              <w:rPr>
                <w:rFonts w:ascii="Verdana" w:hAnsi="Verdana"/>
                <w:sz w:val="20"/>
              </w:rPr>
            </w:pPr>
            <w:hyperlink w:anchor="TelecomPaging" w:history="1">
              <w:r w:rsidR="00F935B1" w:rsidRPr="005E385F">
                <w:rPr>
                  <w:rStyle w:val="Hyperlink"/>
                  <w:rFonts w:ascii="Verdana" w:hAnsi="Verdana"/>
                  <w:bCs/>
                  <w:sz w:val="20"/>
                </w:rPr>
                <w:t>Paging</w:t>
              </w:r>
              <w:r w:rsidR="00F935B1" w:rsidRPr="005E385F">
                <w:rPr>
                  <w:rFonts w:ascii="Verdana" w:hAnsi="Verdana"/>
                  <w:sz w:val="20"/>
                </w:rPr>
                <w:fldChar w:fldCharType="begin"/>
              </w:r>
              <w:r w:rsidR="00F935B1" w:rsidRPr="005E385F">
                <w:rPr>
                  <w:rFonts w:ascii="Verdana" w:hAnsi="Verdana"/>
                  <w:sz w:val="20"/>
                </w:rPr>
                <w:instrText>xe "Paging Service"</w:instrText>
              </w:r>
              <w:r w:rsidR="00F935B1" w:rsidRPr="005E385F">
                <w:rPr>
                  <w:rFonts w:ascii="Verdana" w:hAnsi="Verdana"/>
                  <w:sz w:val="20"/>
                </w:rPr>
                <w:fldChar w:fldCharType="end"/>
              </w:r>
            </w:hyperlink>
            <w:r w:rsidR="00F935B1" w:rsidRPr="005E385F">
              <w:rPr>
                <w:rFonts w:ascii="Verdana" w:hAnsi="Verdana"/>
                <w:bCs/>
                <w:sz w:val="20"/>
              </w:rPr>
              <w:t xml:space="preserve"> services are eligible when integral, immediate, and proximate to the education of students.</w:t>
            </w:r>
          </w:p>
        </w:tc>
      </w:tr>
      <w:tr w:rsidR="00F935B1" w:rsidRPr="005E385F" w14:paraId="48C19C98" w14:textId="77777777" w:rsidTr="0083602C">
        <w:trPr>
          <w:tblCellSpacing w:w="20" w:type="dxa"/>
        </w:trPr>
        <w:tc>
          <w:tcPr>
            <w:tcW w:w="2146" w:type="dxa"/>
          </w:tcPr>
          <w:p w14:paraId="13D5314D" w14:textId="77777777" w:rsidR="00F935B1" w:rsidRPr="005E385F" w:rsidRDefault="00F935B1" w:rsidP="0083602C">
            <w:pPr>
              <w:rPr>
                <w:rFonts w:ascii="Verdana" w:hAnsi="Verdana"/>
                <w:b/>
                <w:sz w:val="20"/>
              </w:rPr>
            </w:pPr>
            <w:r w:rsidRPr="005E385F">
              <w:rPr>
                <w:rFonts w:ascii="Verdana" w:hAnsi="Verdana"/>
                <w:b/>
                <w:sz w:val="20"/>
              </w:rPr>
              <w:t>Telephone Service</w:t>
            </w:r>
            <w:r w:rsidRPr="005E385F">
              <w:rPr>
                <w:rFonts w:ascii="Verdana" w:hAnsi="Verdana"/>
                <w:b/>
                <w:sz w:val="20"/>
              </w:rPr>
              <w:fldChar w:fldCharType="begin"/>
            </w:r>
            <w:r w:rsidRPr="005E385F">
              <w:rPr>
                <w:rFonts w:ascii="Verdana" w:hAnsi="Verdana"/>
                <w:b/>
                <w:sz w:val="20"/>
              </w:rPr>
              <w:instrText>xe "Telephone Service"</w:instrText>
            </w:r>
            <w:r w:rsidRPr="005E385F">
              <w:rPr>
                <w:rFonts w:ascii="Verdana" w:hAnsi="Verdana"/>
                <w:b/>
                <w:sz w:val="20"/>
              </w:rPr>
              <w:fldChar w:fldCharType="end"/>
            </w:r>
          </w:p>
        </w:tc>
        <w:tc>
          <w:tcPr>
            <w:tcW w:w="6987" w:type="dxa"/>
          </w:tcPr>
          <w:p w14:paraId="74D111B7" w14:textId="77777777" w:rsidR="00F935B1" w:rsidRPr="005E385F" w:rsidRDefault="00F935B1" w:rsidP="0083602C">
            <w:pPr>
              <w:pStyle w:val="NormalWeb"/>
              <w:spacing w:before="0" w:beforeAutospacing="0" w:after="0"/>
              <w:rPr>
                <w:rFonts w:ascii="Verdana" w:hAnsi="Verdana"/>
                <w:bCs/>
                <w:sz w:val="20"/>
              </w:rPr>
            </w:pPr>
            <w:r w:rsidRPr="005E385F">
              <w:rPr>
                <w:rFonts w:ascii="Verdana" w:hAnsi="Verdana"/>
                <w:bCs/>
                <w:sz w:val="20"/>
              </w:rPr>
              <w:t>Costs to subscribe to a telephone service</w:t>
            </w:r>
            <w:r w:rsidRPr="005E385F">
              <w:rPr>
                <w:rFonts w:ascii="Verdana" w:hAnsi="Verdana"/>
                <w:sz w:val="20"/>
              </w:rPr>
              <w:fldChar w:fldCharType="begin"/>
            </w:r>
            <w:r w:rsidRPr="005E385F">
              <w:rPr>
                <w:rFonts w:ascii="Verdana" w:hAnsi="Verdana"/>
                <w:sz w:val="20"/>
              </w:rPr>
              <w:instrText>xe "T</w:instrText>
            </w:r>
            <w:r w:rsidRPr="005E385F">
              <w:rPr>
                <w:rFonts w:ascii="Verdana" w:hAnsi="Verdana"/>
                <w:bCs/>
                <w:sz w:val="20"/>
              </w:rPr>
              <w:instrText>elephone Service</w:instrText>
            </w:r>
            <w:r w:rsidRPr="005E385F">
              <w:rPr>
                <w:rFonts w:ascii="Verdana" w:hAnsi="Verdana"/>
                <w:sz w:val="20"/>
              </w:rPr>
              <w:instrText>"</w:instrText>
            </w:r>
            <w:r w:rsidRPr="005E385F">
              <w:rPr>
                <w:rFonts w:ascii="Verdana" w:hAnsi="Verdana"/>
                <w:sz w:val="20"/>
              </w:rPr>
              <w:fldChar w:fldCharType="end"/>
            </w:r>
            <w:r w:rsidRPr="005E385F">
              <w:rPr>
                <w:rFonts w:ascii="Verdana" w:hAnsi="Verdana"/>
                <w:bCs/>
                <w:sz w:val="20"/>
              </w:rPr>
              <w:t xml:space="preserve"> are generally eligible for discount, including the costs for the following telephone services: </w:t>
            </w:r>
          </w:p>
          <w:p w14:paraId="13A182E8" w14:textId="77777777" w:rsidR="00F935B1" w:rsidRPr="005E385F" w:rsidRDefault="00F935B1" w:rsidP="0083602C">
            <w:pPr>
              <w:pStyle w:val="NormalWeb"/>
              <w:spacing w:before="0" w:beforeAutospacing="0" w:after="0"/>
              <w:rPr>
                <w:rFonts w:ascii="Verdana" w:hAnsi="Verdana"/>
                <w:bCs/>
                <w:sz w:val="20"/>
              </w:rPr>
            </w:pPr>
          </w:p>
          <w:p w14:paraId="3627C7A3" w14:textId="524ADDCF" w:rsidR="00F935B1" w:rsidRPr="005E385F" w:rsidRDefault="00A0395D" w:rsidP="00F935B1">
            <w:pPr>
              <w:pStyle w:val="NormalWeb"/>
              <w:numPr>
                <w:ilvl w:val="0"/>
                <w:numId w:val="29"/>
              </w:numPr>
              <w:spacing w:before="0" w:beforeAutospacing="0" w:after="0"/>
              <w:rPr>
                <w:rFonts w:ascii="Verdana" w:hAnsi="Verdana"/>
                <w:bCs/>
                <w:sz w:val="20"/>
              </w:rPr>
            </w:pPr>
            <w:hyperlink w:anchor="Telecom800Service" w:history="1">
              <w:r w:rsidR="00F935B1" w:rsidRPr="005E385F">
                <w:rPr>
                  <w:rStyle w:val="Hyperlink"/>
                  <w:rFonts w:ascii="Verdana" w:hAnsi="Verdana"/>
                  <w:bCs/>
                  <w:sz w:val="20"/>
                </w:rPr>
                <w:t>800 service</w:t>
              </w:r>
              <w:r w:rsidR="00F935B1" w:rsidRPr="005E385F">
                <w:rPr>
                  <w:rFonts w:ascii="Verdana" w:hAnsi="Verdana"/>
                  <w:sz w:val="20"/>
                </w:rPr>
                <w:fldChar w:fldCharType="begin"/>
              </w:r>
              <w:r w:rsidR="00F935B1" w:rsidRPr="005E385F">
                <w:rPr>
                  <w:rFonts w:ascii="Verdana" w:hAnsi="Verdana"/>
                  <w:sz w:val="20"/>
                </w:rPr>
                <w:instrText>xe "</w:instrText>
              </w:r>
              <w:r w:rsidR="00F935B1" w:rsidRPr="005E385F">
                <w:rPr>
                  <w:rStyle w:val="Hyperlink"/>
                  <w:rFonts w:ascii="Verdana" w:hAnsi="Verdana"/>
                  <w:bCs/>
                  <w:sz w:val="20"/>
                </w:rPr>
                <w:instrText>800 Service</w:instrText>
              </w:r>
              <w:r w:rsidR="00F935B1" w:rsidRPr="005E385F">
                <w:rPr>
                  <w:rFonts w:ascii="Verdana" w:hAnsi="Verdana"/>
                  <w:sz w:val="20"/>
                </w:rPr>
                <w:instrText>"</w:instrText>
              </w:r>
              <w:r w:rsidR="00F935B1" w:rsidRPr="005E385F">
                <w:rPr>
                  <w:rFonts w:ascii="Verdana" w:hAnsi="Verdana"/>
                  <w:sz w:val="20"/>
                </w:rPr>
                <w:fldChar w:fldCharType="end"/>
              </w:r>
            </w:hyperlink>
            <w:r w:rsidR="00F935B1" w:rsidRPr="005E385F">
              <w:rPr>
                <w:rFonts w:ascii="Verdana" w:hAnsi="Verdana"/>
                <w:sz w:val="20"/>
              </w:rPr>
              <w:t xml:space="preserve">, </w:t>
            </w:r>
            <w:r w:rsidR="00C06B21" w:rsidRPr="00C06B21">
              <w:rPr>
                <w:rFonts w:ascii="Verdana" w:hAnsi="Verdana"/>
                <w:i/>
                <w:sz w:val="20"/>
              </w:rPr>
              <w:t>e.g.</w:t>
            </w:r>
            <w:r w:rsidR="00F935B1" w:rsidRPr="005E385F">
              <w:rPr>
                <w:rFonts w:ascii="Verdana" w:hAnsi="Verdana"/>
                <w:sz w:val="20"/>
              </w:rPr>
              <w:t>, a toll-free telephone number for students to contact school regarding questions about homework</w:t>
            </w:r>
          </w:p>
          <w:p w14:paraId="2F228B63" w14:textId="77777777" w:rsidR="00F935B1" w:rsidRPr="005E385F" w:rsidRDefault="00A0395D" w:rsidP="00F935B1">
            <w:pPr>
              <w:pStyle w:val="NormalWeb"/>
              <w:numPr>
                <w:ilvl w:val="0"/>
                <w:numId w:val="29"/>
              </w:numPr>
              <w:spacing w:before="0" w:beforeAutospacing="0" w:after="0"/>
              <w:rPr>
                <w:rFonts w:ascii="Verdana" w:hAnsi="Verdana"/>
                <w:bCs/>
                <w:sz w:val="20"/>
              </w:rPr>
            </w:pPr>
            <w:hyperlink w:anchor="TelecomCentrex" w:history="1">
              <w:r w:rsidR="00F935B1" w:rsidRPr="005E385F">
                <w:rPr>
                  <w:rStyle w:val="Hyperlink"/>
                  <w:rFonts w:ascii="Verdana" w:hAnsi="Verdana"/>
                  <w:bCs/>
                  <w:sz w:val="20"/>
                </w:rPr>
                <w:t>Centrex</w:t>
              </w:r>
              <w:r w:rsidR="00F935B1" w:rsidRPr="005E385F">
                <w:rPr>
                  <w:rFonts w:ascii="Verdana" w:hAnsi="Verdana"/>
                  <w:sz w:val="20"/>
                </w:rPr>
                <w:fldChar w:fldCharType="begin"/>
              </w:r>
              <w:r w:rsidR="00F935B1" w:rsidRPr="005E385F">
                <w:rPr>
                  <w:rFonts w:ascii="Verdana" w:hAnsi="Verdana"/>
                  <w:sz w:val="20"/>
                </w:rPr>
                <w:instrText>xe "</w:instrText>
              </w:r>
              <w:r w:rsidR="00F935B1" w:rsidRPr="005E385F">
                <w:rPr>
                  <w:rStyle w:val="Hyperlink"/>
                  <w:rFonts w:ascii="Verdana" w:hAnsi="Verdana"/>
                  <w:bCs/>
                  <w:sz w:val="20"/>
                </w:rPr>
                <w:instrText>Centrex</w:instrText>
              </w:r>
              <w:r w:rsidR="00F935B1" w:rsidRPr="005E385F">
                <w:rPr>
                  <w:rFonts w:ascii="Verdana" w:hAnsi="Verdana"/>
                  <w:sz w:val="20"/>
                </w:rPr>
                <w:instrText>"</w:instrText>
              </w:r>
              <w:r w:rsidR="00F935B1" w:rsidRPr="005E385F">
                <w:rPr>
                  <w:rFonts w:ascii="Verdana" w:hAnsi="Verdana"/>
                  <w:sz w:val="20"/>
                </w:rPr>
                <w:fldChar w:fldCharType="end"/>
              </w:r>
            </w:hyperlink>
          </w:p>
          <w:p w14:paraId="5B4A2044" w14:textId="77777777" w:rsidR="00F935B1" w:rsidRPr="005E385F" w:rsidRDefault="00A0395D" w:rsidP="00F935B1">
            <w:pPr>
              <w:pStyle w:val="NormalWeb"/>
              <w:numPr>
                <w:ilvl w:val="0"/>
                <w:numId w:val="29"/>
              </w:numPr>
              <w:spacing w:before="0" w:beforeAutospacing="0" w:after="0"/>
              <w:rPr>
                <w:rFonts w:ascii="Verdana" w:hAnsi="Verdana"/>
                <w:bCs/>
                <w:sz w:val="20"/>
              </w:rPr>
            </w:pPr>
            <w:hyperlink w:anchor="TelecomLocalPhoneService" w:history="1">
              <w:r w:rsidR="00F935B1" w:rsidRPr="005E385F">
                <w:rPr>
                  <w:rStyle w:val="Hyperlink"/>
                  <w:rFonts w:ascii="Verdana" w:hAnsi="Verdana"/>
                  <w:bCs/>
                  <w:sz w:val="20"/>
                </w:rPr>
                <w:t>Local phone service</w:t>
              </w:r>
              <w:r w:rsidR="00F935B1" w:rsidRPr="005E385F">
                <w:rPr>
                  <w:rFonts w:ascii="Verdana" w:hAnsi="Verdana"/>
                  <w:sz w:val="20"/>
                </w:rPr>
                <w:fldChar w:fldCharType="begin"/>
              </w:r>
              <w:r w:rsidR="00F935B1" w:rsidRPr="005E385F">
                <w:rPr>
                  <w:rFonts w:ascii="Verdana" w:hAnsi="Verdana"/>
                  <w:sz w:val="20"/>
                </w:rPr>
                <w:instrText>xe "</w:instrText>
              </w:r>
              <w:r w:rsidR="00F935B1" w:rsidRPr="005E385F">
                <w:rPr>
                  <w:rStyle w:val="Hyperlink"/>
                  <w:rFonts w:ascii="Verdana" w:hAnsi="Verdana"/>
                  <w:bCs/>
                  <w:sz w:val="20"/>
                </w:rPr>
                <w:instrText>Local Phone Service</w:instrText>
              </w:r>
              <w:r w:rsidR="00F935B1" w:rsidRPr="005E385F">
                <w:rPr>
                  <w:rFonts w:ascii="Verdana" w:hAnsi="Verdana"/>
                  <w:sz w:val="20"/>
                </w:rPr>
                <w:instrText>"</w:instrText>
              </w:r>
              <w:r w:rsidR="00F935B1" w:rsidRPr="005E385F">
                <w:rPr>
                  <w:rFonts w:ascii="Verdana" w:hAnsi="Verdana"/>
                  <w:sz w:val="20"/>
                </w:rPr>
                <w:fldChar w:fldCharType="end"/>
              </w:r>
            </w:hyperlink>
          </w:p>
          <w:p w14:paraId="45C4BF99" w14:textId="77777777" w:rsidR="00F935B1" w:rsidRPr="005E385F" w:rsidRDefault="00A0395D" w:rsidP="00F935B1">
            <w:pPr>
              <w:pStyle w:val="NormalWeb"/>
              <w:numPr>
                <w:ilvl w:val="0"/>
                <w:numId w:val="29"/>
              </w:numPr>
              <w:spacing w:before="0" w:beforeAutospacing="0" w:after="0"/>
              <w:rPr>
                <w:rFonts w:ascii="Verdana" w:hAnsi="Verdana"/>
                <w:bCs/>
                <w:sz w:val="20"/>
              </w:rPr>
            </w:pPr>
            <w:hyperlink w:anchor="TelecomLongDistanceTelephoneService" w:history="1">
              <w:r w:rsidR="00F935B1" w:rsidRPr="005E385F">
                <w:rPr>
                  <w:rStyle w:val="Hyperlink"/>
                  <w:rFonts w:ascii="Verdana" w:hAnsi="Verdana"/>
                  <w:bCs/>
                  <w:sz w:val="20"/>
                </w:rPr>
                <w:t>Long distance telephone service</w:t>
              </w:r>
              <w:r w:rsidR="00F935B1" w:rsidRPr="005E385F">
                <w:rPr>
                  <w:rFonts w:ascii="Verdana" w:hAnsi="Verdana"/>
                  <w:sz w:val="20"/>
                </w:rPr>
                <w:fldChar w:fldCharType="begin"/>
              </w:r>
              <w:r w:rsidR="00F935B1" w:rsidRPr="005E385F">
                <w:rPr>
                  <w:rFonts w:ascii="Verdana" w:hAnsi="Verdana"/>
                  <w:sz w:val="20"/>
                </w:rPr>
                <w:instrText>xe "</w:instrText>
              </w:r>
              <w:r w:rsidR="00F935B1" w:rsidRPr="005E385F">
                <w:rPr>
                  <w:rStyle w:val="Hyperlink"/>
                  <w:rFonts w:ascii="Verdana" w:hAnsi="Verdana"/>
                  <w:bCs/>
                  <w:sz w:val="20"/>
                </w:rPr>
                <w:instrText>Long Distance</w:instrText>
              </w:r>
              <w:r w:rsidR="00F935B1" w:rsidRPr="005E385F">
                <w:rPr>
                  <w:rFonts w:ascii="Verdana" w:hAnsi="Verdana"/>
                  <w:sz w:val="20"/>
                </w:rPr>
                <w:instrText>"</w:instrText>
              </w:r>
              <w:r w:rsidR="00F935B1" w:rsidRPr="005E385F">
                <w:rPr>
                  <w:rFonts w:ascii="Verdana" w:hAnsi="Verdana"/>
                  <w:sz w:val="20"/>
                </w:rPr>
                <w:fldChar w:fldCharType="end"/>
              </w:r>
            </w:hyperlink>
          </w:p>
          <w:p w14:paraId="27F723D4" w14:textId="77777777" w:rsidR="00F935B1" w:rsidRPr="005E385F" w:rsidRDefault="00A0395D" w:rsidP="00F935B1">
            <w:pPr>
              <w:pStyle w:val="NormalWeb"/>
              <w:numPr>
                <w:ilvl w:val="0"/>
                <w:numId w:val="29"/>
              </w:numPr>
              <w:spacing w:before="0" w:beforeAutospacing="0" w:after="0"/>
              <w:rPr>
                <w:rFonts w:ascii="Verdana" w:hAnsi="Verdana"/>
                <w:bCs/>
                <w:sz w:val="20"/>
              </w:rPr>
            </w:pPr>
            <w:hyperlink w:anchor="TelecomPOTS" w:history="1">
              <w:r w:rsidR="00F935B1" w:rsidRPr="005E385F">
                <w:rPr>
                  <w:rStyle w:val="Hyperlink"/>
                  <w:rFonts w:ascii="Verdana" w:hAnsi="Verdana"/>
                  <w:bCs/>
                  <w:sz w:val="20"/>
                </w:rPr>
                <w:t>POTS</w:t>
              </w:r>
              <w:r w:rsidR="00F935B1" w:rsidRPr="005E385F">
                <w:rPr>
                  <w:rFonts w:ascii="Verdana" w:hAnsi="Verdana"/>
                  <w:sz w:val="20"/>
                </w:rPr>
                <w:fldChar w:fldCharType="begin"/>
              </w:r>
              <w:r w:rsidR="00F935B1" w:rsidRPr="005E385F">
                <w:rPr>
                  <w:rFonts w:ascii="Verdana" w:hAnsi="Verdana"/>
                  <w:sz w:val="20"/>
                </w:rPr>
                <w:instrText>xe "</w:instrText>
              </w:r>
              <w:r w:rsidR="00F935B1" w:rsidRPr="005E385F">
                <w:rPr>
                  <w:rStyle w:val="Hyperlink"/>
                  <w:rFonts w:ascii="Verdana" w:hAnsi="Verdana"/>
                  <w:bCs/>
                  <w:sz w:val="20"/>
                </w:rPr>
                <w:instrText>POTS</w:instrText>
              </w:r>
              <w:r w:rsidR="00F935B1" w:rsidRPr="005E385F">
                <w:rPr>
                  <w:rFonts w:ascii="Verdana" w:hAnsi="Verdana"/>
                  <w:sz w:val="20"/>
                </w:rPr>
                <w:instrText>"</w:instrText>
              </w:r>
              <w:r w:rsidR="00F935B1" w:rsidRPr="005E385F">
                <w:rPr>
                  <w:rFonts w:ascii="Verdana" w:hAnsi="Verdana"/>
                  <w:sz w:val="20"/>
                </w:rPr>
                <w:fldChar w:fldCharType="end"/>
              </w:r>
            </w:hyperlink>
            <w:r w:rsidR="00F935B1" w:rsidRPr="005E385F">
              <w:rPr>
                <w:rFonts w:ascii="Verdana" w:hAnsi="Verdana"/>
                <w:bCs/>
                <w:sz w:val="20"/>
              </w:rPr>
              <w:t xml:space="preserve"> (“Plain Old Telephone Service</w:t>
            </w:r>
            <w:r w:rsidR="00F935B1" w:rsidRPr="005E385F">
              <w:rPr>
                <w:rFonts w:ascii="Verdana" w:hAnsi="Verdana"/>
                <w:sz w:val="20"/>
              </w:rPr>
              <w:fldChar w:fldCharType="begin"/>
            </w:r>
            <w:r w:rsidR="00F935B1" w:rsidRPr="005E385F">
              <w:rPr>
                <w:rFonts w:ascii="Verdana" w:hAnsi="Verdana"/>
                <w:sz w:val="20"/>
              </w:rPr>
              <w:instrText>xe "P</w:instrText>
            </w:r>
            <w:r w:rsidR="00F935B1" w:rsidRPr="005E385F">
              <w:rPr>
                <w:rFonts w:ascii="Verdana" w:hAnsi="Verdana"/>
                <w:bCs/>
                <w:sz w:val="20"/>
              </w:rPr>
              <w:instrText>lain Old Telephone Service</w:instrText>
            </w:r>
            <w:r w:rsidR="00F935B1" w:rsidRPr="005E385F">
              <w:rPr>
                <w:rFonts w:ascii="Verdana" w:hAnsi="Verdana"/>
                <w:sz w:val="20"/>
              </w:rPr>
              <w:instrText>"</w:instrText>
            </w:r>
            <w:r w:rsidR="00F935B1" w:rsidRPr="005E385F">
              <w:rPr>
                <w:rFonts w:ascii="Verdana" w:hAnsi="Verdana"/>
                <w:sz w:val="20"/>
              </w:rPr>
              <w:fldChar w:fldCharType="end"/>
            </w:r>
            <w:r w:rsidR="00F935B1" w:rsidRPr="005E385F">
              <w:rPr>
                <w:rFonts w:ascii="Verdana" w:hAnsi="Verdana"/>
                <w:bCs/>
                <w:sz w:val="20"/>
              </w:rPr>
              <w:t>”)</w:t>
            </w:r>
          </w:p>
          <w:p w14:paraId="4F264E49" w14:textId="77777777" w:rsidR="00F935B1" w:rsidRPr="005E385F" w:rsidRDefault="00A0395D" w:rsidP="00F935B1">
            <w:pPr>
              <w:pStyle w:val="NormalWeb"/>
              <w:numPr>
                <w:ilvl w:val="0"/>
                <w:numId w:val="29"/>
              </w:numPr>
              <w:spacing w:before="0" w:beforeAutospacing="0" w:after="0"/>
              <w:rPr>
                <w:rStyle w:val="Hyperlink"/>
                <w:rFonts w:ascii="Verdana" w:hAnsi="Verdana"/>
                <w:bCs/>
                <w:sz w:val="20"/>
              </w:rPr>
            </w:pPr>
            <w:hyperlink w:anchor="TelecomRadioLoop" w:history="1">
              <w:r w:rsidR="00F935B1" w:rsidRPr="005E385F">
                <w:rPr>
                  <w:rStyle w:val="Hyperlink"/>
                  <w:rFonts w:ascii="Verdana" w:hAnsi="Verdana"/>
                  <w:bCs/>
                  <w:sz w:val="20"/>
                </w:rPr>
                <w:t>Radio loop</w:t>
              </w:r>
              <w:r w:rsidR="00F935B1" w:rsidRPr="005E385F">
                <w:rPr>
                  <w:rFonts w:ascii="Verdana" w:hAnsi="Verdana"/>
                  <w:sz w:val="20"/>
                </w:rPr>
                <w:fldChar w:fldCharType="begin"/>
              </w:r>
              <w:r w:rsidR="00F935B1" w:rsidRPr="005E385F">
                <w:rPr>
                  <w:rFonts w:ascii="Verdana" w:hAnsi="Verdana"/>
                  <w:sz w:val="20"/>
                </w:rPr>
                <w:instrText>xe "</w:instrText>
              </w:r>
              <w:r w:rsidR="00F935B1" w:rsidRPr="005E385F">
                <w:rPr>
                  <w:rStyle w:val="Hyperlink"/>
                  <w:rFonts w:ascii="Verdana" w:hAnsi="Verdana"/>
                  <w:bCs/>
                  <w:sz w:val="20"/>
                </w:rPr>
                <w:instrText>Radio Loop</w:instrText>
              </w:r>
              <w:r w:rsidR="00F935B1" w:rsidRPr="005E385F">
                <w:rPr>
                  <w:rFonts w:ascii="Verdana" w:hAnsi="Verdana"/>
                  <w:sz w:val="20"/>
                </w:rPr>
                <w:instrText>"</w:instrText>
              </w:r>
              <w:r w:rsidR="00F935B1" w:rsidRPr="005E385F">
                <w:rPr>
                  <w:rFonts w:ascii="Verdana" w:hAnsi="Verdana"/>
                  <w:sz w:val="20"/>
                </w:rPr>
                <w:fldChar w:fldCharType="end"/>
              </w:r>
            </w:hyperlink>
          </w:p>
          <w:p w14:paraId="0B96314C" w14:textId="77777777" w:rsidR="00F935B1" w:rsidRPr="005E385F" w:rsidRDefault="00F935B1" w:rsidP="00F935B1">
            <w:pPr>
              <w:pStyle w:val="NormalWeb"/>
              <w:numPr>
                <w:ilvl w:val="0"/>
                <w:numId w:val="29"/>
              </w:numPr>
              <w:spacing w:before="0" w:beforeAutospacing="0" w:after="0"/>
              <w:rPr>
                <w:rFonts w:ascii="Verdana" w:hAnsi="Verdana"/>
                <w:bCs/>
                <w:sz w:val="20"/>
              </w:rPr>
            </w:pPr>
            <w:r w:rsidRPr="005E385F">
              <w:rPr>
                <w:rStyle w:val="Hyperlink"/>
                <w:rFonts w:ascii="Verdana" w:hAnsi="Verdana"/>
                <w:bCs/>
                <w:sz w:val="20"/>
              </w:rPr>
              <w:t xml:space="preserve">Satellite </w:t>
            </w:r>
          </w:p>
          <w:p w14:paraId="1BEDDDDE" w14:textId="77777777" w:rsidR="00F935B1" w:rsidRPr="005E385F" w:rsidRDefault="00A0395D" w:rsidP="00F935B1">
            <w:pPr>
              <w:pStyle w:val="NormalWeb"/>
              <w:numPr>
                <w:ilvl w:val="0"/>
                <w:numId w:val="29"/>
              </w:numPr>
              <w:spacing w:before="0" w:beforeAutospacing="0" w:after="0"/>
              <w:rPr>
                <w:rFonts w:ascii="Verdana" w:hAnsi="Verdana"/>
                <w:bCs/>
                <w:sz w:val="20"/>
              </w:rPr>
            </w:pPr>
            <w:hyperlink w:anchor="WirelessTelephoneServices" w:history="1">
              <w:r w:rsidR="00F935B1" w:rsidRPr="005E385F">
                <w:rPr>
                  <w:rStyle w:val="Hyperlink"/>
                  <w:rFonts w:ascii="Verdana" w:hAnsi="Verdana"/>
                  <w:bCs/>
                  <w:sz w:val="20"/>
                </w:rPr>
                <w:t>Wireless telephone services</w:t>
              </w:r>
            </w:hyperlink>
            <w:r w:rsidR="00F935B1" w:rsidRPr="005E385F">
              <w:rPr>
                <w:rFonts w:ascii="Verdana" w:hAnsi="Verdana"/>
                <w:bCs/>
                <w:sz w:val="20"/>
              </w:rPr>
              <w:t xml:space="preserve">, </w:t>
            </w:r>
            <w:r w:rsidR="00F935B1" w:rsidRPr="005E385F">
              <w:rPr>
                <w:rFonts w:ascii="Verdana" w:hAnsi="Verdana"/>
                <w:bCs/>
                <w:i/>
                <w:sz w:val="20"/>
              </w:rPr>
              <w:t>e.g.</w:t>
            </w:r>
            <w:r w:rsidR="00F935B1" w:rsidRPr="005E385F">
              <w:rPr>
                <w:rFonts w:ascii="Verdana" w:hAnsi="Verdana"/>
                <w:bCs/>
                <w:sz w:val="20"/>
              </w:rPr>
              <w:t xml:space="preserve">, </w:t>
            </w:r>
            <w:hyperlink w:anchor="TelecomCellular" w:history="1">
              <w:r w:rsidR="00F935B1" w:rsidRPr="005E385F">
                <w:rPr>
                  <w:rStyle w:val="Hyperlink"/>
                  <w:rFonts w:ascii="Verdana" w:hAnsi="Verdana"/>
                  <w:bCs/>
                  <w:sz w:val="20"/>
                </w:rPr>
                <w:t>cellular service</w:t>
              </w:r>
              <w:r w:rsidR="00F935B1" w:rsidRPr="005E385F">
                <w:rPr>
                  <w:rFonts w:ascii="Verdana" w:hAnsi="Verdana"/>
                  <w:sz w:val="20"/>
                </w:rPr>
                <w:fldChar w:fldCharType="begin"/>
              </w:r>
              <w:r w:rsidR="00F935B1" w:rsidRPr="005E385F">
                <w:rPr>
                  <w:rFonts w:ascii="Verdana" w:hAnsi="Verdana"/>
                  <w:sz w:val="20"/>
                </w:rPr>
                <w:instrText>xe "</w:instrText>
              </w:r>
              <w:r w:rsidR="00F935B1" w:rsidRPr="005E385F">
                <w:rPr>
                  <w:rStyle w:val="Hyperlink"/>
                  <w:rFonts w:ascii="Verdana" w:hAnsi="Verdana"/>
                  <w:bCs/>
                  <w:sz w:val="20"/>
                </w:rPr>
                <w:instrText>Cellular Service</w:instrText>
              </w:r>
              <w:r w:rsidR="00F935B1" w:rsidRPr="005E385F">
                <w:rPr>
                  <w:rFonts w:ascii="Verdana" w:hAnsi="Verdana"/>
                  <w:sz w:val="20"/>
                </w:rPr>
                <w:instrText>"</w:instrText>
              </w:r>
              <w:r w:rsidR="00F935B1" w:rsidRPr="005E385F">
                <w:rPr>
                  <w:rFonts w:ascii="Verdana" w:hAnsi="Verdana"/>
                  <w:sz w:val="20"/>
                </w:rPr>
                <w:fldChar w:fldCharType="end"/>
              </w:r>
            </w:hyperlink>
            <w:r w:rsidR="00F935B1" w:rsidRPr="005E385F">
              <w:rPr>
                <w:rFonts w:ascii="Verdana" w:hAnsi="Verdana"/>
                <w:bCs/>
                <w:sz w:val="20"/>
              </w:rPr>
              <w:t xml:space="preserve"> and Personal Communications Services (PCS)</w:t>
            </w:r>
            <w:r w:rsidR="00F935B1" w:rsidRPr="005E385F">
              <w:rPr>
                <w:rFonts w:ascii="Verdana" w:hAnsi="Verdana"/>
                <w:sz w:val="20"/>
              </w:rPr>
              <w:fldChar w:fldCharType="begin"/>
            </w:r>
            <w:r w:rsidR="00F935B1" w:rsidRPr="005E385F">
              <w:rPr>
                <w:rFonts w:ascii="Verdana" w:hAnsi="Verdana"/>
                <w:sz w:val="20"/>
              </w:rPr>
              <w:instrText>xe "</w:instrText>
            </w:r>
            <w:r w:rsidR="00F935B1" w:rsidRPr="005E385F">
              <w:rPr>
                <w:rFonts w:ascii="Verdana" w:hAnsi="Verdana"/>
                <w:bCs/>
                <w:sz w:val="20"/>
              </w:rPr>
              <w:instrText>Personal Communications Services</w:instrText>
            </w:r>
            <w:r w:rsidR="00F935B1" w:rsidRPr="005E385F">
              <w:rPr>
                <w:rFonts w:ascii="Verdana" w:hAnsi="Verdana"/>
                <w:sz w:val="20"/>
              </w:rPr>
              <w:instrText>"</w:instrText>
            </w:r>
            <w:r w:rsidR="00F935B1" w:rsidRPr="005E385F">
              <w:rPr>
                <w:rFonts w:ascii="Verdana" w:hAnsi="Verdana"/>
                <w:sz w:val="20"/>
              </w:rPr>
              <w:fldChar w:fldCharType="end"/>
            </w:r>
            <w:r w:rsidR="00F935B1" w:rsidRPr="005E385F">
              <w:rPr>
                <w:rFonts w:ascii="Verdana" w:hAnsi="Verdana"/>
                <w:sz w:val="20"/>
              </w:rPr>
              <w:fldChar w:fldCharType="begin"/>
            </w:r>
            <w:r w:rsidR="00F935B1" w:rsidRPr="005E385F">
              <w:rPr>
                <w:rFonts w:ascii="Verdana" w:hAnsi="Verdana"/>
                <w:sz w:val="20"/>
              </w:rPr>
              <w:instrText>xe "</w:instrText>
            </w:r>
            <w:r w:rsidR="00F935B1" w:rsidRPr="005E385F">
              <w:rPr>
                <w:rFonts w:ascii="Verdana" w:hAnsi="Verdana"/>
                <w:bCs/>
                <w:sz w:val="20"/>
              </w:rPr>
              <w:instrText>PCS</w:instrText>
            </w:r>
            <w:r w:rsidR="00F935B1" w:rsidRPr="005E385F">
              <w:rPr>
                <w:rFonts w:ascii="Verdana" w:hAnsi="Verdana"/>
                <w:sz w:val="20"/>
              </w:rPr>
              <w:instrText>"</w:instrText>
            </w:r>
            <w:r w:rsidR="00F935B1" w:rsidRPr="005E385F">
              <w:rPr>
                <w:rFonts w:ascii="Verdana" w:hAnsi="Verdana"/>
                <w:sz w:val="20"/>
              </w:rPr>
              <w:fldChar w:fldCharType="end"/>
            </w:r>
            <w:r w:rsidR="00F935B1" w:rsidRPr="005E385F">
              <w:rPr>
                <w:rFonts w:ascii="Verdana" w:hAnsi="Verdana"/>
                <w:bCs/>
                <w:sz w:val="20"/>
              </w:rPr>
              <w:t xml:space="preserve"> </w:t>
            </w:r>
          </w:p>
          <w:p w14:paraId="0F655C67" w14:textId="77777777" w:rsidR="00F935B1" w:rsidRPr="005E385F" w:rsidRDefault="00F935B1" w:rsidP="00F935B1">
            <w:pPr>
              <w:pStyle w:val="NormalWeb"/>
              <w:numPr>
                <w:ilvl w:val="1"/>
                <w:numId w:val="29"/>
              </w:numPr>
              <w:spacing w:before="0" w:beforeAutospacing="0" w:after="0"/>
              <w:rPr>
                <w:rFonts w:ascii="Verdana" w:hAnsi="Verdana"/>
                <w:bCs/>
                <w:sz w:val="20"/>
              </w:rPr>
            </w:pPr>
            <w:r w:rsidRPr="005E385F">
              <w:rPr>
                <w:rFonts w:ascii="Verdana" w:hAnsi="Verdana"/>
                <w:bCs/>
                <w:sz w:val="20"/>
              </w:rPr>
              <w:t xml:space="preserve">See the Internet Access category for the eligibility of </w:t>
            </w:r>
            <w:hyperlink w:anchor="IAwirelessIA" w:history="1">
              <w:r w:rsidRPr="005E385F">
                <w:rPr>
                  <w:rStyle w:val="Hyperlink"/>
                  <w:rFonts w:ascii="Verdana" w:hAnsi="Verdana"/>
                  <w:bCs/>
                  <w:sz w:val="20"/>
                </w:rPr>
                <w:t>Wireless Internet access</w:t>
              </w:r>
              <w:r w:rsidRPr="005E385F">
                <w:rPr>
                  <w:rFonts w:ascii="Verdana" w:hAnsi="Verdana"/>
                  <w:sz w:val="20"/>
                </w:rPr>
                <w:fldChar w:fldCharType="begin"/>
              </w:r>
              <w:r w:rsidRPr="005E385F">
                <w:rPr>
                  <w:rFonts w:ascii="Verdana" w:hAnsi="Verdana"/>
                  <w:sz w:val="20"/>
                </w:rPr>
                <w:instrText>xe "</w:instrText>
              </w:r>
              <w:r w:rsidRPr="005E385F">
                <w:rPr>
                  <w:rStyle w:val="Hyperlink"/>
                  <w:rFonts w:ascii="Verdana" w:hAnsi="Verdana"/>
                  <w:bCs/>
                  <w:sz w:val="20"/>
                </w:rPr>
                <w:instrText>Wireless Internet Access</w:instrText>
              </w:r>
              <w:r w:rsidRPr="005E385F">
                <w:rPr>
                  <w:rFonts w:ascii="Verdana" w:hAnsi="Verdana"/>
                  <w:sz w:val="20"/>
                </w:rPr>
                <w:instrText>"</w:instrText>
              </w:r>
              <w:r w:rsidRPr="005E385F">
                <w:rPr>
                  <w:rFonts w:ascii="Verdana" w:hAnsi="Verdana"/>
                  <w:sz w:val="20"/>
                </w:rPr>
                <w:fldChar w:fldCharType="end"/>
              </w:r>
            </w:hyperlink>
            <w:r w:rsidRPr="005E385F">
              <w:rPr>
                <w:rFonts w:ascii="Verdana" w:hAnsi="Verdana"/>
                <w:bCs/>
                <w:sz w:val="20"/>
              </w:rPr>
              <w:t xml:space="preserve">/e-mail plans for portable electronics  </w:t>
            </w:r>
          </w:p>
          <w:p w14:paraId="3E968B39" w14:textId="77777777" w:rsidR="00F935B1" w:rsidRPr="005E385F" w:rsidRDefault="00F935B1" w:rsidP="0083602C">
            <w:pPr>
              <w:pStyle w:val="NormalWeb"/>
              <w:spacing w:before="0" w:beforeAutospacing="0" w:after="0"/>
              <w:ind w:left="360"/>
              <w:rPr>
                <w:rFonts w:ascii="Verdana" w:hAnsi="Verdana"/>
                <w:bCs/>
                <w:sz w:val="20"/>
              </w:rPr>
            </w:pPr>
            <w:r w:rsidRPr="005E385F">
              <w:rPr>
                <w:rFonts w:ascii="Verdana" w:hAnsi="Verdana"/>
                <w:bCs/>
                <w:sz w:val="20"/>
              </w:rPr>
              <w:t>Shared telephone service</w:t>
            </w:r>
            <w:r w:rsidRPr="005E385F">
              <w:rPr>
                <w:rFonts w:ascii="Verdana" w:hAnsi="Verdana"/>
                <w:sz w:val="20"/>
              </w:rPr>
              <w:fldChar w:fldCharType="begin"/>
            </w:r>
            <w:r w:rsidRPr="005E385F">
              <w:rPr>
                <w:rFonts w:ascii="Verdana" w:hAnsi="Verdana"/>
                <w:sz w:val="20"/>
              </w:rPr>
              <w:instrText>xe "</w:instrText>
            </w:r>
            <w:r w:rsidRPr="005E385F">
              <w:rPr>
                <w:rFonts w:ascii="Verdana" w:hAnsi="Verdana"/>
                <w:bCs/>
                <w:sz w:val="20"/>
              </w:rPr>
              <w:instrText>Shared Telephone Service</w:instrText>
            </w:r>
            <w:r w:rsidRPr="005E385F">
              <w:rPr>
                <w:rFonts w:ascii="Verdana" w:hAnsi="Verdana"/>
                <w:sz w:val="20"/>
              </w:rPr>
              <w:instrText>"</w:instrText>
            </w:r>
            <w:r w:rsidRPr="005E385F">
              <w:rPr>
                <w:rFonts w:ascii="Verdana" w:hAnsi="Verdana"/>
                <w:sz w:val="20"/>
              </w:rPr>
              <w:fldChar w:fldCharType="end"/>
            </w:r>
            <w:r w:rsidRPr="005E385F">
              <w:rPr>
                <w:rFonts w:ascii="Verdana" w:hAnsi="Verdana"/>
                <w:bCs/>
                <w:sz w:val="20"/>
              </w:rPr>
              <w:t xml:space="preserve"> (only that portion of the shared service relating to the eligible use and location may receive discounts) </w:t>
            </w:r>
          </w:p>
          <w:p w14:paraId="3067DF34" w14:textId="77777777" w:rsidR="00F935B1" w:rsidRPr="005E385F" w:rsidRDefault="00F935B1" w:rsidP="0083602C">
            <w:pPr>
              <w:pStyle w:val="NormalWeb"/>
              <w:spacing w:before="0" w:beforeAutospacing="0" w:after="0"/>
              <w:ind w:left="360"/>
              <w:rPr>
                <w:rFonts w:ascii="Verdana" w:hAnsi="Verdana"/>
                <w:bCs/>
                <w:sz w:val="20"/>
              </w:rPr>
            </w:pPr>
          </w:p>
          <w:p w14:paraId="1BEA8B09" w14:textId="77777777" w:rsidR="00F935B1" w:rsidRPr="005E385F" w:rsidRDefault="00F935B1" w:rsidP="0083602C">
            <w:pPr>
              <w:pStyle w:val="NormalWeb"/>
              <w:spacing w:before="0" w:beforeAutospacing="0" w:after="0"/>
              <w:rPr>
                <w:rFonts w:ascii="Verdana" w:hAnsi="Verdana"/>
                <w:bCs/>
                <w:sz w:val="20"/>
              </w:rPr>
            </w:pPr>
            <w:r w:rsidRPr="005E385F">
              <w:rPr>
                <w:rFonts w:ascii="Verdana" w:hAnsi="Verdana"/>
                <w:bCs/>
                <w:sz w:val="20"/>
              </w:rPr>
              <w:t xml:space="preserve">Various payment options may be used with these eligible services, and phone bills may include billing terms, such as, </w:t>
            </w:r>
            <w:hyperlink w:anchor="TelecomFlatRate" w:history="1">
              <w:r w:rsidRPr="005E385F">
                <w:rPr>
                  <w:rStyle w:val="Hyperlink"/>
                  <w:rFonts w:ascii="Verdana" w:hAnsi="Verdana"/>
                  <w:bCs/>
                  <w:sz w:val="20"/>
                </w:rPr>
                <w:t>flat rate</w:t>
              </w:r>
              <w:r w:rsidRPr="005E385F">
                <w:rPr>
                  <w:rFonts w:ascii="Verdana" w:hAnsi="Verdana"/>
                  <w:sz w:val="20"/>
                </w:rPr>
                <w:fldChar w:fldCharType="begin"/>
              </w:r>
              <w:r w:rsidRPr="005E385F">
                <w:rPr>
                  <w:rFonts w:ascii="Verdana" w:hAnsi="Verdana"/>
                  <w:sz w:val="20"/>
                </w:rPr>
                <w:instrText>xe "F</w:instrText>
              </w:r>
              <w:r w:rsidRPr="005E385F">
                <w:rPr>
                  <w:rStyle w:val="Hyperlink"/>
                  <w:rFonts w:ascii="Verdana" w:hAnsi="Verdana"/>
                  <w:bCs/>
                  <w:sz w:val="20"/>
                </w:rPr>
                <w:instrText>lat Rate</w:instrText>
              </w:r>
              <w:r w:rsidRPr="005E385F">
                <w:rPr>
                  <w:rFonts w:ascii="Verdana" w:hAnsi="Verdana"/>
                  <w:sz w:val="20"/>
                </w:rPr>
                <w:instrText>"</w:instrText>
              </w:r>
              <w:r w:rsidRPr="005E385F">
                <w:rPr>
                  <w:rFonts w:ascii="Verdana" w:hAnsi="Verdana"/>
                  <w:sz w:val="20"/>
                </w:rPr>
                <w:fldChar w:fldCharType="end"/>
              </w:r>
            </w:hyperlink>
            <w:r w:rsidRPr="005E385F">
              <w:rPr>
                <w:rFonts w:ascii="Verdana" w:hAnsi="Verdana"/>
                <w:bCs/>
                <w:sz w:val="20"/>
              </w:rPr>
              <w:t xml:space="preserve">, </w:t>
            </w:r>
            <w:hyperlink w:anchor="TelecomLocalMeasuredService" w:history="1">
              <w:r w:rsidRPr="005E385F">
                <w:rPr>
                  <w:rStyle w:val="Hyperlink"/>
                  <w:rFonts w:ascii="Verdana" w:hAnsi="Verdana"/>
                  <w:bCs/>
                  <w:sz w:val="20"/>
                </w:rPr>
                <w:t>local measured service</w:t>
              </w:r>
            </w:hyperlink>
            <w:r w:rsidRPr="005E385F">
              <w:rPr>
                <w:rFonts w:ascii="Verdana" w:hAnsi="Verdana"/>
                <w:sz w:val="20"/>
              </w:rPr>
              <w:fldChar w:fldCharType="begin"/>
            </w:r>
            <w:r w:rsidRPr="005E385F">
              <w:rPr>
                <w:rFonts w:ascii="Verdana" w:hAnsi="Verdana"/>
                <w:sz w:val="20"/>
              </w:rPr>
              <w:instrText>xe "L</w:instrText>
            </w:r>
            <w:r w:rsidRPr="005E385F">
              <w:rPr>
                <w:rFonts w:ascii="Verdana" w:hAnsi="Verdana"/>
                <w:bCs/>
                <w:sz w:val="20"/>
              </w:rPr>
              <w:instrText>ocal Measured Service</w:instrText>
            </w:r>
            <w:r w:rsidRPr="005E385F">
              <w:rPr>
                <w:rFonts w:ascii="Verdana" w:hAnsi="Verdana"/>
                <w:sz w:val="20"/>
              </w:rPr>
              <w:instrText>"</w:instrText>
            </w:r>
            <w:r w:rsidRPr="005E385F">
              <w:rPr>
                <w:rFonts w:ascii="Verdana" w:hAnsi="Verdana"/>
                <w:sz w:val="20"/>
              </w:rPr>
              <w:fldChar w:fldCharType="end"/>
            </w:r>
            <w:r w:rsidRPr="005E385F">
              <w:rPr>
                <w:rFonts w:ascii="Verdana" w:hAnsi="Verdana"/>
                <w:bCs/>
                <w:sz w:val="20"/>
              </w:rPr>
              <w:t xml:space="preserve">, and </w:t>
            </w:r>
            <w:hyperlink w:anchor="TelecomMessageRageService" w:history="1">
              <w:r w:rsidRPr="005E385F">
                <w:rPr>
                  <w:rStyle w:val="Hyperlink"/>
                  <w:rFonts w:ascii="Verdana" w:hAnsi="Verdana"/>
                  <w:bCs/>
                  <w:sz w:val="20"/>
                </w:rPr>
                <w:t>message rate service</w:t>
              </w:r>
            </w:hyperlink>
            <w:r w:rsidRPr="005E385F">
              <w:rPr>
                <w:rFonts w:ascii="Verdana" w:hAnsi="Verdana"/>
                <w:sz w:val="20"/>
              </w:rPr>
              <w:fldChar w:fldCharType="begin"/>
            </w:r>
            <w:r w:rsidRPr="005E385F">
              <w:rPr>
                <w:rFonts w:ascii="Verdana" w:hAnsi="Verdana"/>
                <w:sz w:val="20"/>
              </w:rPr>
              <w:instrText>xe "M</w:instrText>
            </w:r>
            <w:r w:rsidRPr="005E385F">
              <w:rPr>
                <w:rFonts w:ascii="Verdana" w:hAnsi="Verdana"/>
                <w:bCs/>
                <w:sz w:val="20"/>
              </w:rPr>
              <w:instrText>essage Rate Service</w:instrText>
            </w:r>
            <w:r w:rsidRPr="005E385F">
              <w:rPr>
                <w:rFonts w:ascii="Verdana" w:hAnsi="Verdana"/>
                <w:sz w:val="20"/>
              </w:rPr>
              <w:instrText>"</w:instrText>
            </w:r>
            <w:r w:rsidRPr="005E385F">
              <w:rPr>
                <w:rFonts w:ascii="Verdana" w:hAnsi="Verdana"/>
                <w:sz w:val="20"/>
              </w:rPr>
              <w:fldChar w:fldCharType="end"/>
            </w:r>
            <w:r w:rsidRPr="005E385F">
              <w:rPr>
                <w:rFonts w:ascii="Verdana" w:hAnsi="Verdana"/>
                <w:bCs/>
                <w:sz w:val="20"/>
              </w:rPr>
              <w:t xml:space="preserve">.  </w:t>
            </w:r>
            <w:hyperlink w:anchor="TelecomPhoneCallingCards" w:history="1">
              <w:r w:rsidRPr="005E385F">
                <w:rPr>
                  <w:rStyle w:val="Hyperlink"/>
                  <w:rFonts w:ascii="Verdana" w:hAnsi="Verdana"/>
                  <w:bCs/>
                  <w:sz w:val="20"/>
                </w:rPr>
                <w:t>Phone calling cards</w:t>
              </w:r>
            </w:hyperlink>
            <w:r w:rsidRPr="005E385F">
              <w:rPr>
                <w:rFonts w:ascii="Verdana" w:hAnsi="Verdana"/>
                <w:sz w:val="20"/>
              </w:rPr>
              <w:fldChar w:fldCharType="begin"/>
            </w:r>
            <w:r w:rsidRPr="005E385F">
              <w:rPr>
                <w:rFonts w:ascii="Verdana" w:hAnsi="Verdana"/>
                <w:sz w:val="20"/>
              </w:rPr>
              <w:instrText>xe "</w:instrText>
            </w:r>
            <w:r w:rsidRPr="005E385F">
              <w:rPr>
                <w:rFonts w:ascii="Verdana" w:hAnsi="Verdana"/>
                <w:bCs/>
                <w:sz w:val="20"/>
              </w:rPr>
              <w:instrText>Phone Calling Cards</w:instrText>
            </w:r>
            <w:r w:rsidRPr="005E385F">
              <w:rPr>
                <w:rFonts w:ascii="Verdana" w:hAnsi="Verdana"/>
                <w:sz w:val="20"/>
              </w:rPr>
              <w:instrText>"</w:instrText>
            </w:r>
            <w:r w:rsidRPr="005E385F">
              <w:rPr>
                <w:rFonts w:ascii="Verdana" w:hAnsi="Verdana"/>
                <w:sz w:val="20"/>
              </w:rPr>
              <w:fldChar w:fldCharType="end"/>
            </w:r>
            <w:r w:rsidRPr="005E385F">
              <w:rPr>
                <w:rFonts w:ascii="Verdana" w:hAnsi="Verdana"/>
                <w:bCs/>
                <w:sz w:val="20"/>
              </w:rPr>
              <w:t xml:space="preserve"> may also be eligible, if they are used for an educational purpose.</w:t>
            </w:r>
          </w:p>
          <w:p w14:paraId="0FE49424" w14:textId="77777777" w:rsidR="00F935B1" w:rsidRPr="005E385F" w:rsidRDefault="00F935B1" w:rsidP="0083602C">
            <w:pPr>
              <w:pStyle w:val="NormalWeb"/>
              <w:spacing w:before="0" w:beforeAutospacing="0" w:after="0"/>
              <w:rPr>
                <w:rFonts w:ascii="Verdana" w:hAnsi="Verdana"/>
                <w:bCs/>
                <w:sz w:val="20"/>
              </w:rPr>
            </w:pPr>
          </w:p>
          <w:p w14:paraId="4F13E193" w14:textId="77777777" w:rsidR="00F935B1" w:rsidRPr="005E385F" w:rsidRDefault="00F935B1" w:rsidP="0083602C">
            <w:pPr>
              <w:pStyle w:val="NormalWeb"/>
              <w:spacing w:before="0" w:beforeAutospacing="0" w:after="0"/>
              <w:rPr>
                <w:rFonts w:ascii="Verdana" w:hAnsi="Verdana"/>
                <w:sz w:val="20"/>
              </w:rPr>
            </w:pPr>
            <w:r w:rsidRPr="005E385F">
              <w:rPr>
                <w:rFonts w:ascii="Verdana" w:hAnsi="Verdana"/>
                <w:bCs/>
                <w:sz w:val="20"/>
              </w:rPr>
              <w:t>Service to an eligible location for educational or library purposes can provide voice communication, fax</w:t>
            </w:r>
            <w:r w:rsidRPr="005E385F">
              <w:rPr>
                <w:rFonts w:ascii="Verdana" w:hAnsi="Verdana"/>
                <w:sz w:val="20"/>
              </w:rPr>
              <w:fldChar w:fldCharType="begin"/>
            </w:r>
            <w:r w:rsidRPr="005E385F">
              <w:rPr>
                <w:rFonts w:ascii="Verdana" w:hAnsi="Verdana"/>
                <w:sz w:val="20"/>
              </w:rPr>
              <w:instrText>xe "Fax Machines"</w:instrText>
            </w:r>
            <w:r w:rsidRPr="005E385F">
              <w:rPr>
                <w:rFonts w:ascii="Verdana" w:hAnsi="Verdana"/>
                <w:sz w:val="20"/>
              </w:rPr>
              <w:fldChar w:fldCharType="end"/>
            </w:r>
            <w:r w:rsidRPr="005E385F">
              <w:rPr>
                <w:rFonts w:ascii="Verdana" w:hAnsi="Verdana"/>
                <w:bCs/>
                <w:sz w:val="20"/>
              </w:rPr>
              <w:t xml:space="preserve"> connections, modem</w:t>
            </w:r>
            <w:r w:rsidRPr="005E385F">
              <w:rPr>
                <w:rFonts w:ascii="Verdana" w:hAnsi="Verdana"/>
                <w:sz w:val="20"/>
              </w:rPr>
              <w:fldChar w:fldCharType="begin"/>
            </w:r>
            <w:r w:rsidRPr="005E385F">
              <w:rPr>
                <w:rFonts w:ascii="Verdana" w:hAnsi="Verdana"/>
                <w:sz w:val="20"/>
              </w:rPr>
              <w:instrText>xe "M</w:instrText>
            </w:r>
            <w:r w:rsidRPr="005E385F">
              <w:rPr>
                <w:rFonts w:ascii="Verdana" w:hAnsi="Verdana"/>
                <w:bCs/>
                <w:sz w:val="20"/>
              </w:rPr>
              <w:instrText>odem</w:instrText>
            </w:r>
            <w:r w:rsidRPr="005E385F">
              <w:rPr>
                <w:rFonts w:ascii="Verdana" w:hAnsi="Verdana"/>
                <w:sz w:val="20"/>
              </w:rPr>
              <w:instrText>"</w:instrText>
            </w:r>
            <w:r w:rsidRPr="005E385F">
              <w:rPr>
                <w:rFonts w:ascii="Verdana" w:hAnsi="Verdana"/>
                <w:sz w:val="20"/>
              </w:rPr>
              <w:fldChar w:fldCharType="end"/>
            </w:r>
            <w:r w:rsidRPr="005E385F">
              <w:rPr>
                <w:rFonts w:ascii="Verdana" w:hAnsi="Verdana"/>
                <w:bCs/>
                <w:sz w:val="20"/>
              </w:rPr>
              <w:t xml:space="preserve"> connections, </w:t>
            </w:r>
            <w:hyperlink w:anchor="Telecom911E911TrunksLiines" w:history="1">
              <w:r w:rsidRPr="005E385F">
                <w:rPr>
                  <w:rStyle w:val="Hyperlink"/>
                  <w:rFonts w:ascii="Verdana" w:hAnsi="Verdana"/>
                  <w:bCs/>
                  <w:sz w:val="20"/>
                </w:rPr>
                <w:t>911</w:t>
              </w:r>
              <w:r w:rsidRPr="005E385F">
                <w:rPr>
                  <w:rFonts w:ascii="Verdana" w:hAnsi="Verdana"/>
                  <w:sz w:val="20"/>
                </w:rPr>
                <w:fldChar w:fldCharType="begin"/>
              </w:r>
              <w:r w:rsidRPr="005E385F">
                <w:rPr>
                  <w:rFonts w:ascii="Verdana" w:hAnsi="Verdana"/>
                  <w:sz w:val="20"/>
                </w:rPr>
                <w:instrText>xe "</w:instrText>
              </w:r>
              <w:r w:rsidRPr="005E385F">
                <w:rPr>
                  <w:rFonts w:ascii="Verdana" w:hAnsi="Verdana"/>
                  <w:bCs/>
                  <w:sz w:val="20"/>
                </w:rPr>
                <w:instrText>911</w:instrText>
              </w:r>
              <w:r w:rsidRPr="005E385F">
                <w:rPr>
                  <w:rFonts w:ascii="Verdana" w:hAnsi="Verdana"/>
                  <w:sz w:val="20"/>
                </w:rPr>
                <w:instrText>"</w:instrText>
              </w:r>
              <w:r w:rsidRPr="005E385F">
                <w:rPr>
                  <w:rFonts w:ascii="Verdana" w:hAnsi="Verdana"/>
                  <w:sz w:val="20"/>
                </w:rPr>
                <w:fldChar w:fldCharType="end"/>
              </w:r>
            </w:hyperlink>
            <w:r w:rsidRPr="005E385F">
              <w:rPr>
                <w:rFonts w:ascii="Verdana" w:hAnsi="Verdana"/>
                <w:bCs/>
                <w:sz w:val="20"/>
              </w:rPr>
              <w:t xml:space="preserve"> or an </w:t>
            </w:r>
            <w:hyperlink w:anchor="TelecomAlarmTelephoneLine" w:history="1">
              <w:r w:rsidRPr="005E385F">
                <w:rPr>
                  <w:rStyle w:val="Hyperlink"/>
                  <w:rFonts w:ascii="Verdana" w:hAnsi="Verdana"/>
                  <w:bCs/>
                  <w:sz w:val="20"/>
                </w:rPr>
                <w:t>alarm</w:t>
              </w:r>
              <w:r w:rsidRPr="005E385F">
                <w:rPr>
                  <w:rFonts w:ascii="Verdana" w:hAnsi="Verdana"/>
                  <w:sz w:val="20"/>
                </w:rPr>
                <w:fldChar w:fldCharType="begin"/>
              </w:r>
              <w:r w:rsidRPr="005E385F">
                <w:rPr>
                  <w:rFonts w:ascii="Verdana" w:hAnsi="Verdana"/>
                  <w:sz w:val="20"/>
                </w:rPr>
                <w:instrText>xe "Alarm"</w:instrText>
              </w:r>
              <w:r w:rsidRPr="005E385F">
                <w:rPr>
                  <w:rFonts w:ascii="Verdana" w:hAnsi="Verdana"/>
                  <w:sz w:val="20"/>
                </w:rPr>
                <w:fldChar w:fldCharType="end"/>
              </w:r>
            </w:hyperlink>
            <w:r w:rsidRPr="005E385F">
              <w:rPr>
                <w:rFonts w:ascii="Verdana" w:hAnsi="Verdana"/>
                <w:sz w:val="20"/>
              </w:rPr>
              <w:t>.</w:t>
            </w:r>
          </w:p>
        </w:tc>
      </w:tr>
      <w:tr w:rsidR="00F935B1" w:rsidRPr="005E385F" w14:paraId="68F4B668" w14:textId="77777777" w:rsidTr="0083602C">
        <w:trPr>
          <w:tblCellSpacing w:w="20" w:type="dxa"/>
        </w:trPr>
        <w:tc>
          <w:tcPr>
            <w:tcW w:w="2146" w:type="dxa"/>
          </w:tcPr>
          <w:p w14:paraId="46A1450A" w14:textId="77777777" w:rsidR="00F935B1" w:rsidRPr="005E385F" w:rsidRDefault="00F935B1" w:rsidP="0083602C">
            <w:pPr>
              <w:rPr>
                <w:rFonts w:ascii="Verdana" w:hAnsi="Verdana"/>
                <w:b/>
                <w:sz w:val="20"/>
              </w:rPr>
            </w:pPr>
            <w:r w:rsidRPr="005E385F">
              <w:rPr>
                <w:rFonts w:ascii="Verdana" w:hAnsi="Verdana"/>
                <w:b/>
                <w:sz w:val="20"/>
              </w:rPr>
              <w:t>Telephone Service Components</w:t>
            </w:r>
            <w:r w:rsidRPr="005E385F">
              <w:rPr>
                <w:rFonts w:ascii="Verdana" w:hAnsi="Verdana"/>
                <w:sz w:val="20"/>
              </w:rPr>
              <w:fldChar w:fldCharType="begin"/>
            </w:r>
            <w:r w:rsidRPr="005E385F">
              <w:rPr>
                <w:rFonts w:ascii="Verdana" w:hAnsi="Verdana"/>
                <w:sz w:val="20"/>
              </w:rPr>
              <w:instrText>xe "Telephone Components"</w:instrText>
            </w:r>
            <w:r w:rsidRPr="005E385F">
              <w:rPr>
                <w:rFonts w:ascii="Verdana" w:hAnsi="Verdana"/>
                <w:sz w:val="20"/>
              </w:rPr>
              <w:fldChar w:fldCharType="end"/>
            </w:r>
          </w:p>
        </w:tc>
        <w:tc>
          <w:tcPr>
            <w:tcW w:w="6987" w:type="dxa"/>
          </w:tcPr>
          <w:p w14:paraId="33E277F6" w14:textId="77777777" w:rsidR="00F935B1" w:rsidRPr="005E385F" w:rsidRDefault="00F935B1" w:rsidP="0083602C">
            <w:pPr>
              <w:pStyle w:val="NormalWeb"/>
              <w:spacing w:before="0" w:beforeAutospacing="0" w:after="0"/>
              <w:rPr>
                <w:rFonts w:ascii="Verdana" w:hAnsi="Verdana"/>
                <w:bCs/>
                <w:sz w:val="20"/>
              </w:rPr>
            </w:pPr>
            <w:r w:rsidRPr="005E385F">
              <w:rPr>
                <w:rFonts w:ascii="Verdana" w:hAnsi="Verdana"/>
                <w:bCs/>
                <w:sz w:val="20"/>
              </w:rPr>
              <w:t>Telephone</w:t>
            </w:r>
            <w:r w:rsidRPr="005E385F">
              <w:rPr>
                <w:rFonts w:ascii="Verdana" w:hAnsi="Verdana"/>
                <w:sz w:val="20"/>
              </w:rPr>
              <w:fldChar w:fldCharType="begin"/>
            </w:r>
            <w:r w:rsidRPr="005E385F">
              <w:rPr>
                <w:rFonts w:ascii="Verdana" w:hAnsi="Verdana"/>
                <w:sz w:val="20"/>
              </w:rPr>
              <w:instrText>xe "Telephone"</w:instrText>
            </w:r>
            <w:r w:rsidRPr="005E385F">
              <w:rPr>
                <w:rFonts w:ascii="Verdana" w:hAnsi="Verdana"/>
                <w:sz w:val="20"/>
              </w:rPr>
              <w:fldChar w:fldCharType="end"/>
            </w:r>
            <w:r w:rsidRPr="005E385F">
              <w:rPr>
                <w:rFonts w:ascii="Verdana" w:hAnsi="Verdana"/>
                <w:bCs/>
                <w:sz w:val="20"/>
              </w:rPr>
              <w:t xml:space="preserve"> features</w:t>
            </w:r>
            <w:r w:rsidRPr="005E385F">
              <w:rPr>
                <w:rFonts w:ascii="Verdana" w:hAnsi="Verdana"/>
                <w:sz w:val="20"/>
              </w:rPr>
              <w:fldChar w:fldCharType="begin"/>
            </w:r>
            <w:r w:rsidRPr="005E385F">
              <w:rPr>
                <w:rFonts w:ascii="Verdana" w:hAnsi="Verdana"/>
                <w:sz w:val="20"/>
              </w:rPr>
              <w:instrText>xe "</w:instrText>
            </w:r>
            <w:r w:rsidRPr="005E385F">
              <w:rPr>
                <w:rFonts w:ascii="Verdana" w:hAnsi="Verdana"/>
                <w:bCs/>
                <w:sz w:val="20"/>
              </w:rPr>
              <w:instrText>Telephone Features</w:instrText>
            </w:r>
            <w:r w:rsidRPr="005E385F">
              <w:rPr>
                <w:rFonts w:ascii="Verdana" w:hAnsi="Verdana"/>
                <w:sz w:val="20"/>
              </w:rPr>
              <w:instrText>"</w:instrText>
            </w:r>
            <w:r w:rsidRPr="005E385F">
              <w:rPr>
                <w:rFonts w:ascii="Verdana" w:hAnsi="Verdana"/>
                <w:sz w:val="20"/>
              </w:rPr>
              <w:fldChar w:fldCharType="end"/>
            </w:r>
            <w:r w:rsidRPr="005E385F">
              <w:rPr>
                <w:rFonts w:ascii="Verdana" w:hAnsi="Verdana"/>
                <w:bCs/>
                <w:sz w:val="20"/>
              </w:rPr>
              <w:t xml:space="preserve"> indicated in this section are eligible for discount if they are a component part of a telephone service</w:t>
            </w:r>
            <w:r w:rsidRPr="005E385F">
              <w:rPr>
                <w:rFonts w:ascii="Verdana" w:hAnsi="Verdana"/>
                <w:sz w:val="20"/>
              </w:rPr>
              <w:fldChar w:fldCharType="begin"/>
            </w:r>
            <w:r w:rsidRPr="005E385F">
              <w:rPr>
                <w:rFonts w:ascii="Verdana" w:hAnsi="Verdana"/>
                <w:sz w:val="20"/>
              </w:rPr>
              <w:instrText>xe "T</w:instrText>
            </w:r>
            <w:r w:rsidRPr="005E385F">
              <w:rPr>
                <w:rFonts w:ascii="Verdana" w:hAnsi="Verdana"/>
                <w:bCs/>
                <w:sz w:val="20"/>
              </w:rPr>
              <w:instrText>elephone Service</w:instrText>
            </w:r>
            <w:r w:rsidRPr="005E385F">
              <w:rPr>
                <w:rFonts w:ascii="Verdana" w:hAnsi="Verdana"/>
                <w:sz w:val="20"/>
              </w:rPr>
              <w:instrText>"</w:instrText>
            </w:r>
            <w:r w:rsidRPr="005E385F">
              <w:rPr>
                <w:rFonts w:ascii="Verdana" w:hAnsi="Verdana"/>
                <w:sz w:val="20"/>
              </w:rPr>
              <w:fldChar w:fldCharType="end"/>
            </w:r>
            <w:r w:rsidRPr="005E385F">
              <w:rPr>
                <w:rFonts w:ascii="Verdana" w:hAnsi="Verdana"/>
                <w:bCs/>
                <w:sz w:val="20"/>
              </w:rPr>
              <w:t>.  Generally, this requirement means that these charges will appear on the same bill as the telephone service itself.</w:t>
            </w:r>
          </w:p>
          <w:p w14:paraId="1220DE5A" w14:textId="77777777" w:rsidR="00F935B1" w:rsidRPr="005E385F" w:rsidRDefault="00F935B1" w:rsidP="0083602C">
            <w:pPr>
              <w:pStyle w:val="NormalWeb"/>
              <w:spacing w:before="0" w:beforeAutospacing="0" w:after="0"/>
              <w:rPr>
                <w:rFonts w:ascii="Verdana" w:hAnsi="Verdana"/>
                <w:bCs/>
                <w:sz w:val="20"/>
              </w:rPr>
            </w:pPr>
          </w:p>
          <w:p w14:paraId="11FEEF33" w14:textId="77777777" w:rsidR="00F935B1" w:rsidRPr="005E385F" w:rsidRDefault="00A0395D" w:rsidP="00F935B1">
            <w:pPr>
              <w:pStyle w:val="NormalWeb"/>
              <w:numPr>
                <w:ilvl w:val="0"/>
                <w:numId w:val="9"/>
              </w:numPr>
              <w:spacing w:before="0" w:beforeAutospacing="0" w:after="0"/>
              <w:rPr>
                <w:rFonts w:ascii="Verdana" w:hAnsi="Verdana"/>
                <w:bCs/>
                <w:sz w:val="20"/>
                <w:u w:val="single"/>
              </w:rPr>
            </w:pPr>
            <w:hyperlink w:anchor="Telecom900976CallBlocking" w:history="1">
              <w:r w:rsidR="00F935B1" w:rsidRPr="005E385F">
                <w:rPr>
                  <w:rStyle w:val="Hyperlink"/>
                  <w:rFonts w:ascii="Verdana" w:hAnsi="Verdana"/>
                  <w:bCs/>
                  <w:sz w:val="20"/>
                </w:rPr>
                <w:t>900</w:t>
              </w:r>
              <w:r w:rsidR="00F935B1" w:rsidRPr="005E385F">
                <w:rPr>
                  <w:rFonts w:ascii="Verdana" w:hAnsi="Verdana"/>
                  <w:sz w:val="20"/>
                  <w:u w:val="single"/>
                </w:rPr>
                <w:fldChar w:fldCharType="begin"/>
              </w:r>
              <w:r w:rsidR="00F935B1" w:rsidRPr="005E385F">
                <w:rPr>
                  <w:rFonts w:ascii="Verdana" w:hAnsi="Verdana"/>
                  <w:sz w:val="20"/>
                  <w:u w:val="single"/>
                </w:rPr>
                <w:instrText>xe "900 Call Blocking"</w:instrText>
              </w:r>
              <w:r w:rsidR="00F935B1" w:rsidRPr="005E385F">
                <w:rPr>
                  <w:rFonts w:ascii="Verdana" w:hAnsi="Verdana"/>
                  <w:sz w:val="20"/>
                  <w:u w:val="single"/>
                </w:rPr>
                <w:fldChar w:fldCharType="end"/>
              </w:r>
            </w:hyperlink>
            <w:hyperlink w:anchor="Telecom900976CallBlocking" w:history="1">
              <w:r w:rsidR="00F935B1" w:rsidRPr="005E385F">
                <w:rPr>
                  <w:rStyle w:val="Hyperlink"/>
                  <w:rFonts w:ascii="Verdana" w:hAnsi="Verdana"/>
                  <w:sz w:val="20"/>
                </w:rPr>
                <w:t>\976 Call blocking</w:t>
              </w:r>
              <w:r w:rsidR="00F935B1" w:rsidRPr="005E385F">
                <w:rPr>
                  <w:rFonts w:ascii="Verdana" w:hAnsi="Verdana"/>
                  <w:sz w:val="20"/>
                </w:rPr>
                <w:fldChar w:fldCharType="begin"/>
              </w:r>
              <w:r w:rsidR="00F935B1" w:rsidRPr="005E385F">
                <w:rPr>
                  <w:rFonts w:ascii="Verdana" w:hAnsi="Verdana"/>
                  <w:sz w:val="20"/>
                </w:rPr>
                <w:instrText>xe "</w:instrText>
              </w:r>
              <w:r w:rsidR="00F935B1" w:rsidRPr="005E385F">
                <w:rPr>
                  <w:rStyle w:val="Hyperlink"/>
                  <w:rFonts w:ascii="Verdana" w:hAnsi="Verdana"/>
                  <w:sz w:val="20"/>
                </w:rPr>
                <w:instrText>976 Call Blocking</w:instrText>
              </w:r>
              <w:r w:rsidR="00F935B1" w:rsidRPr="005E385F">
                <w:rPr>
                  <w:rFonts w:ascii="Verdana" w:hAnsi="Verdana"/>
                  <w:sz w:val="20"/>
                </w:rPr>
                <w:instrText>"</w:instrText>
              </w:r>
              <w:r w:rsidR="00F935B1" w:rsidRPr="005E385F">
                <w:rPr>
                  <w:rFonts w:ascii="Verdana" w:hAnsi="Verdana"/>
                  <w:sz w:val="20"/>
                </w:rPr>
                <w:fldChar w:fldCharType="end"/>
              </w:r>
            </w:hyperlink>
          </w:p>
          <w:p w14:paraId="7C2B3C75" w14:textId="77777777" w:rsidR="00F935B1" w:rsidRPr="005E385F" w:rsidRDefault="00A0395D" w:rsidP="00F935B1">
            <w:pPr>
              <w:pStyle w:val="NormalWeb"/>
              <w:numPr>
                <w:ilvl w:val="0"/>
                <w:numId w:val="9"/>
              </w:numPr>
              <w:spacing w:before="0" w:beforeAutospacing="0" w:after="0"/>
              <w:rPr>
                <w:rFonts w:ascii="Verdana" w:hAnsi="Verdana"/>
                <w:bCs/>
                <w:sz w:val="20"/>
              </w:rPr>
            </w:pPr>
            <w:hyperlink w:anchor="Textmessaging" w:history="1">
              <w:r w:rsidR="00F935B1" w:rsidRPr="005E385F">
                <w:rPr>
                  <w:rStyle w:val="Hyperlink"/>
                  <w:rFonts w:ascii="Verdana" w:hAnsi="Verdana"/>
                  <w:sz w:val="20"/>
                </w:rPr>
                <w:t>Text messaging</w:t>
              </w:r>
              <w:r w:rsidR="00F935B1" w:rsidRPr="005E385F">
                <w:rPr>
                  <w:rFonts w:ascii="Verdana" w:hAnsi="Verdana"/>
                  <w:sz w:val="20"/>
                </w:rPr>
                <w:fldChar w:fldCharType="begin"/>
              </w:r>
              <w:r w:rsidR="00F935B1" w:rsidRPr="005E385F">
                <w:rPr>
                  <w:rFonts w:ascii="Verdana" w:hAnsi="Verdana"/>
                  <w:sz w:val="20"/>
                </w:rPr>
                <w:instrText>xe "</w:instrText>
              </w:r>
              <w:r w:rsidR="00F935B1" w:rsidRPr="005E385F">
                <w:rPr>
                  <w:rStyle w:val="Hyperlink"/>
                  <w:rFonts w:ascii="Verdana" w:hAnsi="Verdana"/>
                  <w:sz w:val="20"/>
                </w:rPr>
                <w:instrText>Text Messages</w:instrText>
              </w:r>
              <w:r w:rsidR="00F935B1" w:rsidRPr="005E385F">
                <w:rPr>
                  <w:rFonts w:ascii="Verdana" w:hAnsi="Verdana"/>
                  <w:sz w:val="20"/>
                </w:rPr>
                <w:instrText>"</w:instrText>
              </w:r>
              <w:r w:rsidR="00F935B1" w:rsidRPr="005E385F">
                <w:rPr>
                  <w:rFonts w:ascii="Verdana" w:hAnsi="Verdana"/>
                  <w:sz w:val="20"/>
                </w:rPr>
                <w:fldChar w:fldCharType="end"/>
              </w:r>
            </w:hyperlink>
          </w:p>
          <w:p w14:paraId="21BB58E8" w14:textId="77777777" w:rsidR="00F935B1" w:rsidRPr="005E385F" w:rsidRDefault="00A0395D" w:rsidP="00F935B1">
            <w:pPr>
              <w:pStyle w:val="NormalWeb"/>
              <w:numPr>
                <w:ilvl w:val="0"/>
                <w:numId w:val="9"/>
              </w:numPr>
              <w:spacing w:before="0" w:beforeAutospacing="0" w:after="0"/>
              <w:rPr>
                <w:rFonts w:ascii="Verdana" w:hAnsi="Verdana"/>
                <w:bCs/>
                <w:sz w:val="20"/>
              </w:rPr>
            </w:pPr>
            <w:hyperlink w:anchor="TelecomCustomCallingServices" w:history="1">
              <w:r w:rsidR="00F935B1" w:rsidRPr="005E385F">
                <w:rPr>
                  <w:rStyle w:val="Hyperlink"/>
                  <w:rFonts w:ascii="Verdana" w:hAnsi="Verdana"/>
                  <w:bCs/>
                  <w:sz w:val="20"/>
                </w:rPr>
                <w:t>Custom calling services</w:t>
              </w:r>
              <w:r w:rsidR="00F935B1" w:rsidRPr="005E385F">
                <w:rPr>
                  <w:rFonts w:ascii="Verdana" w:hAnsi="Verdana"/>
                  <w:sz w:val="20"/>
                </w:rPr>
                <w:fldChar w:fldCharType="begin"/>
              </w:r>
              <w:r w:rsidR="00F935B1" w:rsidRPr="005E385F">
                <w:rPr>
                  <w:rFonts w:ascii="Verdana" w:hAnsi="Verdana"/>
                  <w:sz w:val="20"/>
                </w:rPr>
                <w:instrText>xe "</w:instrText>
              </w:r>
              <w:r w:rsidR="00F935B1" w:rsidRPr="005E385F">
                <w:rPr>
                  <w:rStyle w:val="Hyperlink"/>
                  <w:rFonts w:ascii="Verdana" w:hAnsi="Verdana"/>
                  <w:bCs/>
                  <w:sz w:val="20"/>
                </w:rPr>
                <w:instrText>Custom Calling Services</w:instrText>
              </w:r>
              <w:r w:rsidR="00F935B1" w:rsidRPr="005E385F">
                <w:rPr>
                  <w:rFonts w:ascii="Verdana" w:hAnsi="Verdana"/>
                  <w:sz w:val="20"/>
                </w:rPr>
                <w:instrText>"</w:instrText>
              </w:r>
              <w:r w:rsidR="00F935B1" w:rsidRPr="005E385F">
                <w:rPr>
                  <w:rFonts w:ascii="Verdana" w:hAnsi="Verdana"/>
                  <w:sz w:val="20"/>
                </w:rPr>
                <w:fldChar w:fldCharType="end"/>
              </w:r>
            </w:hyperlink>
          </w:p>
          <w:p w14:paraId="2B4E6E43" w14:textId="77777777" w:rsidR="00F935B1" w:rsidRPr="005E385F" w:rsidRDefault="00A0395D" w:rsidP="00F935B1">
            <w:pPr>
              <w:pStyle w:val="NormalWeb"/>
              <w:numPr>
                <w:ilvl w:val="0"/>
                <w:numId w:val="9"/>
              </w:numPr>
              <w:spacing w:before="0" w:beforeAutospacing="0" w:after="0"/>
              <w:rPr>
                <w:rFonts w:ascii="Verdana" w:hAnsi="Verdana"/>
                <w:bCs/>
                <w:sz w:val="20"/>
              </w:rPr>
            </w:pPr>
            <w:hyperlink w:anchor="TelecomDirectInwardDialing" w:history="1">
              <w:r w:rsidR="00F935B1" w:rsidRPr="005E385F">
                <w:rPr>
                  <w:rStyle w:val="Hyperlink"/>
                  <w:rFonts w:ascii="Verdana" w:hAnsi="Verdana"/>
                  <w:bCs/>
                  <w:sz w:val="20"/>
                </w:rPr>
                <w:t>Direct Inward Dialing (DID)</w:t>
              </w:r>
              <w:r w:rsidR="00F935B1" w:rsidRPr="005E385F">
                <w:rPr>
                  <w:rFonts w:ascii="Verdana" w:hAnsi="Verdana"/>
                  <w:sz w:val="20"/>
                </w:rPr>
                <w:fldChar w:fldCharType="begin"/>
              </w:r>
              <w:r w:rsidR="00F935B1" w:rsidRPr="005E385F">
                <w:rPr>
                  <w:rFonts w:ascii="Verdana" w:hAnsi="Verdana"/>
                  <w:sz w:val="20"/>
                </w:rPr>
                <w:instrText>xe "</w:instrText>
              </w:r>
              <w:r w:rsidR="00F935B1" w:rsidRPr="005E385F">
                <w:rPr>
                  <w:rStyle w:val="Hyperlink"/>
                  <w:rFonts w:ascii="Verdana" w:hAnsi="Verdana"/>
                  <w:bCs/>
                  <w:sz w:val="20"/>
                </w:rPr>
                <w:instrText>Direct Inward Dialing</w:instrText>
              </w:r>
              <w:r w:rsidR="00F935B1" w:rsidRPr="005E385F">
                <w:rPr>
                  <w:rFonts w:ascii="Verdana" w:hAnsi="Verdana"/>
                  <w:sz w:val="20"/>
                </w:rPr>
                <w:instrText>"</w:instrText>
              </w:r>
              <w:r w:rsidR="00F935B1" w:rsidRPr="005E385F">
                <w:rPr>
                  <w:rFonts w:ascii="Verdana" w:hAnsi="Verdana"/>
                  <w:sz w:val="20"/>
                </w:rPr>
                <w:fldChar w:fldCharType="end"/>
              </w:r>
            </w:hyperlink>
            <w:r w:rsidR="00F935B1" w:rsidRPr="005E385F">
              <w:rPr>
                <w:rFonts w:ascii="Verdana" w:hAnsi="Verdana"/>
                <w:sz w:val="20"/>
              </w:rPr>
              <w:fldChar w:fldCharType="begin"/>
            </w:r>
            <w:r w:rsidR="00F935B1" w:rsidRPr="005E385F">
              <w:rPr>
                <w:rFonts w:ascii="Verdana" w:hAnsi="Verdana"/>
                <w:sz w:val="20"/>
              </w:rPr>
              <w:instrText>xe "</w:instrText>
            </w:r>
            <w:r w:rsidR="00F935B1" w:rsidRPr="005E385F">
              <w:rPr>
                <w:rFonts w:ascii="Verdana" w:hAnsi="Verdana"/>
                <w:bCs/>
                <w:sz w:val="20"/>
              </w:rPr>
              <w:instrText>DID</w:instrText>
            </w:r>
            <w:r w:rsidR="00F935B1" w:rsidRPr="005E385F">
              <w:rPr>
                <w:rFonts w:ascii="Verdana" w:hAnsi="Verdana"/>
                <w:sz w:val="20"/>
              </w:rPr>
              <w:instrText>"</w:instrText>
            </w:r>
            <w:r w:rsidR="00F935B1" w:rsidRPr="005E385F">
              <w:rPr>
                <w:rFonts w:ascii="Verdana" w:hAnsi="Verdana"/>
                <w:sz w:val="20"/>
              </w:rPr>
              <w:fldChar w:fldCharType="end"/>
            </w:r>
          </w:p>
          <w:p w14:paraId="7AE8B9BB" w14:textId="77777777" w:rsidR="00F935B1" w:rsidRPr="005E385F" w:rsidRDefault="00A0395D" w:rsidP="00F935B1">
            <w:pPr>
              <w:pStyle w:val="NormalWeb"/>
              <w:numPr>
                <w:ilvl w:val="0"/>
                <w:numId w:val="9"/>
              </w:numPr>
              <w:spacing w:before="0" w:beforeAutospacing="0" w:after="0"/>
              <w:rPr>
                <w:rFonts w:ascii="Verdana" w:hAnsi="Verdana"/>
                <w:bCs/>
                <w:sz w:val="20"/>
              </w:rPr>
            </w:pPr>
            <w:hyperlink w:anchor="TelecomDirectoryAssistance" w:history="1">
              <w:r w:rsidR="00F935B1" w:rsidRPr="005E385F">
                <w:rPr>
                  <w:rStyle w:val="Hyperlink"/>
                  <w:rFonts w:ascii="Verdana" w:hAnsi="Verdana"/>
                  <w:bCs/>
                  <w:sz w:val="20"/>
                </w:rPr>
                <w:t>Directory assistance charges</w:t>
              </w:r>
              <w:r w:rsidR="00F935B1" w:rsidRPr="005E385F">
                <w:rPr>
                  <w:rFonts w:ascii="Verdana" w:hAnsi="Verdana"/>
                  <w:sz w:val="20"/>
                </w:rPr>
                <w:fldChar w:fldCharType="begin"/>
              </w:r>
              <w:r w:rsidR="00F935B1" w:rsidRPr="005E385F">
                <w:rPr>
                  <w:rFonts w:ascii="Verdana" w:hAnsi="Verdana"/>
                  <w:sz w:val="20"/>
                </w:rPr>
                <w:instrText>xe "</w:instrText>
              </w:r>
              <w:r w:rsidR="00F935B1" w:rsidRPr="005E385F">
                <w:rPr>
                  <w:rStyle w:val="Hyperlink"/>
                  <w:rFonts w:ascii="Verdana" w:hAnsi="Verdana"/>
                  <w:bCs/>
                  <w:sz w:val="20"/>
                </w:rPr>
                <w:instrText>Directory Assistance Charges</w:instrText>
              </w:r>
              <w:r w:rsidR="00F935B1" w:rsidRPr="005E385F">
                <w:rPr>
                  <w:rFonts w:ascii="Verdana" w:hAnsi="Verdana"/>
                  <w:sz w:val="20"/>
                </w:rPr>
                <w:instrText>"</w:instrText>
              </w:r>
              <w:r w:rsidR="00F935B1" w:rsidRPr="005E385F">
                <w:rPr>
                  <w:rFonts w:ascii="Verdana" w:hAnsi="Verdana"/>
                  <w:sz w:val="20"/>
                </w:rPr>
                <w:fldChar w:fldCharType="end"/>
              </w:r>
            </w:hyperlink>
          </w:p>
          <w:p w14:paraId="4D2A4061" w14:textId="77777777" w:rsidR="00F935B1" w:rsidRPr="005E385F" w:rsidRDefault="00F935B1" w:rsidP="0083602C">
            <w:pPr>
              <w:pStyle w:val="NormalWeb"/>
              <w:spacing w:before="0" w:beforeAutospacing="0" w:after="0"/>
              <w:rPr>
                <w:rFonts w:ascii="Verdana" w:hAnsi="Verdana"/>
                <w:sz w:val="20"/>
              </w:rPr>
            </w:pPr>
            <w:r w:rsidRPr="005E385F">
              <w:rPr>
                <w:rFonts w:ascii="Verdana" w:hAnsi="Verdana"/>
                <w:sz w:val="20"/>
              </w:rPr>
              <w:lastRenderedPageBreak/>
              <w:t xml:space="preserve">An </w:t>
            </w:r>
            <w:hyperlink w:anchor="TelecomInsideWireMaintPlan" w:history="1">
              <w:r w:rsidRPr="005E385F">
                <w:rPr>
                  <w:rStyle w:val="Hyperlink"/>
                  <w:rFonts w:ascii="Verdana" w:hAnsi="Verdana"/>
                  <w:bCs/>
                  <w:sz w:val="20"/>
                </w:rPr>
                <w:t>inside wire maintenance</w:t>
              </w:r>
              <w:r w:rsidRPr="005E385F">
                <w:rPr>
                  <w:rStyle w:val="Hyperlink"/>
                  <w:rFonts w:ascii="Verdana" w:hAnsi="Verdana"/>
                  <w:sz w:val="20"/>
                </w:rPr>
                <w:fldChar w:fldCharType="begin"/>
              </w:r>
              <w:r w:rsidRPr="005E385F">
                <w:rPr>
                  <w:rStyle w:val="Hyperlink"/>
                  <w:rFonts w:ascii="Verdana" w:hAnsi="Verdana"/>
                  <w:sz w:val="20"/>
                </w:rPr>
                <w:instrText>xe "Inside Wire Maintenance"</w:instrText>
              </w:r>
              <w:r w:rsidRPr="005E385F">
                <w:rPr>
                  <w:rStyle w:val="Hyperlink"/>
                  <w:rFonts w:ascii="Verdana" w:hAnsi="Verdana"/>
                  <w:sz w:val="20"/>
                </w:rPr>
                <w:fldChar w:fldCharType="end"/>
              </w:r>
            </w:hyperlink>
            <w:r w:rsidRPr="005E385F">
              <w:rPr>
                <w:rFonts w:ascii="Verdana" w:hAnsi="Verdana"/>
                <w:sz w:val="20"/>
              </w:rPr>
              <w:t xml:space="preserve"> plan is eligible as a component part of a telephone service</w:t>
            </w:r>
            <w:r w:rsidRPr="005E385F">
              <w:rPr>
                <w:rFonts w:ascii="Verdana" w:hAnsi="Verdana"/>
                <w:sz w:val="20"/>
              </w:rPr>
              <w:fldChar w:fldCharType="begin"/>
            </w:r>
            <w:r w:rsidRPr="005E385F">
              <w:rPr>
                <w:rFonts w:ascii="Verdana" w:hAnsi="Verdana"/>
                <w:sz w:val="20"/>
              </w:rPr>
              <w:instrText>xe "Telephone Service"</w:instrText>
            </w:r>
            <w:r w:rsidRPr="005E385F">
              <w:rPr>
                <w:rFonts w:ascii="Verdana" w:hAnsi="Verdana"/>
                <w:sz w:val="20"/>
              </w:rPr>
              <w:fldChar w:fldCharType="end"/>
            </w:r>
            <w:r w:rsidRPr="005E385F">
              <w:rPr>
                <w:rFonts w:ascii="Verdana" w:hAnsi="Verdana"/>
                <w:sz w:val="20"/>
              </w:rPr>
              <w:t xml:space="preserve"> only if charges are minimal.</w:t>
            </w:r>
          </w:p>
        </w:tc>
      </w:tr>
      <w:tr w:rsidR="00F935B1" w:rsidRPr="005E385F" w14:paraId="12410C63" w14:textId="77777777" w:rsidTr="0083602C">
        <w:trPr>
          <w:tblCellSpacing w:w="20" w:type="dxa"/>
        </w:trPr>
        <w:tc>
          <w:tcPr>
            <w:tcW w:w="2146" w:type="dxa"/>
          </w:tcPr>
          <w:p w14:paraId="0F06A693" w14:textId="77777777" w:rsidR="00F935B1" w:rsidRPr="005E385F" w:rsidRDefault="00F935B1" w:rsidP="0083602C">
            <w:pPr>
              <w:rPr>
                <w:rFonts w:ascii="Verdana" w:hAnsi="Verdana"/>
                <w:b/>
                <w:sz w:val="20"/>
              </w:rPr>
            </w:pPr>
            <w:r w:rsidRPr="005E385F">
              <w:rPr>
                <w:rFonts w:ascii="Verdana" w:hAnsi="Verdana"/>
                <w:b/>
                <w:sz w:val="20"/>
              </w:rPr>
              <w:lastRenderedPageBreak/>
              <w:t>Voice Mail</w:t>
            </w:r>
            <w:r w:rsidRPr="005E385F">
              <w:rPr>
                <w:rFonts w:ascii="Verdana" w:hAnsi="Verdana"/>
                <w:sz w:val="20"/>
              </w:rPr>
              <w:fldChar w:fldCharType="begin"/>
            </w:r>
            <w:r w:rsidRPr="005E385F">
              <w:rPr>
                <w:rFonts w:ascii="Verdana" w:hAnsi="Verdana"/>
                <w:sz w:val="20"/>
              </w:rPr>
              <w:instrText>xe "Voice Mail Service"</w:instrText>
            </w:r>
            <w:r w:rsidRPr="005E385F">
              <w:rPr>
                <w:rFonts w:ascii="Verdana" w:hAnsi="Verdana"/>
                <w:sz w:val="20"/>
              </w:rPr>
              <w:fldChar w:fldCharType="end"/>
            </w:r>
            <w:r w:rsidRPr="005E385F">
              <w:rPr>
                <w:rFonts w:ascii="Verdana" w:hAnsi="Verdana"/>
                <w:sz w:val="20"/>
              </w:rPr>
              <w:t xml:space="preserve"> Service</w:t>
            </w:r>
          </w:p>
        </w:tc>
        <w:tc>
          <w:tcPr>
            <w:tcW w:w="6987" w:type="dxa"/>
          </w:tcPr>
          <w:p w14:paraId="0D31135F" w14:textId="77777777" w:rsidR="00F935B1" w:rsidRPr="005E385F" w:rsidRDefault="00F935B1" w:rsidP="0083602C">
            <w:pPr>
              <w:rPr>
                <w:rFonts w:ascii="Verdana" w:hAnsi="Verdana"/>
                <w:bCs/>
                <w:sz w:val="20"/>
              </w:rPr>
            </w:pPr>
            <w:r w:rsidRPr="005E385F">
              <w:rPr>
                <w:rFonts w:ascii="Verdana" w:hAnsi="Verdana"/>
                <w:bCs/>
                <w:sz w:val="20"/>
              </w:rPr>
              <w:t xml:space="preserve">A voice mail service is eligible.  </w:t>
            </w:r>
          </w:p>
          <w:p w14:paraId="2EC0DF4E" w14:textId="77777777" w:rsidR="00F935B1" w:rsidRPr="005E385F" w:rsidRDefault="00F935B1" w:rsidP="0083602C">
            <w:pPr>
              <w:rPr>
                <w:rFonts w:ascii="Verdana" w:hAnsi="Verdana"/>
                <w:bCs/>
                <w:sz w:val="20"/>
              </w:rPr>
            </w:pPr>
          </w:p>
          <w:p w14:paraId="38438B3A" w14:textId="77777777" w:rsidR="00F935B1" w:rsidRPr="005E385F" w:rsidRDefault="00F935B1" w:rsidP="0083602C">
            <w:pPr>
              <w:pStyle w:val="NormalWeb"/>
              <w:spacing w:before="0" w:beforeAutospacing="0" w:after="0"/>
              <w:rPr>
                <w:rFonts w:ascii="Verdana" w:hAnsi="Verdana"/>
                <w:sz w:val="20"/>
              </w:rPr>
            </w:pPr>
            <w:r w:rsidRPr="005E385F">
              <w:rPr>
                <w:rFonts w:ascii="Verdana" w:hAnsi="Verdana"/>
                <w:bCs/>
                <w:sz w:val="20"/>
              </w:rPr>
              <w:t>Voice mail equipment may be requested in the Internal Connections category of service, but funding is not available for end user products, such as answering machines.</w:t>
            </w:r>
          </w:p>
        </w:tc>
      </w:tr>
      <w:tr w:rsidR="00F935B1" w:rsidRPr="005E385F" w14:paraId="7BF41518" w14:textId="77777777" w:rsidTr="0083602C">
        <w:trPr>
          <w:tblCellSpacing w:w="20" w:type="dxa"/>
        </w:trPr>
        <w:tc>
          <w:tcPr>
            <w:tcW w:w="2146" w:type="dxa"/>
          </w:tcPr>
          <w:p w14:paraId="6484DD0C" w14:textId="77777777" w:rsidR="00F935B1" w:rsidRPr="005E385F" w:rsidRDefault="00F935B1" w:rsidP="0083602C">
            <w:pPr>
              <w:spacing w:before="100" w:beforeAutospacing="1" w:after="100" w:afterAutospacing="1"/>
              <w:rPr>
                <w:rFonts w:ascii="Verdana" w:hAnsi="Verdana"/>
                <w:b/>
                <w:sz w:val="20"/>
              </w:rPr>
            </w:pPr>
            <w:r w:rsidRPr="005E385F">
              <w:rPr>
                <w:rFonts w:ascii="Verdana" w:hAnsi="Verdana"/>
                <w:b/>
                <w:sz w:val="20"/>
              </w:rPr>
              <w:t>Web Hosting</w:t>
            </w:r>
          </w:p>
          <w:p w14:paraId="58210035" w14:textId="77777777" w:rsidR="00F935B1" w:rsidRPr="005E385F" w:rsidRDefault="00F935B1" w:rsidP="0083602C">
            <w:pPr>
              <w:rPr>
                <w:rFonts w:ascii="Verdana" w:hAnsi="Verdana"/>
                <w:b/>
                <w:sz w:val="20"/>
              </w:rPr>
            </w:pPr>
            <w:r w:rsidRPr="005E385F">
              <w:rPr>
                <w:rFonts w:ascii="Verdana" w:hAnsi="Verdana"/>
                <w:sz w:val="20"/>
              </w:rPr>
              <w:fldChar w:fldCharType="begin"/>
            </w:r>
            <w:r w:rsidRPr="005E385F">
              <w:rPr>
                <w:rFonts w:ascii="Verdana" w:hAnsi="Verdana"/>
                <w:sz w:val="20"/>
              </w:rPr>
              <w:instrText>xe "Web Hosting"</w:instrText>
            </w:r>
            <w:r w:rsidRPr="005E385F">
              <w:rPr>
                <w:rFonts w:ascii="Verdana" w:hAnsi="Verdana"/>
                <w:sz w:val="20"/>
              </w:rPr>
              <w:fldChar w:fldCharType="end"/>
            </w:r>
          </w:p>
        </w:tc>
        <w:tc>
          <w:tcPr>
            <w:tcW w:w="6987" w:type="dxa"/>
          </w:tcPr>
          <w:p w14:paraId="0511CBD9" w14:textId="77777777" w:rsidR="00F935B1" w:rsidRPr="005E385F" w:rsidRDefault="00F935B1" w:rsidP="0083602C">
            <w:pPr>
              <w:pStyle w:val="NormalWeb"/>
              <w:spacing w:before="0" w:beforeAutospacing="0" w:after="0"/>
              <w:rPr>
                <w:rFonts w:ascii="Verdana" w:hAnsi="Verdana"/>
                <w:bCs/>
                <w:sz w:val="20"/>
              </w:rPr>
            </w:pPr>
            <w:r w:rsidRPr="005E385F">
              <w:rPr>
                <w:rFonts w:ascii="Verdana" w:hAnsi="Verdana"/>
                <w:sz w:val="20"/>
              </w:rPr>
              <w:t xml:space="preserve">A </w:t>
            </w:r>
            <w:hyperlink w:anchor="IAWebHostingdefinition" w:history="1">
              <w:r w:rsidRPr="005E385F">
                <w:rPr>
                  <w:rStyle w:val="Hyperlink"/>
                  <w:rFonts w:ascii="Verdana" w:hAnsi="Verdana"/>
                  <w:sz w:val="20"/>
                </w:rPr>
                <w:t>web hosting</w:t>
              </w:r>
            </w:hyperlink>
            <w:r w:rsidRPr="005E385F">
              <w:rPr>
                <w:rFonts w:ascii="Verdana" w:hAnsi="Verdana"/>
                <w:sz w:val="20"/>
              </w:rPr>
              <w:t xml:space="preserve"> service that provides a means for a school or library to maintain a website on the Internet is eligible.  This will include storage, access, and website administration tools for the creation and maintenance of the website.  In addition, w</w:t>
            </w:r>
            <w:r w:rsidRPr="005E385F">
              <w:rPr>
                <w:rFonts w:ascii="Verdana" w:hAnsi="Verdana"/>
                <w:bCs/>
                <w:sz w:val="20"/>
              </w:rPr>
              <w:t>eb hosting may include password-protected pages</w:t>
            </w:r>
            <w:r w:rsidRPr="005E385F">
              <w:rPr>
                <w:rFonts w:ascii="Verdana" w:hAnsi="Verdana"/>
                <w:sz w:val="20"/>
              </w:rPr>
              <w:fldChar w:fldCharType="begin"/>
            </w:r>
            <w:r w:rsidRPr="005E385F">
              <w:rPr>
                <w:rFonts w:ascii="Verdana" w:hAnsi="Verdana"/>
                <w:sz w:val="20"/>
              </w:rPr>
              <w:instrText>xe "</w:instrText>
            </w:r>
            <w:r w:rsidRPr="005E385F">
              <w:rPr>
                <w:rFonts w:ascii="Verdana" w:hAnsi="Verdana"/>
                <w:bCs/>
                <w:sz w:val="20"/>
              </w:rPr>
              <w:instrText>Password-Protected Pages</w:instrText>
            </w:r>
            <w:r w:rsidRPr="005E385F">
              <w:rPr>
                <w:rFonts w:ascii="Verdana" w:hAnsi="Verdana"/>
                <w:sz w:val="20"/>
              </w:rPr>
              <w:instrText>"</w:instrText>
            </w:r>
            <w:r w:rsidRPr="005E385F">
              <w:rPr>
                <w:rFonts w:ascii="Verdana" w:hAnsi="Verdana"/>
                <w:sz w:val="20"/>
              </w:rPr>
              <w:fldChar w:fldCharType="end"/>
            </w:r>
            <w:r w:rsidRPr="005E385F">
              <w:rPr>
                <w:rFonts w:ascii="Verdana" w:hAnsi="Verdana"/>
                <w:bCs/>
                <w:sz w:val="20"/>
              </w:rPr>
              <w:t>, interactive communication features such as blogging</w:t>
            </w:r>
            <w:r w:rsidRPr="005E385F">
              <w:rPr>
                <w:rFonts w:ascii="Verdana" w:hAnsi="Verdana"/>
                <w:sz w:val="20"/>
              </w:rPr>
              <w:fldChar w:fldCharType="begin"/>
            </w:r>
            <w:r w:rsidRPr="005E385F">
              <w:rPr>
                <w:rFonts w:ascii="Verdana" w:hAnsi="Verdana"/>
                <w:sz w:val="20"/>
              </w:rPr>
              <w:instrText>xe "</w:instrText>
            </w:r>
            <w:r w:rsidRPr="005E385F">
              <w:rPr>
                <w:rFonts w:ascii="Verdana" w:hAnsi="Verdana"/>
                <w:bCs/>
                <w:sz w:val="20"/>
              </w:rPr>
              <w:instrText>Blogging</w:instrText>
            </w:r>
            <w:r w:rsidRPr="005E385F">
              <w:rPr>
                <w:rFonts w:ascii="Verdana" w:hAnsi="Verdana"/>
                <w:sz w:val="20"/>
              </w:rPr>
              <w:instrText>"</w:instrText>
            </w:r>
            <w:r w:rsidRPr="005E385F">
              <w:rPr>
                <w:rFonts w:ascii="Verdana" w:hAnsi="Verdana"/>
                <w:sz w:val="20"/>
              </w:rPr>
              <w:fldChar w:fldCharType="end"/>
            </w:r>
            <w:r w:rsidRPr="005E385F">
              <w:rPr>
                <w:rFonts w:ascii="Verdana" w:hAnsi="Verdana"/>
                <w:bCs/>
                <w:sz w:val="20"/>
              </w:rPr>
              <w:t xml:space="preserve"> and webmail</w:t>
            </w:r>
            <w:r w:rsidRPr="005E385F">
              <w:rPr>
                <w:rFonts w:ascii="Verdana" w:hAnsi="Verdana"/>
                <w:sz w:val="20"/>
              </w:rPr>
              <w:fldChar w:fldCharType="begin"/>
            </w:r>
            <w:r w:rsidRPr="005E385F">
              <w:rPr>
                <w:rFonts w:ascii="Verdana" w:hAnsi="Verdana"/>
                <w:sz w:val="20"/>
              </w:rPr>
              <w:instrText>xe "</w:instrText>
            </w:r>
            <w:r w:rsidRPr="005E385F">
              <w:rPr>
                <w:rFonts w:ascii="Verdana" w:hAnsi="Verdana"/>
                <w:bCs/>
                <w:sz w:val="20"/>
              </w:rPr>
              <w:instrText>Webmail</w:instrText>
            </w:r>
            <w:r w:rsidRPr="005E385F">
              <w:rPr>
                <w:rFonts w:ascii="Verdana" w:hAnsi="Verdana"/>
                <w:sz w:val="20"/>
              </w:rPr>
              <w:instrText>"</w:instrText>
            </w:r>
            <w:r w:rsidRPr="005E385F">
              <w:rPr>
                <w:rFonts w:ascii="Verdana" w:hAnsi="Verdana"/>
                <w:sz w:val="20"/>
              </w:rPr>
              <w:fldChar w:fldCharType="end"/>
            </w:r>
            <w:r w:rsidRPr="005E385F">
              <w:rPr>
                <w:rFonts w:ascii="Verdana" w:hAnsi="Verdana"/>
                <w:bCs/>
                <w:sz w:val="20"/>
              </w:rPr>
              <w:t>, and other features that facilitate real-time interactive communication, such as instant messaging</w:t>
            </w:r>
            <w:r w:rsidRPr="005E385F">
              <w:rPr>
                <w:rFonts w:ascii="Verdana" w:hAnsi="Verdana"/>
                <w:sz w:val="20"/>
              </w:rPr>
              <w:fldChar w:fldCharType="begin"/>
            </w:r>
            <w:r w:rsidRPr="005E385F">
              <w:rPr>
                <w:rFonts w:ascii="Verdana" w:hAnsi="Verdana"/>
                <w:sz w:val="20"/>
              </w:rPr>
              <w:instrText>xe "</w:instrText>
            </w:r>
            <w:r w:rsidRPr="005E385F">
              <w:rPr>
                <w:rFonts w:ascii="Verdana" w:hAnsi="Verdana"/>
                <w:bCs/>
                <w:sz w:val="20"/>
              </w:rPr>
              <w:instrText>Instant Messaging</w:instrText>
            </w:r>
            <w:r w:rsidRPr="005E385F">
              <w:rPr>
                <w:rFonts w:ascii="Verdana" w:hAnsi="Verdana"/>
                <w:sz w:val="20"/>
              </w:rPr>
              <w:instrText>"</w:instrText>
            </w:r>
            <w:r w:rsidRPr="005E385F">
              <w:rPr>
                <w:rFonts w:ascii="Verdana" w:hAnsi="Verdana"/>
                <w:sz w:val="20"/>
              </w:rPr>
              <w:fldChar w:fldCharType="end"/>
            </w:r>
            <w:r w:rsidRPr="005E385F">
              <w:rPr>
                <w:rFonts w:ascii="Verdana" w:hAnsi="Verdana"/>
                <w:bCs/>
                <w:sz w:val="20"/>
              </w:rPr>
              <w:t xml:space="preserve"> and chat.  </w:t>
            </w:r>
          </w:p>
          <w:p w14:paraId="16C5E81A" w14:textId="77777777" w:rsidR="00F935B1" w:rsidRPr="005E385F" w:rsidRDefault="00F935B1" w:rsidP="0083602C">
            <w:pPr>
              <w:pStyle w:val="ListParagraph"/>
              <w:ind w:left="0"/>
              <w:rPr>
                <w:rFonts w:ascii="Verdana" w:hAnsi="Verdana"/>
                <w:sz w:val="20"/>
              </w:rPr>
            </w:pPr>
          </w:p>
          <w:p w14:paraId="4165DDA0" w14:textId="77777777" w:rsidR="00F935B1" w:rsidRPr="005E385F" w:rsidRDefault="00F935B1" w:rsidP="0083602C">
            <w:pPr>
              <w:pStyle w:val="NormalWeb"/>
              <w:spacing w:before="0" w:beforeAutospacing="0" w:after="0"/>
              <w:rPr>
                <w:rFonts w:ascii="Verdana" w:hAnsi="Verdana"/>
                <w:sz w:val="20"/>
              </w:rPr>
            </w:pPr>
            <w:r w:rsidRPr="005E385F">
              <w:rPr>
                <w:rFonts w:ascii="Verdana" w:hAnsi="Verdana"/>
                <w:sz w:val="20"/>
              </w:rPr>
              <w:t>Note:</w:t>
            </w:r>
            <w:hyperlink w:anchor="IADomainNameReg" w:history="1">
              <w:r w:rsidRPr="005E385F">
                <w:rPr>
                  <w:rStyle w:val="Hyperlink"/>
                  <w:rFonts w:ascii="Verdana" w:hAnsi="Verdana"/>
                  <w:bCs/>
                  <w:sz w:val="20"/>
                </w:rPr>
                <w:t>Domain name registration</w:t>
              </w:r>
              <w:r w:rsidRPr="005E385F">
                <w:rPr>
                  <w:rFonts w:ascii="Verdana" w:hAnsi="Verdana"/>
                  <w:sz w:val="20"/>
                </w:rPr>
                <w:fldChar w:fldCharType="begin"/>
              </w:r>
              <w:r w:rsidRPr="005E385F">
                <w:rPr>
                  <w:rFonts w:ascii="Verdana" w:hAnsi="Verdana"/>
                  <w:sz w:val="20"/>
                </w:rPr>
                <w:instrText>xe "</w:instrText>
              </w:r>
              <w:r w:rsidRPr="005E385F">
                <w:rPr>
                  <w:rStyle w:val="Hyperlink"/>
                  <w:rFonts w:ascii="Verdana" w:hAnsi="Verdana"/>
                  <w:bCs/>
                  <w:sz w:val="20"/>
                </w:rPr>
                <w:instrText>Domain Name Registration</w:instrText>
              </w:r>
              <w:r w:rsidRPr="005E385F">
                <w:rPr>
                  <w:rFonts w:ascii="Verdana" w:hAnsi="Verdana"/>
                  <w:sz w:val="20"/>
                </w:rPr>
                <w:instrText>"</w:instrText>
              </w:r>
              <w:r w:rsidRPr="005E385F">
                <w:rPr>
                  <w:rFonts w:ascii="Verdana" w:hAnsi="Verdana"/>
                  <w:sz w:val="20"/>
                </w:rPr>
                <w:fldChar w:fldCharType="end"/>
              </w:r>
            </w:hyperlink>
            <w:r w:rsidRPr="005E385F">
              <w:rPr>
                <w:rFonts w:ascii="Verdana" w:hAnsi="Verdana"/>
                <w:bCs/>
                <w:sz w:val="20"/>
              </w:rPr>
              <w:t xml:space="preserve"> is also eligible if it is necessary for the creation of a school or library website.</w:t>
            </w:r>
          </w:p>
        </w:tc>
      </w:tr>
      <w:tr w:rsidR="00F935B1" w:rsidRPr="005E385F" w14:paraId="70B9ECB8" w14:textId="77777777" w:rsidTr="0083602C">
        <w:trPr>
          <w:tblCellSpacing w:w="20" w:type="dxa"/>
        </w:trPr>
        <w:tc>
          <w:tcPr>
            <w:tcW w:w="2146" w:type="dxa"/>
          </w:tcPr>
          <w:p w14:paraId="5DDA2EFB" w14:textId="77777777" w:rsidR="00F935B1" w:rsidRPr="005E385F" w:rsidRDefault="00F935B1" w:rsidP="0083602C">
            <w:pPr>
              <w:rPr>
                <w:rFonts w:ascii="Verdana" w:hAnsi="Verdana"/>
                <w:sz w:val="20"/>
              </w:rPr>
            </w:pPr>
            <w:r w:rsidRPr="005E385F">
              <w:rPr>
                <w:rFonts w:ascii="Verdana" w:hAnsi="Verdana"/>
                <w:b/>
                <w:sz w:val="20"/>
              </w:rPr>
              <w:t>Wireless Internet Access</w:t>
            </w:r>
            <w:r w:rsidRPr="005E385F">
              <w:rPr>
                <w:rFonts w:ascii="Verdana" w:hAnsi="Verdana"/>
                <w:sz w:val="20"/>
              </w:rPr>
              <w:fldChar w:fldCharType="begin"/>
            </w:r>
            <w:r w:rsidRPr="005E385F">
              <w:rPr>
                <w:rFonts w:ascii="Verdana" w:hAnsi="Verdana"/>
                <w:sz w:val="20"/>
              </w:rPr>
              <w:instrText>xe "Wireless Internet Access"</w:instrText>
            </w:r>
            <w:r w:rsidRPr="005E385F">
              <w:rPr>
                <w:rFonts w:ascii="Verdana" w:hAnsi="Verdana"/>
                <w:sz w:val="20"/>
              </w:rPr>
              <w:fldChar w:fldCharType="end"/>
            </w:r>
            <w:r w:rsidRPr="005E385F">
              <w:rPr>
                <w:rFonts w:ascii="Verdana" w:hAnsi="Verdana"/>
                <w:sz w:val="20"/>
              </w:rPr>
              <w:fldChar w:fldCharType="begin"/>
            </w:r>
            <w:r w:rsidRPr="005E385F">
              <w:rPr>
                <w:rFonts w:ascii="Verdana" w:hAnsi="Verdana"/>
                <w:sz w:val="20"/>
              </w:rPr>
              <w:instrText>xe "</w:instrText>
            </w:r>
            <w:r w:rsidRPr="005E385F">
              <w:rPr>
                <w:rFonts w:ascii="Verdana" w:hAnsi="Verdana"/>
                <w:bCs/>
                <w:sz w:val="20"/>
              </w:rPr>
              <w:instrText>Internet Access</w:instrText>
            </w:r>
            <w:r w:rsidRPr="005E385F">
              <w:rPr>
                <w:rFonts w:ascii="Verdana" w:hAnsi="Verdana"/>
                <w:sz w:val="20"/>
              </w:rPr>
              <w:instrText>"</w:instrText>
            </w:r>
            <w:r w:rsidRPr="005E385F">
              <w:rPr>
                <w:rFonts w:ascii="Verdana" w:hAnsi="Verdana"/>
                <w:sz w:val="20"/>
              </w:rPr>
              <w:fldChar w:fldCharType="end"/>
            </w:r>
          </w:p>
          <w:p w14:paraId="1649375E" w14:textId="77777777" w:rsidR="00F935B1" w:rsidRPr="005E385F" w:rsidRDefault="00F935B1" w:rsidP="0083602C">
            <w:pPr>
              <w:rPr>
                <w:rFonts w:ascii="Verdana" w:hAnsi="Verdana"/>
                <w:sz w:val="20"/>
              </w:rPr>
            </w:pPr>
          </w:p>
          <w:p w14:paraId="11DDBF02" w14:textId="77777777" w:rsidR="00F935B1" w:rsidRPr="005E385F" w:rsidRDefault="00F935B1" w:rsidP="0083602C">
            <w:pPr>
              <w:rPr>
                <w:rFonts w:ascii="Verdana" w:hAnsi="Verdana"/>
                <w:sz w:val="20"/>
              </w:rPr>
            </w:pPr>
          </w:p>
        </w:tc>
        <w:tc>
          <w:tcPr>
            <w:tcW w:w="6987" w:type="dxa"/>
          </w:tcPr>
          <w:p w14:paraId="02F56980" w14:textId="77777777" w:rsidR="00F935B1" w:rsidRPr="005E385F" w:rsidRDefault="00F935B1" w:rsidP="0083602C">
            <w:pPr>
              <w:pStyle w:val="NormalWeb"/>
              <w:spacing w:before="0" w:beforeAutospacing="0" w:after="0"/>
              <w:rPr>
                <w:rFonts w:ascii="Verdana" w:hAnsi="Verdana"/>
                <w:sz w:val="20"/>
              </w:rPr>
            </w:pPr>
            <w:r w:rsidRPr="005E385F">
              <w:rPr>
                <w:rFonts w:ascii="Verdana" w:hAnsi="Verdana"/>
                <w:sz w:val="20"/>
              </w:rPr>
              <w:t>A wireless Internet access</w:t>
            </w:r>
            <w:r w:rsidRPr="005E385F">
              <w:rPr>
                <w:rFonts w:ascii="Verdana" w:hAnsi="Verdana"/>
                <w:sz w:val="20"/>
              </w:rPr>
              <w:fldChar w:fldCharType="begin"/>
            </w:r>
            <w:r w:rsidRPr="005E385F">
              <w:rPr>
                <w:rFonts w:ascii="Verdana" w:hAnsi="Verdana"/>
                <w:sz w:val="20"/>
              </w:rPr>
              <w:instrText>xe "Wireless Internet Access"</w:instrText>
            </w:r>
            <w:r w:rsidRPr="005E385F">
              <w:rPr>
                <w:rFonts w:ascii="Verdana" w:hAnsi="Verdana"/>
                <w:sz w:val="20"/>
              </w:rPr>
              <w:fldChar w:fldCharType="end"/>
            </w:r>
            <w:r w:rsidRPr="005E385F">
              <w:rPr>
                <w:rFonts w:ascii="Verdana" w:hAnsi="Verdana"/>
                <w:sz w:val="20"/>
              </w:rPr>
              <w:fldChar w:fldCharType="begin"/>
            </w:r>
            <w:r w:rsidRPr="005E385F">
              <w:rPr>
                <w:rFonts w:ascii="Verdana" w:hAnsi="Verdana"/>
                <w:sz w:val="20"/>
              </w:rPr>
              <w:instrText>xe "</w:instrText>
            </w:r>
            <w:r w:rsidRPr="005E385F">
              <w:rPr>
                <w:rFonts w:ascii="Verdana" w:hAnsi="Verdana"/>
                <w:bCs/>
                <w:sz w:val="20"/>
              </w:rPr>
              <w:instrText>Internet Access</w:instrText>
            </w:r>
            <w:r w:rsidRPr="005E385F">
              <w:rPr>
                <w:rFonts w:ascii="Verdana" w:hAnsi="Verdana"/>
                <w:sz w:val="20"/>
              </w:rPr>
              <w:instrText>"</w:instrText>
            </w:r>
            <w:r w:rsidRPr="005E385F">
              <w:rPr>
                <w:rFonts w:ascii="Verdana" w:hAnsi="Verdana"/>
                <w:sz w:val="20"/>
              </w:rPr>
              <w:fldChar w:fldCharType="end"/>
            </w:r>
            <w:r w:rsidRPr="005E385F">
              <w:rPr>
                <w:rFonts w:ascii="Verdana" w:hAnsi="Verdana"/>
                <w:sz w:val="20"/>
              </w:rPr>
              <w:t xml:space="preserve"> service is eligible under the same provisions as wired access to the Internet.</w:t>
            </w:r>
          </w:p>
          <w:p w14:paraId="1BDD08B4" w14:textId="77777777" w:rsidR="00F935B1" w:rsidRPr="005E385F" w:rsidRDefault="00F935B1" w:rsidP="0083602C">
            <w:pPr>
              <w:pStyle w:val="NormalWeb"/>
              <w:spacing w:before="0" w:beforeAutospacing="0" w:after="0"/>
              <w:rPr>
                <w:rFonts w:ascii="Verdana" w:hAnsi="Verdana"/>
                <w:sz w:val="20"/>
              </w:rPr>
            </w:pPr>
          </w:p>
          <w:p w14:paraId="09A39386" w14:textId="77777777" w:rsidR="00F935B1" w:rsidRPr="005E385F" w:rsidRDefault="00F935B1" w:rsidP="0083602C">
            <w:pPr>
              <w:pStyle w:val="NormalWeb"/>
              <w:spacing w:before="0" w:beforeAutospacing="0" w:after="0"/>
              <w:rPr>
                <w:rFonts w:ascii="Verdana" w:hAnsi="Verdana"/>
                <w:sz w:val="20"/>
              </w:rPr>
            </w:pPr>
            <w:r w:rsidRPr="005E385F">
              <w:rPr>
                <w:rFonts w:ascii="Verdana" w:hAnsi="Verdana"/>
                <w:sz w:val="20"/>
              </w:rPr>
              <w:t xml:space="preserve">A </w:t>
            </w:r>
            <w:hyperlink w:anchor="WirelessIAService" w:history="1">
              <w:r w:rsidRPr="005E385F">
                <w:rPr>
                  <w:rStyle w:val="Hyperlink"/>
                  <w:rFonts w:ascii="Verdana" w:hAnsi="Verdana"/>
                  <w:sz w:val="20"/>
                </w:rPr>
                <w:t>wireless Internet access</w:t>
              </w:r>
              <w:r w:rsidRPr="005E385F">
                <w:rPr>
                  <w:rStyle w:val="Hyperlink"/>
                  <w:rFonts w:ascii="Verdana" w:hAnsi="Verdana"/>
                  <w:sz w:val="20"/>
                </w:rPr>
                <w:fldChar w:fldCharType="begin"/>
              </w:r>
              <w:r w:rsidRPr="005E385F">
                <w:rPr>
                  <w:rStyle w:val="Hyperlink"/>
                  <w:rFonts w:ascii="Verdana" w:hAnsi="Verdana"/>
                  <w:sz w:val="20"/>
                </w:rPr>
                <w:instrText>xe "Wireless Internet Access"</w:instrText>
              </w:r>
              <w:r w:rsidRPr="005E385F">
                <w:rPr>
                  <w:rStyle w:val="Hyperlink"/>
                  <w:rFonts w:ascii="Verdana" w:hAnsi="Verdana"/>
                  <w:sz w:val="20"/>
                </w:rPr>
                <w:fldChar w:fldCharType="end"/>
              </w:r>
              <w:r w:rsidRPr="005E385F">
                <w:rPr>
                  <w:rStyle w:val="Hyperlink"/>
                  <w:rFonts w:ascii="Verdana" w:hAnsi="Verdana"/>
                  <w:sz w:val="20"/>
                </w:rPr>
                <w:fldChar w:fldCharType="begin"/>
              </w:r>
              <w:r w:rsidRPr="005E385F">
                <w:rPr>
                  <w:rStyle w:val="Hyperlink"/>
                  <w:rFonts w:ascii="Verdana" w:hAnsi="Verdana"/>
                  <w:sz w:val="20"/>
                </w:rPr>
                <w:instrText>xe "Internet Access"</w:instrText>
              </w:r>
              <w:r w:rsidRPr="005E385F">
                <w:rPr>
                  <w:rStyle w:val="Hyperlink"/>
                  <w:rFonts w:ascii="Verdana" w:hAnsi="Verdana"/>
                  <w:sz w:val="20"/>
                </w:rPr>
                <w:fldChar w:fldCharType="end"/>
              </w:r>
              <w:r w:rsidRPr="005E385F">
                <w:rPr>
                  <w:rStyle w:val="Hyperlink"/>
                  <w:rFonts w:ascii="Verdana" w:hAnsi="Verdana"/>
                  <w:sz w:val="20"/>
                </w:rPr>
                <w:t xml:space="preserve"> service</w:t>
              </w:r>
            </w:hyperlink>
            <w:r w:rsidRPr="005E385F">
              <w:rPr>
                <w:rFonts w:ascii="Verdana" w:hAnsi="Verdana"/>
                <w:sz w:val="20"/>
              </w:rPr>
              <w:t xml:space="preserve"> designed for portable electronic devices is eligible if used for educational purposes.  Off-campus use must be removed by cost allocation.  Applications (including GPS</w:t>
            </w:r>
            <w:r w:rsidRPr="005E385F">
              <w:rPr>
                <w:rFonts w:ascii="Verdana" w:hAnsi="Verdana"/>
                <w:sz w:val="20"/>
              </w:rPr>
              <w:fldChar w:fldCharType="begin"/>
            </w:r>
            <w:r w:rsidRPr="005E385F">
              <w:rPr>
                <w:rFonts w:ascii="Verdana" w:hAnsi="Verdana"/>
                <w:sz w:val="20"/>
              </w:rPr>
              <w:instrText>xe "GPS"</w:instrText>
            </w:r>
            <w:r w:rsidRPr="005E385F">
              <w:rPr>
                <w:rFonts w:ascii="Verdana" w:hAnsi="Verdana"/>
                <w:sz w:val="20"/>
              </w:rPr>
              <w:fldChar w:fldCharType="end"/>
            </w:r>
            <w:r w:rsidRPr="005E385F">
              <w:rPr>
                <w:rFonts w:ascii="Verdana" w:hAnsi="Verdana"/>
                <w:sz w:val="20"/>
              </w:rPr>
              <w:t>) for wireless devices</w:t>
            </w:r>
            <w:r w:rsidRPr="005E385F">
              <w:rPr>
                <w:rFonts w:ascii="Verdana" w:hAnsi="Verdana"/>
                <w:sz w:val="20"/>
              </w:rPr>
              <w:fldChar w:fldCharType="begin"/>
            </w:r>
            <w:r w:rsidRPr="005E385F">
              <w:rPr>
                <w:rFonts w:ascii="Verdana" w:hAnsi="Verdana"/>
                <w:sz w:val="20"/>
              </w:rPr>
              <w:instrText>xe "Wireless Devices"</w:instrText>
            </w:r>
            <w:r w:rsidRPr="005E385F">
              <w:rPr>
                <w:rFonts w:ascii="Verdana" w:hAnsi="Verdana"/>
                <w:sz w:val="20"/>
              </w:rPr>
              <w:fldChar w:fldCharType="end"/>
            </w:r>
            <w:r w:rsidRPr="005E385F">
              <w:rPr>
                <w:rFonts w:ascii="Verdana" w:hAnsi="Verdana"/>
                <w:sz w:val="20"/>
              </w:rPr>
              <w:t xml:space="preserve"> are not eligible for discount.  Service/Data charges</w:t>
            </w:r>
            <w:r w:rsidRPr="005E385F">
              <w:rPr>
                <w:rFonts w:ascii="Verdana" w:hAnsi="Verdana"/>
                <w:sz w:val="20"/>
              </w:rPr>
              <w:fldChar w:fldCharType="begin"/>
            </w:r>
            <w:r w:rsidRPr="005E385F">
              <w:rPr>
                <w:rFonts w:ascii="Verdana" w:hAnsi="Verdana"/>
                <w:sz w:val="20"/>
              </w:rPr>
              <w:instrText>xe "Data Charges"</w:instrText>
            </w:r>
            <w:r w:rsidRPr="005E385F">
              <w:rPr>
                <w:rFonts w:ascii="Verdana" w:hAnsi="Verdana"/>
                <w:sz w:val="20"/>
              </w:rPr>
              <w:fldChar w:fldCharType="end"/>
            </w:r>
            <w:r w:rsidRPr="005E385F">
              <w:rPr>
                <w:rFonts w:ascii="Verdana" w:hAnsi="Verdana"/>
                <w:sz w:val="20"/>
              </w:rPr>
              <w:t xml:space="preserve"> dedicated solely to the provision of these applications are not eligible and require cost allocation</w:t>
            </w:r>
            <w:r w:rsidRPr="005E385F">
              <w:rPr>
                <w:rFonts w:ascii="Verdana" w:hAnsi="Verdana"/>
                <w:sz w:val="20"/>
              </w:rPr>
              <w:fldChar w:fldCharType="begin"/>
            </w:r>
            <w:r w:rsidRPr="005E385F">
              <w:rPr>
                <w:rFonts w:ascii="Verdana" w:hAnsi="Verdana"/>
                <w:sz w:val="20"/>
              </w:rPr>
              <w:instrText>xe "</w:instrText>
            </w:r>
            <w:r w:rsidRPr="005E385F">
              <w:rPr>
                <w:rFonts w:ascii="Verdana" w:hAnsi="Verdana"/>
                <w:bCs/>
                <w:sz w:val="20"/>
              </w:rPr>
              <w:instrText>Cost Allocation</w:instrText>
            </w:r>
            <w:r w:rsidRPr="005E385F">
              <w:rPr>
                <w:rFonts w:ascii="Verdana" w:hAnsi="Verdana"/>
                <w:sz w:val="20"/>
              </w:rPr>
              <w:instrText>"</w:instrText>
            </w:r>
            <w:r w:rsidRPr="005E385F">
              <w:rPr>
                <w:rFonts w:ascii="Verdana" w:hAnsi="Verdana"/>
                <w:sz w:val="20"/>
              </w:rPr>
              <w:fldChar w:fldCharType="end"/>
            </w:r>
            <w:r w:rsidRPr="005E385F">
              <w:rPr>
                <w:rFonts w:ascii="Verdana" w:hAnsi="Verdana"/>
                <w:sz w:val="20"/>
              </w:rPr>
              <w:t>.</w:t>
            </w:r>
          </w:p>
          <w:p w14:paraId="635F33A6" w14:textId="77777777" w:rsidR="00F935B1" w:rsidRPr="005E385F" w:rsidRDefault="00F935B1" w:rsidP="0083602C">
            <w:pPr>
              <w:pStyle w:val="NormalWeb"/>
              <w:spacing w:before="0" w:beforeAutospacing="0" w:after="0"/>
              <w:rPr>
                <w:rFonts w:ascii="Verdana" w:hAnsi="Verdana"/>
                <w:sz w:val="20"/>
              </w:rPr>
            </w:pPr>
          </w:p>
          <w:p w14:paraId="564D5B71" w14:textId="77777777" w:rsidR="00F935B1" w:rsidRPr="005E385F" w:rsidRDefault="00A0395D" w:rsidP="0083602C">
            <w:pPr>
              <w:pStyle w:val="NormalWeb"/>
              <w:spacing w:before="0" w:beforeAutospacing="0" w:after="0"/>
              <w:rPr>
                <w:rFonts w:ascii="Verdana" w:hAnsi="Verdana"/>
                <w:sz w:val="20"/>
              </w:rPr>
            </w:pPr>
            <w:hyperlink w:anchor="MobileHotspot" w:history="1">
              <w:r w:rsidR="00F935B1" w:rsidRPr="005E385F">
                <w:rPr>
                  <w:rStyle w:val="Hyperlink"/>
                  <w:rFonts w:ascii="Verdana" w:hAnsi="Verdana"/>
                  <w:sz w:val="20"/>
                </w:rPr>
                <w:t>Mobile hotspot service</w:t>
              </w:r>
            </w:hyperlink>
            <w:r w:rsidR="00F935B1" w:rsidRPr="005E385F">
              <w:rPr>
                <w:rFonts w:ascii="Verdana" w:hAnsi="Verdana"/>
                <w:sz w:val="20"/>
              </w:rPr>
              <w:fldChar w:fldCharType="begin"/>
            </w:r>
            <w:r w:rsidR="00F935B1" w:rsidRPr="005E385F">
              <w:rPr>
                <w:rFonts w:ascii="Verdana" w:hAnsi="Verdana"/>
                <w:sz w:val="20"/>
              </w:rPr>
              <w:instrText>xe "Mobile Hotspot Service"</w:instrText>
            </w:r>
            <w:r w:rsidR="00F935B1" w:rsidRPr="005E385F">
              <w:rPr>
                <w:rFonts w:ascii="Verdana" w:hAnsi="Verdana"/>
                <w:sz w:val="20"/>
              </w:rPr>
              <w:fldChar w:fldCharType="end"/>
            </w:r>
            <w:r w:rsidR="00F935B1" w:rsidRPr="005E385F">
              <w:rPr>
                <w:rFonts w:ascii="Verdana" w:hAnsi="Verdana"/>
                <w:sz w:val="20"/>
              </w:rPr>
              <w:t xml:space="preserve"> designed for portable electronics is eligible if used for educational purposes.  Off-campus use must be removed by cost-allocation.  Hardware costs of the mobile hotspot embedded in or connected to the end-user device are not eligible.</w:t>
            </w:r>
          </w:p>
        </w:tc>
      </w:tr>
      <w:tr w:rsidR="00F935B1" w:rsidRPr="005E385F" w14:paraId="31D7D3E2" w14:textId="77777777" w:rsidTr="0083602C">
        <w:trPr>
          <w:tblCellSpacing w:w="20" w:type="dxa"/>
        </w:trPr>
        <w:tc>
          <w:tcPr>
            <w:tcW w:w="2101" w:type="dxa"/>
          </w:tcPr>
          <w:p w14:paraId="27BB338D" w14:textId="77777777" w:rsidR="00F935B1" w:rsidRPr="005E385F" w:rsidRDefault="00F935B1" w:rsidP="0083602C">
            <w:pPr>
              <w:keepNext/>
              <w:rPr>
                <w:rFonts w:ascii="Verdana" w:hAnsi="Verdana"/>
                <w:sz w:val="20"/>
              </w:rPr>
            </w:pPr>
            <w:r w:rsidRPr="005E385F">
              <w:rPr>
                <w:rFonts w:ascii="Verdana" w:hAnsi="Verdana"/>
                <w:sz w:val="20"/>
              </w:rPr>
              <w:lastRenderedPageBreak/>
              <w:t xml:space="preserve">NOT Eligible for E-rate Funding as a Priority One service </w:t>
            </w:r>
          </w:p>
          <w:p w14:paraId="53B5607E" w14:textId="77777777" w:rsidR="00F935B1" w:rsidRPr="005E385F" w:rsidRDefault="00F935B1" w:rsidP="0083602C">
            <w:pPr>
              <w:keepLines/>
              <w:rPr>
                <w:rFonts w:ascii="Verdana" w:hAnsi="Verdana"/>
                <w:i/>
                <w:sz w:val="20"/>
              </w:rPr>
            </w:pPr>
          </w:p>
        </w:tc>
        <w:tc>
          <w:tcPr>
            <w:tcW w:w="6987" w:type="dxa"/>
          </w:tcPr>
          <w:p w14:paraId="7043AB6B" w14:textId="77777777" w:rsidR="00F935B1" w:rsidRPr="005E385F" w:rsidRDefault="00F935B1" w:rsidP="0083602C">
            <w:pPr>
              <w:pStyle w:val="FootnoteText"/>
              <w:rPr>
                <w:rFonts w:ascii="Verdana" w:hAnsi="Verdana"/>
              </w:rPr>
            </w:pPr>
            <w:r w:rsidRPr="005E385F">
              <w:rPr>
                <w:rFonts w:ascii="Verdana" w:hAnsi="Verdana"/>
              </w:rPr>
              <w:t xml:space="preserve">The following charges are </w:t>
            </w:r>
            <w:r w:rsidRPr="005E385F">
              <w:rPr>
                <w:rFonts w:ascii="Verdana" w:hAnsi="Verdana"/>
                <w:b/>
              </w:rPr>
              <w:t xml:space="preserve">NOT ELIGIBLE </w:t>
            </w:r>
            <w:r w:rsidRPr="005E385F">
              <w:rPr>
                <w:rFonts w:ascii="Verdana" w:hAnsi="Verdana"/>
              </w:rPr>
              <w:t>for E-rate support:</w:t>
            </w:r>
          </w:p>
          <w:p w14:paraId="6F142C6B" w14:textId="77777777" w:rsidR="00F935B1" w:rsidRPr="005E385F" w:rsidRDefault="00F935B1" w:rsidP="0083602C">
            <w:pPr>
              <w:pStyle w:val="FootnoteText"/>
              <w:rPr>
                <w:rFonts w:ascii="Verdana" w:hAnsi="Verdana"/>
              </w:rPr>
            </w:pPr>
          </w:p>
          <w:p w14:paraId="73F8EB25" w14:textId="77777777" w:rsidR="00F935B1" w:rsidRPr="005E385F" w:rsidRDefault="00F935B1" w:rsidP="0083602C">
            <w:pPr>
              <w:pStyle w:val="FootnoteText"/>
              <w:rPr>
                <w:rFonts w:ascii="Verdana" w:hAnsi="Verdana"/>
                <w:i/>
                <w:u w:val="single"/>
              </w:rPr>
            </w:pPr>
            <w:r w:rsidRPr="005E385F">
              <w:rPr>
                <w:rFonts w:ascii="Verdana" w:hAnsi="Verdana"/>
              </w:rPr>
              <w:t>-</w:t>
            </w:r>
            <w:r w:rsidRPr="005E385F">
              <w:rPr>
                <w:rFonts w:ascii="Verdana" w:hAnsi="Verdana"/>
                <w:i/>
                <w:u w:val="single"/>
              </w:rPr>
              <w:t>End User Equipment.</w:t>
            </w:r>
            <w:r w:rsidRPr="005E385F">
              <w:rPr>
                <w:rFonts w:ascii="Verdana" w:hAnsi="Verdana"/>
              </w:rPr>
              <w:t xml:space="preserve">  Support is not available for end-user equipment. </w:t>
            </w:r>
          </w:p>
          <w:p w14:paraId="2F61E866" w14:textId="77777777" w:rsidR="00F935B1" w:rsidRPr="005E385F" w:rsidRDefault="00F935B1" w:rsidP="0083602C">
            <w:pPr>
              <w:pStyle w:val="FootnoteText"/>
              <w:rPr>
                <w:rFonts w:ascii="Verdana" w:hAnsi="Verdana" w:cs="Verdana"/>
                <w:bCs/>
              </w:rPr>
            </w:pPr>
            <w:r w:rsidRPr="005E385F">
              <w:rPr>
                <w:rFonts w:ascii="Verdana" w:hAnsi="Verdana"/>
              </w:rPr>
              <w:t>-</w:t>
            </w:r>
            <w:r w:rsidRPr="005E385F">
              <w:rPr>
                <w:rFonts w:ascii="Verdana" w:hAnsi="Verdana"/>
                <w:i/>
                <w:u w:val="single"/>
              </w:rPr>
              <w:t>Ineligible Fiber Costs.</w:t>
            </w:r>
            <w:r w:rsidRPr="005E385F">
              <w:rPr>
                <w:rFonts w:ascii="Verdana" w:hAnsi="Verdana"/>
                <w:i/>
              </w:rPr>
              <w:t xml:space="preserve">  </w:t>
            </w:r>
            <w:r w:rsidRPr="005E385F">
              <w:rPr>
                <w:rFonts w:ascii="Verdana" w:hAnsi="Verdana"/>
              </w:rPr>
              <w:t>Special construction charges</w:t>
            </w:r>
            <w:r w:rsidRPr="005E385F">
              <w:rPr>
                <w:rFonts w:ascii="Verdana" w:hAnsi="Verdana"/>
              </w:rPr>
              <w:fldChar w:fldCharType="begin"/>
            </w:r>
            <w:r w:rsidRPr="005E385F">
              <w:rPr>
                <w:rFonts w:ascii="Verdana" w:hAnsi="Verdana"/>
              </w:rPr>
              <w:instrText>xe "Special Construction Charges"</w:instrText>
            </w:r>
            <w:r w:rsidRPr="005E385F">
              <w:rPr>
                <w:rFonts w:ascii="Verdana" w:hAnsi="Verdana"/>
              </w:rPr>
              <w:fldChar w:fldCharType="end"/>
            </w:r>
            <w:r w:rsidRPr="005E385F">
              <w:rPr>
                <w:rFonts w:ascii="Verdana" w:hAnsi="Verdana"/>
              </w:rPr>
              <w:t xml:space="preserve"> to build out dark fiber connections from an applicant’s facilities to an off-premises fiber</w:t>
            </w:r>
            <w:r w:rsidRPr="005E385F">
              <w:rPr>
                <w:rFonts w:ascii="Verdana" w:hAnsi="Verdana"/>
              </w:rPr>
              <w:fldChar w:fldCharType="begin"/>
            </w:r>
            <w:r w:rsidRPr="005E385F">
              <w:rPr>
                <w:rFonts w:ascii="Verdana" w:hAnsi="Verdana"/>
              </w:rPr>
              <w:instrText>xe "Fiber"</w:instrText>
            </w:r>
            <w:r w:rsidRPr="005E385F">
              <w:rPr>
                <w:rFonts w:ascii="Verdana" w:hAnsi="Verdana"/>
              </w:rPr>
              <w:fldChar w:fldCharType="end"/>
            </w:r>
            <w:r w:rsidRPr="005E385F">
              <w:rPr>
                <w:rFonts w:ascii="Verdana" w:hAnsi="Verdana"/>
              </w:rPr>
              <w:t xml:space="preserve"> network are NOT eligible.  Special construction charges include design and engineering costs, project management costs, digging trenches and laying fiber.</w:t>
            </w:r>
            <w:r w:rsidRPr="005E385F">
              <w:rPr>
                <w:rFonts w:ascii="Verdana" w:hAnsi="Verdana"/>
                <w:color w:val="010101"/>
              </w:rPr>
              <w:t xml:space="preserve">  </w:t>
            </w:r>
          </w:p>
          <w:p w14:paraId="5A1D5191" w14:textId="77777777" w:rsidR="00F935B1" w:rsidRPr="005E385F" w:rsidRDefault="00F935B1" w:rsidP="0083602C">
            <w:pPr>
              <w:pStyle w:val="NormalWeb"/>
              <w:spacing w:before="0" w:beforeAutospacing="0" w:after="0"/>
              <w:rPr>
                <w:rFonts w:ascii="Verdana" w:hAnsi="Verdana" w:cs="Verdana"/>
                <w:bCs/>
                <w:sz w:val="20"/>
              </w:rPr>
            </w:pPr>
            <w:r w:rsidRPr="005E385F">
              <w:rPr>
                <w:rFonts w:ascii="Verdana" w:hAnsi="Verdana" w:cs="Verdana"/>
                <w:bCs/>
                <w:i/>
                <w:sz w:val="20"/>
              </w:rPr>
              <w:t>-</w:t>
            </w:r>
            <w:r w:rsidRPr="005E385F">
              <w:rPr>
                <w:rFonts w:ascii="Verdana" w:hAnsi="Verdana" w:cs="Verdana"/>
                <w:bCs/>
                <w:i/>
                <w:sz w:val="20"/>
                <w:u w:val="single"/>
              </w:rPr>
              <w:t>Modulating Equipment.</w:t>
            </w:r>
            <w:r w:rsidRPr="005E385F">
              <w:rPr>
                <w:rFonts w:ascii="Verdana" w:hAnsi="Verdana"/>
                <w:sz w:val="20"/>
              </w:rPr>
              <w:t xml:space="preserve">  </w:t>
            </w:r>
            <w:r w:rsidRPr="005E385F">
              <w:rPr>
                <w:rFonts w:ascii="Verdana" w:hAnsi="Verdana" w:cs="Verdana"/>
                <w:bCs/>
                <w:sz w:val="20"/>
              </w:rPr>
              <w:t>The purchase and ownership of modulating electronics</w:t>
            </w:r>
            <w:r w:rsidRPr="005E385F">
              <w:rPr>
                <w:rFonts w:ascii="Verdana" w:hAnsi="Verdana"/>
                <w:sz w:val="20"/>
              </w:rPr>
              <w:fldChar w:fldCharType="begin"/>
            </w:r>
            <w:r w:rsidRPr="005E385F">
              <w:rPr>
                <w:rFonts w:ascii="Verdana" w:hAnsi="Verdana"/>
                <w:sz w:val="20"/>
              </w:rPr>
              <w:instrText>xe "</w:instrText>
            </w:r>
            <w:r w:rsidRPr="005E385F">
              <w:rPr>
                <w:rFonts w:ascii="Verdana" w:hAnsi="Verdana" w:cs="Verdana"/>
                <w:bCs/>
                <w:sz w:val="20"/>
              </w:rPr>
              <w:instrText>Modulating Electronics</w:instrText>
            </w:r>
            <w:r w:rsidRPr="005E385F">
              <w:rPr>
                <w:rFonts w:ascii="Verdana" w:hAnsi="Verdana"/>
                <w:sz w:val="20"/>
              </w:rPr>
              <w:instrText>"</w:instrText>
            </w:r>
            <w:r w:rsidRPr="005E385F">
              <w:rPr>
                <w:rFonts w:ascii="Verdana" w:hAnsi="Verdana"/>
                <w:sz w:val="20"/>
              </w:rPr>
              <w:fldChar w:fldCharType="end"/>
            </w:r>
            <w:r w:rsidRPr="005E385F">
              <w:rPr>
                <w:rFonts w:ascii="Verdana" w:hAnsi="Verdana" w:cs="Verdana"/>
                <w:bCs/>
                <w:sz w:val="20"/>
              </w:rPr>
              <w:t xml:space="preserve"> associated with lighting dark fiber</w:t>
            </w:r>
            <w:r w:rsidRPr="005E385F">
              <w:rPr>
                <w:rFonts w:ascii="Verdana" w:hAnsi="Verdana"/>
                <w:sz w:val="20"/>
              </w:rPr>
              <w:fldChar w:fldCharType="begin"/>
            </w:r>
            <w:r w:rsidRPr="005E385F">
              <w:rPr>
                <w:rFonts w:ascii="Verdana" w:hAnsi="Verdana"/>
                <w:sz w:val="20"/>
              </w:rPr>
              <w:instrText>xe "</w:instrText>
            </w:r>
            <w:r w:rsidRPr="005E385F">
              <w:rPr>
                <w:rFonts w:ascii="Verdana" w:hAnsi="Verdana" w:cs="Verdana"/>
                <w:bCs/>
                <w:sz w:val="20"/>
              </w:rPr>
              <w:instrText>Dark Fiber</w:instrText>
            </w:r>
            <w:r w:rsidRPr="005E385F">
              <w:rPr>
                <w:rFonts w:ascii="Verdana" w:hAnsi="Verdana"/>
                <w:sz w:val="20"/>
              </w:rPr>
              <w:instrText>"</w:instrText>
            </w:r>
            <w:r w:rsidRPr="005E385F">
              <w:rPr>
                <w:rFonts w:ascii="Verdana" w:hAnsi="Verdana"/>
                <w:sz w:val="20"/>
              </w:rPr>
              <w:fldChar w:fldCharType="end"/>
            </w:r>
            <w:r w:rsidRPr="005E385F">
              <w:rPr>
                <w:rFonts w:ascii="Verdana" w:hAnsi="Verdana" w:cs="Verdana"/>
                <w:bCs/>
                <w:sz w:val="20"/>
              </w:rPr>
              <w:t xml:space="preserve"> is NOT eligible as Priority One telecommunications but if it is on premises, it may be eligible under the priority two internal connections category if it meets the definition of internal connections.</w:t>
            </w:r>
            <w:r w:rsidRPr="005E385F">
              <w:rPr>
                <w:rFonts w:ascii="Verdana" w:hAnsi="Verdana" w:cs="Verdana"/>
                <w:b/>
                <w:bCs/>
                <w:sz w:val="20"/>
              </w:rPr>
              <w:t xml:space="preserve">  </w:t>
            </w:r>
            <w:r w:rsidRPr="005E385F">
              <w:rPr>
                <w:rFonts w:ascii="Verdana" w:hAnsi="Verdana" w:cs="Verdana"/>
                <w:bCs/>
                <w:sz w:val="20"/>
              </w:rPr>
              <w:t xml:space="preserve">Modulating electronics on applicant-leased dark fiber that is leaving the school premises is NOT eligible.  </w:t>
            </w:r>
          </w:p>
          <w:p w14:paraId="31CF1094" w14:textId="77777777" w:rsidR="00F935B1" w:rsidRPr="005E385F" w:rsidRDefault="00F935B1" w:rsidP="0083602C">
            <w:pPr>
              <w:pStyle w:val="NormalWeb"/>
              <w:spacing w:before="0" w:beforeAutospacing="0" w:after="0"/>
              <w:rPr>
                <w:rFonts w:ascii="Verdana" w:hAnsi="Verdana"/>
                <w:sz w:val="20"/>
              </w:rPr>
            </w:pPr>
            <w:r w:rsidRPr="005E385F">
              <w:rPr>
                <w:rFonts w:ascii="Verdana" w:hAnsi="Verdana" w:cs="Verdana"/>
                <w:bCs/>
                <w:sz w:val="20"/>
              </w:rPr>
              <w:t>-</w:t>
            </w:r>
            <w:r w:rsidRPr="005E385F">
              <w:rPr>
                <w:rFonts w:ascii="Verdana" w:hAnsi="Verdana" w:cs="Verdana"/>
                <w:bCs/>
                <w:i/>
                <w:sz w:val="20"/>
                <w:u w:val="single"/>
              </w:rPr>
              <w:t>Dark Fiber Warehousing.</w:t>
            </w:r>
            <w:r w:rsidRPr="005E385F">
              <w:rPr>
                <w:rFonts w:ascii="Verdana" w:hAnsi="Verdana" w:cs="Verdana"/>
                <w:bCs/>
                <w:sz w:val="20"/>
              </w:rPr>
              <w:t xml:space="preserve">  A</w:t>
            </w:r>
            <w:r w:rsidRPr="005E385F">
              <w:rPr>
                <w:rFonts w:ascii="Verdana" w:hAnsi="Verdana"/>
                <w:sz w:val="20"/>
              </w:rPr>
              <w:t>pplicants are also not permitted to use E-rate discounts to acquire unneeded capacity or warehouse dark fiber</w:t>
            </w:r>
            <w:r w:rsidRPr="005E385F">
              <w:rPr>
                <w:rFonts w:ascii="Verdana" w:hAnsi="Verdana"/>
                <w:sz w:val="20"/>
              </w:rPr>
              <w:fldChar w:fldCharType="begin"/>
            </w:r>
            <w:r w:rsidRPr="005E385F">
              <w:rPr>
                <w:rFonts w:ascii="Verdana" w:hAnsi="Verdana"/>
                <w:sz w:val="20"/>
              </w:rPr>
              <w:instrText>xe "Fiber"</w:instrText>
            </w:r>
            <w:r w:rsidRPr="005E385F">
              <w:rPr>
                <w:rFonts w:ascii="Verdana" w:hAnsi="Verdana"/>
                <w:sz w:val="20"/>
              </w:rPr>
              <w:fldChar w:fldCharType="end"/>
            </w:r>
            <w:r w:rsidRPr="005E385F">
              <w:rPr>
                <w:rFonts w:ascii="Verdana" w:hAnsi="Verdana"/>
                <w:sz w:val="20"/>
              </w:rPr>
              <w:t xml:space="preserve"> for future use.</w:t>
            </w:r>
          </w:p>
          <w:p w14:paraId="6FBBBCA1" w14:textId="77777777" w:rsidR="00F935B1" w:rsidRPr="005E385F" w:rsidRDefault="00F935B1" w:rsidP="0083602C">
            <w:pPr>
              <w:pStyle w:val="NormalWeb"/>
              <w:spacing w:before="0" w:beforeAutospacing="0" w:after="0"/>
              <w:rPr>
                <w:rFonts w:ascii="Verdana" w:hAnsi="Verdana"/>
                <w:sz w:val="20"/>
              </w:rPr>
            </w:pPr>
            <w:r w:rsidRPr="005E385F">
              <w:rPr>
                <w:rFonts w:ascii="Verdana" w:hAnsi="Verdana"/>
                <w:sz w:val="20"/>
              </w:rPr>
              <w:t xml:space="preserve">-The </w:t>
            </w:r>
            <w:r w:rsidRPr="005E385F">
              <w:rPr>
                <w:rFonts w:ascii="Verdana" w:hAnsi="Verdana"/>
                <w:i/>
                <w:sz w:val="20"/>
                <w:u w:val="single"/>
              </w:rPr>
              <w:t>non-telecommunications components</w:t>
            </w:r>
            <w:r w:rsidRPr="005E385F">
              <w:rPr>
                <w:rFonts w:ascii="Verdana" w:hAnsi="Verdana"/>
                <w:sz w:val="20"/>
              </w:rPr>
              <w:fldChar w:fldCharType="begin"/>
            </w:r>
            <w:r w:rsidRPr="005E385F">
              <w:rPr>
                <w:rFonts w:ascii="Verdana" w:hAnsi="Verdana"/>
                <w:sz w:val="20"/>
              </w:rPr>
              <w:instrText>xe "C</w:instrText>
            </w:r>
            <w:r w:rsidRPr="005E385F">
              <w:rPr>
                <w:rFonts w:ascii="Verdana" w:hAnsi="Verdana"/>
                <w:bCs/>
                <w:sz w:val="20"/>
              </w:rPr>
              <w:instrText>omponents</w:instrText>
            </w:r>
            <w:r w:rsidRPr="005E385F">
              <w:rPr>
                <w:rFonts w:ascii="Verdana" w:hAnsi="Verdana"/>
                <w:sz w:val="20"/>
              </w:rPr>
              <w:instrText>"</w:instrText>
            </w:r>
            <w:r w:rsidRPr="005E385F">
              <w:rPr>
                <w:rFonts w:ascii="Verdana" w:hAnsi="Verdana"/>
                <w:sz w:val="20"/>
              </w:rPr>
              <w:fldChar w:fldCharType="end"/>
            </w:r>
            <w:r w:rsidRPr="005E385F">
              <w:rPr>
                <w:rFonts w:ascii="Verdana" w:hAnsi="Verdana"/>
                <w:sz w:val="20"/>
              </w:rPr>
              <w:t xml:space="preserve"> of a distance learning</w:t>
            </w:r>
            <w:r w:rsidRPr="005E385F">
              <w:rPr>
                <w:rFonts w:ascii="Verdana" w:hAnsi="Verdana"/>
                <w:sz w:val="20"/>
              </w:rPr>
              <w:fldChar w:fldCharType="begin"/>
            </w:r>
            <w:r w:rsidRPr="005E385F">
              <w:rPr>
                <w:rFonts w:ascii="Verdana" w:hAnsi="Verdana"/>
                <w:sz w:val="20"/>
              </w:rPr>
              <w:instrText>xe "</w:instrText>
            </w:r>
            <w:r w:rsidRPr="005E385F">
              <w:rPr>
                <w:rFonts w:ascii="Verdana" w:hAnsi="Verdana"/>
                <w:bCs/>
                <w:sz w:val="20"/>
              </w:rPr>
              <w:instrText>Distance Learning</w:instrText>
            </w:r>
            <w:r w:rsidRPr="005E385F">
              <w:rPr>
                <w:rFonts w:ascii="Verdana" w:hAnsi="Verdana"/>
                <w:sz w:val="20"/>
              </w:rPr>
              <w:instrText>"</w:instrText>
            </w:r>
            <w:r w:rsidRPr="005E385F">
              <w:rPr>
                <w:rFonts w:ascii="Verdana" w:hAnsi="Verdana"/>
                <w:sz w:val="20"/>
              </w:rPr>
              <w:fldChar w:fldCharType="end"/>
            </w:r>
            <w:r w:rsidRPr="005E385F">
              <w:rPr>
                <w:rFonts w:ascii="Verdana" w:hAnsi="Verdana"/>
                <w:sz w:val="20"/>
              </w:rPr>
              <w:t xml:space="preserve"> service, video service, or interactive television service, such as a scheduling</w:t>
            </w:r>
            <w:r w:rsidRPr="005E385F">
              <w:rPr>
                <w:rFonts w:ascii="Verdana" w:hAnsi="Verdana"/>
                <w:sz w:val="20"/>
              </w:rPr>
              <w:fldChar w:fldCharType="begin"/>
            </w:r>
            <w:r w:rsidRPr="005E385F">
              <w:rPr>
                <w:rFonts w:ascii="Verdana" w:hAnsi="Verdana"/>
                <w:sz w:val="20"/>
              </w:rPr>
              <w:instrText>xe "Scheduling Service"</w:instrText>
            </w:r>
            <w:r w:rsidRPr="005E385F">
              <w:rPr>
                <w:rFonts w:ascii="Verdana" w:hAnsi="Verdana"/>
                <w:sz w:val="20"/>
              </w:rPr>
              <w:fldChar w:fldCharType="end"/>
            </w:r>
            <w:r w:rsidRPr="005E385F">
              <w:rPr>
                <w:rFonts w:ascii="Verdana" w:hAnsi="Verdana"/>
                <w:sz w:val="20"/>
              </w:rPr>
              <w:t xml:space="preserve"> service or services for creation, maintenance</w:t>
            </w:r>
            <w:r w:rsidRPr="005E385F">
              <w:rPr>
                <w:rFonts w:ascii="Verdana" w:hAnsi="Verdana"/>
                <w:sz w:val="20"/>
              </w:rPr>
              <w:fldChar w:fldCharType="begin"/>
            </w:r>
            <w:r w:rsidRPr="005E385F">
              <w:rPr>
                <w:rFonts w:ascii="Verdana" w:hAnsi="Verdana"/>
                <w:sz w:val="20"/>
              </w:rPr>
              <w:instrText>xe "Maintenance"</w:instrText>
            </w:r>
            <w:r w:rsidRPr="005E385F">
              <w:rPr>
                <w:rFonts w:ascii="Verdana" w:hAnsi="Verdana"/>
                <w:sz w:val="20"/>
              </w:rPr>
              <w:fldChar w:fldCharType="end"/>
            </w:r>
            <w:r w:rsidRPr="005E385F">
              <w:rPr>
                <w:rFonts w:ascii="Verdana" w:hAnsi="Verdana"/>
                <w:sz w:val="20"/>
              </w:rPr>
              <w:t>, and storage</w:t>
            </w:r>
            <w:r w:rsidRPr="005E385F">
              <w:rPr>
                <w:rFonts w:ascii="Verdana" w:hAnsi="Verdana"/>
                <w:sz w:val="20"/>
              </w:rPr>
              <w:fldChar w:fldCharType="begin"/>
            </w:r>
            <w:r w:rsidRPr="005E385F">
              <w:rPr>
                <w:rFonts w:ascii="Verdana" w:hAnsi="Verdana"/>
                <w:sz w:val="20"/>
              </w:rPr>
              <w:instrText>xe "Storage"</w:instrText>
            </w:r>
            <w:r w:rsidRPr="005E385F">
              <w:rPr>
                <w:rFonts w:ascii="Verdana" w:hAnsi="Verdana"/>
                <w:sz w:val="20"/>
              </w:rPr>
              <w:fldChar w:fldCharType="end"/>
            </w:r>
            <w:r w:rsidRPr="005E385F">
              <w:rPr>
                <w:rFonts w:ascii="Verdana" w:hAnsi="Verdana"/>
                <w:sz w:val="20"/>
              </w:rPr>
              <w:t xml:space="preserve"> of content are not eligible.</w:t>
            </w:r>
          </w:p>
          <w:p w14:paraId="1040558A" w14:textId="77777777" w:rsidR="00F935B1" w:rsidRPr="005E385F" w:rsidRDefault="00F935B1" w:rsidP="0083602C">
            <w:pPr>
              <w:pStyle w:val="NormalWeb"/>
              <w:spacing w:before="0" w:beforeAutospacing="0" w:after="0"/>
              <w:rPr>
                <w:rFonts w:ascii="Verdana" w:hAnsi="Verdana"/>
                <w:sz w:val="20"/>
              </w:rPr>
            </w:pPr>
            <w:r w:rsidRPr="005E385F">
              <w:rPr>
                <w:rFonts w:ascii="Verdana" w:hAnsi="Verdana"/>
                <w:sz w:val="20"/>
              </w:rPr>
              <w:t>-Services that provide voice, video</w:t>
            </w:r>
            <w:r w:rsidRPr="005E385F">
              <w:rPr>
                <w:rFonts w:ascii="Verdana" w:hAnsi="Verdana"/>
                <w:sz w:val="20"/>
              </w:rPr>
              <w:fldChar w:fldCharType="begin"/>
            </w:r>
            <w:r w:rsidRPr="005E385F">
              <w:rPr>
                <w:rFonts w:ascii="Verdana" w:hAnsi="Verdana"/>
                <w:sz w:val="20"/>
              </w:rPr>
              <w:instrText>xe "V</w:instrText>
            </w:r>
            <w:r w:rsidRPr="005E385F">
              <w:rPr>
                <w:rFonts w:ascii="Verdana" w:hAnsi="Verdana"/>
                <w:bCs/>
                <w:sz w:val="20"/>
              </w:rPr>
              <w:instrText>ideo</w:instrText>
            </w:r>
            <w:r w:rsidRPr="005E385F">
              <w:rPr>
                <w:rFonts w:ascii="Verdana" w:hAnsi="Verdana"/>
                <w:sz w:val="20"/>
              </w:rPr>
              <w:instrText>"</w:instrText>
            </w:r>
            <w:r w:rsidRPr="005E385F">
              <w:rPr>
                <w:rFonts w:ascii="Verdana" w:hAnsi="Verdana"/>
                <w:sz w:val="20"/>
              </w:rPr>
              <w:fldChar w:fldCharType="end"/>
            </w:r>
            <w:r w:rsidRPr="005E385F">
              <w:rPr>
                <w:rFonts w:ascii="Verdana" w:hAnsi="Verdana"/>
                <w:sz w:val="20"/>
              </w:rPr>
              <w:t xml:space="preserve">, or data connectivity exclusively within school or library grounds are not eligible for Priority One funding but may be eligible as </w:t>
            </w:r>
            <w:hyperlink w:anchor="xxInternalConnections" w:history="1">
              <w:r w:rsidRPr="005E385F">
                <w:rPr>
                  <w:rStyle w:val="Hyperlink"/>
                  <w:rFonts w:ascii="Verdana" w:hAnsi="Verdana"/>
                  <w:sz w:val="20"/>
                </w:rPr>
                <w:t>Internal Connections</w:t>
              </w:r>
            </w:hyperlink>
            <w:r w:rsidRPr="005E385F">
              <w:rPr>
                <w:rFonts w:ascii="Verdana" w:hAnsi="Verdana"/>
                <w:sz w:val="20"/>
              </w:rPr>
              <w:fldChar w:fldCharType="begin"/>
            </w:r>
            <w:r w:rsidRPr="005E385F">
              <w:rPr>
                <w:rFonts w:ascii="Verdana" w:hAnsi="Verdana"/>
                <w:sz w:val="20"/>
              </w:rPr>
              <w:instrText>xe "</w:instrText>
            </w:r>
            <w:r w:rsidRPr="005E385F">
              <w:rPr>
                <w:rStyle w:val="Hyperlink"/>
                <w:rFonts w:ascii="Verdana" w:hAnsi="Verdana"/>
                <w:sz w:val="20"/>
              </w:rPr>
              <w:instrText>Internal Connections</w:instrText>
            </w:r>
            <w:r w:rsidRPr="005E385F">
              <w:rPr>
                <w:rFonts w:ascii="Verdana" w:hAnsi="Verdana"/>
                <w:sz w:val="20"/>
              </w:rPr>
              <w:instrText>"</w:instrText>
            </w:r>
            <w:r w:rsidRPr="005E385F">
              <w:rPr>
                <w:rFonts w:ascii="Verdana" w:hAnsi="Verdana"/>
                <w:sz w:val="20"/>
              </w:rPr>
              <w:fldChar w:fldCharType="end"/>
            </w:r>
          </w:p>
          <w:p w14:paraId="0F1E5BF0" w14:textId="77777777" w:rsidR="00F935B1" w:rsidRPr="005E385F" w:rsidRDefault="00F935B1" w:rsidP="0083602C">
            <w:pPr>
              <w:pStyle w:val="NormalWeb"/>
              <w:spacing w:before="0" w:beforeAutospacing="0" w:after="0"/>
              <w:rPr>
                <w:rFonts w:ascii="Verdana" w:hAnsi="Verdana"/>
                <w:bCs/>
                <w:sz w:val="20"/>
              </w:rPr>
            </w:pPr>
            <w:r w:rsidRPr="005E385F">
              <w:rPr>
                <w:rFonts w:ascii="Verdana" w:hAnsi="Verdana"/>
                <w:sz w:val="20"/>
              </w:rPr>
              <w:t>-</w:t>
            </w:r>
            <w:r w:rsidRPr="005E385F">
              <w:rPr>
                <w:rFonts w:ascii="Verdana" w:hAnsi="Verdana"/>
                <w:bCs/>
                <w:sz w:val="20"/>
              </w:rPr>
              <w:t xml:space="preserve"> Services to ineligible locations are not eligible.</w:t>
            </w:r>
          </w:p>
          <w:p w14:paraId="1AB9C0A2" w14:textId="77777777" w:rsidR="00F935B1" w:rsidRPr="005E385F" w:rsidRDefault="00F935B1" w:rsidP="0083602C">
            <w:pPr>
              <w:pStyle w:val="NormalWeb"/>
              <w:spacing w:before="0" w:beforeAutospacing="0" w:after="0"/>
              <w:rPr>
                <w:rFonts w:ascii="Verdana" w:hAnsi="Verdana"/>
                <w:bCs/>
                <w:sz w:val="20"/>
              </w:rPr>
            </w:pPr>
            <w:r w:rsidRPr="005E385F">
              <w:rPr>
                <w:rFonts w:ascii="Verdana" w:hAnsi="Verdana"/>
                <w:bCs/>
                <w:sz w:val="20"/>
              </w:rPr>
              <w:t>-</w:t>
            </w:r>
            <w:r w:rsidRPr="005E385F">
              <w:rPr>
                <w:rFonts w:ascii="Verdana" w:hAnsi="Verdana"/>
                <w:sz w:val="20"/>
              </w:rPr>
              <w:t xml:space="preserve"> Applications (including GPS</w:t>
            </w:r>
            <w:r w:rsidRPr="005E385F">
              <w:rPr>
                <w:rFonts w:ascii="Verdana" w:hAnsi="Verdana"/>
                <w:sz w:val="20"/>
              </w:rPr>
              <w:fldChar w:fldCharType="begin"/>
            </w:r>
            <w:r w:rsidRPr="005E385F">
              <w:rPr>
                <w:rFonts w:ascii="Verdana" w:hAnsi="Verdana"/>
                <w:sz w:val="20"/>
              </w:rPr>
              <w:instrText>xe "GPS"</w:instrText>
            </w:r>
            <w:r w:rsidRPr="005E385F">
              <w:rPr>
                <w:rFonts w:ascii="Verdana" w:hAnsi="Verdana"/>
                <w:sz w:val="20"/>
              </w:rPr>
              <w:fldChar w:fldCharType="end"/>
            </w:r>
            <w:r w:rsidRPr="005E385F">
              <w:rPr>
                <w:rFonts w:ascii="Verdana" w:hAnsi="Verdana"/>
                <w:sz w:val="20"/>
              </w:rPr>
              <w:t>) for wireless devices</w:t>
            </w:r>
            <w:r w:rsidRPr="005E385F">
              <w:rPr>
                <w:rFonts w:ascii="Verdana" w:hAnsi="Verdana"/>
                <w:sz w:val="20"/>
              </w:rPr>
              <w:fldChar w:fldCharType="begin"/>
            </w:r>
            <w:r w:rsidRPr="005E385F">
              <w:rPr>
                <w:rFonts w:ascii="Verdana" w:hAnsi="Verdana"/>
                <w:sz w:val="20"/>
              </w:rPr>
              <w:instrText>xe "Wireless Devices"</w:instrText>
            </w:r>
            <w:r w:rsidRPr="005E385F">
              <w:rPr>
                <w:rFonts w:ascii="Verdana" w:hAnsi="Verdana"/>
                <w:sz w:val="20"/>
              </w:rPr>
              <w:fldChar w:fldCharType="end"/>
            </w:r>
            <w:r w:rsidRPr="005E385F">
              <w:rPr>
                <w:rFonts w:ascii="Verdana" w:hAnsi="Verdana"/>
                <w:sz w:val="20"/>
              </w:rPr>
              <w:t xml:space="preserve"> are not eligible for discount.  Charges for services used solely for the provision of these applications are not eligible.</w:t>
            </w:r>
          </w:p>
          <w:p w14:paraId="631FD467" w14:textId="77777777" w:rsidR="00F935B1" w:rsidRPr="005E385F" w:rsidRDefault="00F935B1" w:rsidP="0083602C">
            <w:pPr>
              <w:pStyle w:val="NormalWeb"/>
              <w:spacing w:before="0" w:beforeAutospacing="0" w:after="0"/>
              <w:rPr>
                <w:rFonts w:ascii="Verdana" w:hAnsi="Verdana"/>
                <w:sz w:val="20"/>
              </w:rPr>
            </w:pPr>
          </w:p>
          <w:p w14:paraId="57244D2E" w14:textId="77777777" w:rsidR="00F935B1" w:rsidRPr="005E385F" w:rsidRDefault="00F935B1" w:rsidP="0083602C">
            <w:pPr>
              <w:pStyle w:val="NormalWeb"/>
              <w:spacing w:before="0" w:beforeAutospacing="0" w:after="0"/>
              <w:rPr>
                <w:rFonts w:ascii="Verdana" w:hAnsi="Verdana"/>
                <w:i/>
                <w:sz w:val="20"/>
                <w:u w:val="single"/>
              </w:rPr>
            </w:pPr>
            <w:r w:rsidRPr="005E385F">
              <w:rPr>
                <w:rFonts w:ascii="Verdana" w:hAnsi="Verdana"/>
                <w:sz w:val="20"/>
              </w:rPr>
              <w:t>-</w:t>
            </w:r>
            <w:r w:rsidRPr="005E385F">
              <w:rPr>
                <w:rFonts w:ascii="Verdana" w:hAnsi="Verdana"/>
                <w:i/>
                <w:sz w:val="20"/>
              </w:rPr>
              <w:t>Ineligible c</w:t>
            </w:r>
            <w:r w:rsidRPr="005E385F">
              <w:rPr>
                <w:rFonts w:ascii="Verdana" w:hAnsi="Verdana"/>
                <w:i/>
                <w:sz w:val="20"/>
                <w:u w:val="single"/>
              </w:rPr>
              <w:t>harges related to telephone service.</w:t>
            </w:r>
          </w:p>
          <w:p w14:paraId="26B1CEC8" w14:textId="77777777" w:rsidR="00F935B1" w:rsidRPr="005E385F" w:rsidRDefault="00F935B1" w:rsidP="0083602C">
            <w:pPr>
              <w:pStyle w:val="NormalWeb"/>
              <w:spacing w:before="0" w:beforeAutospacing="0" w:after="0"/>
              <w:rPr>
                <w:rFonts w:ascii="Verdana" w:hAnsi="Verdana"/>
                <w:bCs/>
                <w:sz w:val="20"/>
              </w:rPr>
            </w:pPr>
          </w:p>
          <w:p w14:paraId="0E5685CF" w14:textId="77777777" w:rsidR="00F935B1" w:rsidRPr="005E385F" w:rsidRDefault="00F935B1" w:rsidP="00F935B1">
            <w:pPr>
              <w:pStyle w:val="NormalWeb"/>
              <w:numPr>
                <w:ilvl w:val="0"/>
                <w:numId w:val="10"/>
              </w:numPr>
              <w:spacing w:before="0" w:beforeAutospacing="0" w:after="0"/>
              <w:rPr>
                <w:rFonts w:ascii="Verdana" w:hAnsi="Verdana"/>
                <w:bCs/>
                <w:sz w:val="20"/>
              </w:rPr>
            </w:pPr>
            <w:r w:rsidRPr="005E385F">
              <w:rPr>
                <w:rFonts w:ascii="Verdana" w:hAnsi="Verdana"/>
                <w:sz w:val="20"/>
              </w:rPr>
              <w:t>End-user equipment</w:t>
            </w:r>
          </w:p>
          <w:p w14:paraId="2857FDB0" w14:textId="1386277C" w:rsidR="00F935B1" w:rsidRPr="005E385F" w:rsidRDefault="00A0395D" w:rsidP="00F935B1">
            <w:pPr>
              <w:pStyle w:val="NormalWeb"/>
              <w:numPr>
                <w:ilvl w:val="0"/>
                <w:numId w:val="10"/>
              </w:numPr>
              <w:spacing w:before="0" w:beforeAutospacing="0" w:after="0"/>
              <w:rPr>
                <w:rFonts w:ascii="Verdana" w:hAnsi="Verdana"/>
                <w:bCs/>
                <w:sz w:val="20"/>
              </w:rPr>
            </w:pPr>
            <w:hyperlink r:id="rId30" w:anchor="Telecom900976Charges" w:history="1">
              <w:r w:rsidR="00F935B1" w:rsidRPr="005E385F">
                <w:rPr>
                  <w:rStyle w:val="Hyperlink"/>
                  <w:rFonts w:ascii="Verdana" w:hAnsi="Verdana"/>
                  <w:bCs/>
                  <w:sz w:val="20"/>
                </w:rPr>
                <w:t>900</w:t>
              </w:r>
              <w:r w:rsidR="00F935B1" w:rsidRPr="005E385F">
                <w:rPr>
                  <w:rFonts w:ascii="Verdana" w:hAnsi="Verdana"/>
                  <w:sz w:val="20"/>
                </w:rPr>
                <w:fldChar w:fldCharType="begin"/>
              </w:r>
              <w:r w:rsidR="00F935B1" w:rsidRPr="005E385F">
                <w:rPr>
                  <w:rFonts w:ascii="Verdana" w:hAnsi="Verdana"/>
                  <w:sz w:val="20"/>
                </w:rPr>
                <w:instrText>xe "900 Charges"</w:instrText>
              </w:r>
              <w:r w:rsidR="00F935B1" w:rsidRPr="005E385F">
                <w:rPr>
                  <w:rFonts w:ascii="Verdana" w:hAnsi="Verdana"/>
                  <w:sz w:val="20"/>
                </w:rPr>
                <w:fldChar w:fldCharType="end"/>
              </w:r>
            </w:hyperlink>
            <w:hyperlink r:id="rId31" w:anchor="Telecom900976Charges" w:history="1">
              <w:r w:rsidR="00F935B1" w:rsidRPr="005E385F">
                <w:rPr>
                  <w:rStyle w:val="Hyperlink"/>
                  <w:rFonts w:ascii="Verdana" w:hAnsi="Verdana"/>
                  <w:sz w:val="20"/>
                </w:rPr>
                <w:t>\976 service</w:t>
              </w:r>
              <w:r w:rsidR="00F935B1" w:rsidRPr="005E385F">
                <w:rPr>
                  <w:rFonts w:ascii="Verdana" w:hAnsi="Verdana"/>
                  <w:sz w:val="20"/>
                </w:rPr>
                <w:fldChar w:fldCharType="begin"/>
              </w:r>
              <w:r w:rsidR="00F935B1" w:rsidRPr="005E385F">
                <w:rPr>
                  <w:rFonts w:ascii="Verdana" w:hAnsi="Verdana"/>
                  <w:sz w:val="20"/>
                </w:rPr>
                <w:instrText>xe "</w:instrText>
              </w:r>
              <w:r w:rsidR="00F935B1" w:rsidRPr="005E385F">
                <w:rPr>
                  <w:rStyle w:val="Hyperlink"/>
                  <w:rFonts w:ascii="Verdana" w:hAnsi="Verdana"/>
                  <w:sz w:val="20"/>
                </w:rPr>
                <w:instrText>976 Charges</w:instrText>
              </w:r>
              <w:r w:rsidR="00F935B1" w:rsidRPr="005E385F">
                <w:rPr>
                  <w:rFonts w:ascii="Verdana" w:hAnsi="Verdana"/>
                  <w:sz w:val="20"/>
                </w:rPr>
                <w:instrText>"</w:instrText>
              </w:r>
              <w:r w:rsidR="00F935B1" w:rsidRPr="005E385F">
                <w:rPr>
                  <w:rFonts w:ascii="Verdana" w:hAnsi="Verdana"/>
                  <w:sz w:val="20"/>
                </w:rPr>
                <w:fldChar w:fldCharType="end"/>
              </w:r>
            </w:hyperlink>
          </w:p>
          <w:p w14:paraId="52AC1836" w14:textId="77777777" w:rsidR="00F935B1" w:rsidRPr="005E385F" w:rsidRDefault="00A0395D" w:rsidP="00F935B1">
            <w:pPr>
              <w:pStyle w:val="NormalWeb"/>
              <w:numPr>
                <w:ilvl w:val="0"/>
                <w:numId w:val="10"/>
              </w:numPr>
              <w:spacing w:before="0" w:beforeAutospacing="0" w:after="0"/>
              <w:rPr>
                <w:rFonts w:ascii="Verdana" w:hAnsi="Verdana"/>
                <w:bCs/>
                <w:sz w:val="20"/>
              </w:rPr>
            </w:pPr>
            <w:hyperlink w:anchor="BroadcastMessaging" w:history="1">
              <w:r w:rsidR="00F935B1" w:rsidRPr="005E385F">
                <w:rPr>
                  <w:rStyle w:val="Hyperlink"/>
                  <w:rFonts w:ascii="Verdana" w:hAnsi="Verdana"/>
                  <w:sz w:val="20"/>
                </w:rPr>
                <w:t>Broadcast “Blast” Messaging</w:t>
              </w:r>
              <w:r w:rsidR="00F935B1" w:rsidRPr="005E385F">
                <w:rPr>
                  <w:rFonts w:ascii="Verdana" w:hAnsi="Verdana"/>
                  <w:sz w:val="20"/>
                </w:rPr>
                <w:fldChar w:fldCharType="begin"/>
              </w:r>
              <w:r w:rsidR="00F935B1" w:rsidRPr="005E385F">
                <w:rPr>
                  <w:rFonts w:ascii="Verdana" w:hAnsi="Verdana"/>
                  <w:sz w:val="20"/>
                </w:rPr>
                <w:instrText>xe "</w:instrText>
              </w:r>
              <w:r w:rsidR="00F935B1" w:rsidRPr="005E385F">
                <w:rPr>
                  <w:rStyle w:val="Hyperlink"/>
                  <w:rFonts w:ascii="Verdana" w:hAnsi="Verdana"/>
                  <w:sz w:val="20"/>
                </w:rPr>
                <w:instrText>Broadcast Blast Messaging</w:instrText>
              </w:r>
              <w:r w:rsidR="00F935B1" w:rsidRPr="005E385F">
                <w:rPr>
                  <w:rFonts w:ascii="Verdana" w:hAnsi="Verdana"/>
                  <w:sz w:val="20"/>
                </w:rPr>
                <w:instrText>"</w:instrText>
              </w:r>
              <w:r w:rsidR="00F935B1" w:rsidRPr="005E385F">
                <w:rPr>
                  <w:rFonts w:ascii="Verdana" w:hAnsi="Verdana"/>
                  <w:sz w:val="20"/>
                </w:rPr>
                <w:fldChar w:fldCharType="end"/>
              </w:r>
            </w:hyperlink>
          </w:p>
          <w:p w14:paraId="2F29B033" w14:textId="77777777" w:rsidR="00F935B1" w:rsidRPr="005E385F" w:rsidRDefault="00A0395D" w:rsidP="00F935B1">
            <w:pPr>
              <w:pStyle w:val="NormalWeb"/>
              <w:numPr>
                <w:ilvl w:val="0"/>
                <w:numId w:val="10"/>
              </w:numPr>
              <w:spacing w:before="0" w:beforeAutospacing="0" w:after="0"/>
              <w:rPr>
                <w:rFonts w:ascii="Verdana" w:hAnsi="Verdana"/>
                <w:bCs/>
                <w:sz w:val="20"/>
              </w:rPr>
            </w:pPr>
            <w:hyperlink w:anchor="TelecomDirectBroadcastSatellite" w:history="1">
              <w:r w:rsidR="00F935B1" w:rsidRPr="005E385F">
                <w:rPr>
                  <w:rStyle w:val="Hyperlink"/>
                  <w:rFonts w:ascii="Verdana" w:hAnsi="Verdana"/>
                  <w:bCs/>
                  <w:sz w:val="20"/>
                </w:rPr>
                <w:t>Direct Broadcast</w:t>
              </w:r>
              <w:r w:rsidR="00F935B1" w:rsidRPr="005E385F">
                <w:rPr>
                  <w:rFonts w:ascii="Verdana" w:hAnsi="Verdana"/>
                  <w:sz w:val="20"/>
                </w:rPr>
                <w:fldChar w:fldCharType="begin"/>
              </w:r>
              <w:r w:rsidR="00F935B1" w:rsidRPr="005E385F">
                <w:rPr>
                  <w:rFonts w:ascii="Verdana" w:hAnsi="Verdana"/>
                  <w:sz w:val="20"/>
                </w:rPr>
                <w:instrText>xe "Direct Broadcast Satellite"</w:instrText>
              </w:r>
              <w:r w:rsidR="00F935B1" w:rsidRPr="005E385F">
                <w:rPr>
                  <w:rFonts w:ascii="Verdana" w:hAnsi="Verdana"/>
                  <w:sz w:val="20"/>
                </w:rPr>
                <w:fldChar w:fldCharType="end"/>
              </w:r>
            </w:hyperlink>
            <w:r w:rsidR="00F935B1" w:rsidRPr="005E385F">
              <w:rPr>
                <w:rFonts w:ascii="Verdana" w:hAnsi="Verdana"/>
                <w:bCs/>
                <w:sz w:val="20"/>
              </w:rPr>
              <w:t xml:space="preserve"> and other services that provide broadcast content or cable television</w:t>
            </w:r>
          </w:p>
          <w:p w14:paraId="6D597389" w14:textId="77777777" w:rsidR="00F935B1" w:rsidRPr="005E385F" w:rsidRDefault="00A0395D" w:rsidP="00F935B1">
            <w:pPr>
              <w:pStyle w:val="NormalWeb"/>
              <w:numPr>
                <w:ilvl w:val="0"/>
                <w:numId w:val="10"/>
              </w:numPr>
              <w:spacing w:before="0" w:beforeAutospacing="0" w:after="0"/>
              <w:rPr>
                <w:rFonts w:ascii="Verdana" w:hAnsi="Verdana"/>
                <w:bCs/>
                <w:sz w:val="20"/>
              </w:rPr>
            </w:pPr>
            <w:hyperlink w:anchor="TelecomDirectoryAdvertising" w:history="1">
              <w:r w:rsidR="00F935B1" w:rsidRPr="005E385F">
                <w:rPr>
                  <w:rStyle w:val="Hyperlink"/>
                  <w:rFonts w:ascii="Verdana" w:hAnsi="Verdana"/>
                  <w:bCs/>
                  <w:sz w:val="20"/>
                </w:rPr>
                <w:t>Directory advertising</w:t>
              </w:r>
              <w:r w:rsidR="00F935B1" w:rsidRPr="005E385F">
                <w:rPr>
                  <w:rFonts w:ascii="Verdana" w:hAnsi="Verdana"/>
                  <w:sz w:val="20"/>
                </w:rPr>
                <w:fldChar w:fldCharType="begin"/>
              </w:r>
              <w:r w:rsidR="00F935B1" w:rsidRPr="005E385F">
                <w:rPr>
                  <w:rFonts w:ascii="Verdana" w:hAnsi="Verdana"/>
                  <w:sz w:val="20"/>
                </w:rPr>
                <w:instrText>xe "</w:instrText>
              </w:r>
              <w:r w:rsidR="00F935B1" w:rsidRPr="005E385F">
                <w:rPr>
                  <w:rStyle w:val="Hyperlink"/>
                  <w:rFonts w:ascii="Verdana" w:hAnsi="Verdana"/>
                  <w:bCs/>
                  <w:sz w:val="20"/>
                </w:rPr>
                <w:instrText>Directory Advertising</w:instrText>
              </w:r>
              <w:r w:rsidR="00F935B1" w:rsidRPr="005E385F">
                <w:rPr>
                  <w:rFonts w:ascii="Verdana" w:hAnsi="Verdana"/>
                  <w:sz w:val="20"/>
                </w:rPr>
                <w:instrText>"</w:instrText>
              </w:r>
              <w:r w:rsidR="00F935B1" w:rsidRPr="005E385F">
                <w:rPr>
                  <w:rFonts w:ascii="Verdana" w:hAnsi="Verdana"/>
                  <w:sz w:val="20"/>
                </w:rPr>
                <w:fldChar w:fldCharType="end"/>
              </w:r>
            </w:hyperlink>
          </w:p>
          <w:p w14:paraId="1BB234E6" w14:textId="77777777" w:rsidR="00F935B1" w:rsidRPr="005E385F" w:rsidRDefault="00F935B1" w:rsidP="00F935B1">
            <w:pPr>
              <w:pStyle w:val="NormalWeb"/>
              <w:numPr>
                <w:ilvl w:val="0"/>
                <w:numId w:val="10"/>
              </w:numPr>
              <w:spacing w:before="0" w:beforeAutospacing="0" w:after="0"/>
              <w:rPr>
                <w:rFonts w:ascii="Verdana" w:hAnsi="Verdana"/>
                <w:bCs/>
                <w:sz w:val="20"/>
              </w:rPr>
            </w:pPr>
            <w:r w:rsidRPr="005E385F">
              <w:rPr>
                <w:rFonts w:ascii="Verdana" w:hAnsi="Verdana"/>
                <w:bCs/>
                <w:sz w:val="20"/>
              </w:rPr>
              <w:t>Extra costs for directory listings</w:t>
            </w:r>
            <w:r w:rsidRPr="005E385F">
              <w:rPr>
                <w:rFonts w:ascii="Verdana" w:hAnsi="Verdana"/>
                <w:sz w:val="20"/>
              </w:rPr>
              <w:fldChar w:fldCharType="begin"/>
            </w:r>
            <w:r w:rsidRPr="005E385F">
              <w:rPr>
                <w:rFonts w:ascii="Verdana" w:hAnsi="Verdana"/>
                <w:sz w:val="20"/>
              </w:rPr>
              <w:instrText>xe "D</w:instrText>
            </w:r>
            <w:r w:rsidRPr="005E385F">
              <w:rPr>
                <w:rFonts w:ascii="Verdana" w:hAnsi="Verdana"/>
                <w:bCs/>
                <w:sz w:val="20"/>
              </w:rPr>
              <w:instrText>irectory Listings</w:instrText>
            </w:r>
            <w:r w:rsidRPr="005E385F">
              <w:rPr>
                <w:rFonts w:ascii="Verdana" w:hAnsi="Verdana"/>
                <w:sz w:val="20"/>
              </w:rPr>
              <w:instrText>"</w:instrText>
            </w:r>
            <w:r w:rsidRPr="005E385F">
              <w:rPr>
                <w:rFonts w:ascii="Verdana" w:hAnsi="Verdana"/>
                <w:sz w:val="20"/>
              </w:rPr>
              <w:fldChar w:fldCharType="end"/>
            </w:r>
          </w:p>
          <w:p w14:paraId="1EA42536" w14:textId="77777777" w:rsidR="00F935B1" w:rsidRPr="005E385F" w:rsidRDefault="00A0395D" w:rsidP="00F935B1">
            <w:pPr>
              <w:pStyle w:val="NormalWeb"/>
              <w:numPr>
                <w:ilvl w:val="0"/>
                <w:numId w:val="10"/>
              </w:numPr>
              <w:spacing w:before="0" w:beforeAutospacing="0" w:after="0"/>
              <w:rPr>
                <w:rFonts w:ascii="Verdana" w:hAnsi="Verdana"/>
                <w:bCs/>
                <w:sz w:val="20"/>
              </w:rPr>
            </w:pPr>
            <w:hyperlink w:anchor="TelecomPayphoneTelephoneService" w:history="1">
              <w:r w:rsidR="00F935B1" w:rsidRPr="005E385F">
                <w:rPr>
                  <w:rStyle w:val="Hyperlink"/>
                  <w:rFonts w:ascii="Verdana" w:hAnsi="Verdana"/>
                  <w:bCs/>
                  <w:sz w:val="20"/>
                </w:rPr>
                <w:t>Payphone</w:t>
              </w:r>
              <w:r w:rsidR="00F935B1" w:rsidRPr="005E385F">
                <w:rPr>
                  <w:rFonts w:ascii="Verdana" w:hAnsi="Verdana"/>
                  <w:sz w:val="20"/>
                </w:rPr>
                <w:fldChar w:fldCharType="begin"/>
              </w:r>
              <w:r w:rsidR="00F935B1" w:rsidRPr="005E385F">
                <w:rPr>
                  <w:rFonts w:ascii="Verdana" w:hAnsi="Verdana"/>
                  <w:sz w:val="20"/>
                </w:rPr>
                <w:instrText>xe "Payphone"</w:instrText>
              </w:r>
              <w:r w:rsidR="00F935B1" w:rsidRPr="005E385F">
                <w:rPr>
                  <w:rFonts w:ascii="Verdana" w:hAnsi="Verdana"/>
                  <w:sz w:val="20"/>
                </w:rPr>
                <w:fldChar w:fldCharType="end"/>
              </w:r>
            </w:hyperlink>
          </w:p>
          <w:p w14:paraId="1A34514D" w14:textId="77777777" w:rsidR="00F935B1" w:rsidRPr="005E385F" w:rsidRDefault="00A0395D" w:rsidP="00F935B1">
            <w:pPr>
              <w:pStyle w:val="NormalWeb"/>
              <w:numPr>
                <w:ilvl w:val="0"/>
                <w:numId w:val="10"/>
              </w:numPr>
              <w:spacing w:before="0" w:beforeAutospacing="0" w:after="0"/>
              <w:rPr>
                <w:rFonts w:ascii="Verdana" w:hAnsi="Verdana"/>
                <w:bCs/>
                <w:sz w:val="20"/>
              </w:rPr>
            </w:pPr>
            <w:hyperlink w:anchor="TelecomReverseDirectoryAssistance" w:history="1">
              <w:r w:rsidR="00F935B1" w:rsidRPr="005E385F">
                <w:rPr>
                  <w:rStyle w:val="Hyperlink"/>
                  <w:rFonts w:ascii="Verdana" w:hAnsi="Verdana"/>
                  <w:bCs/>
                  <w:sz w:val="20"/>
                </w:rPr>
                <w:t>Reverse directory assistance</w:t>
              </w:r>
              <w:r w:rsidR="00F935B1" w:rsidRPr="005E385F">
                <w:rPr>
                  <w:rFonts w:ascii="Verdana" w:hAnsi="Verdana"/>
                  <w:sz w:val="20"/>
                </w:rPr>
                <w:fldChar w:fldCharType="begin"/>
              </w:r>
              <w:r w:rsidR="00F935B1" w:rsidRPr="005E385F">
                <w:rPr>
                  <w:rFonts w:ascii="Verdana" w:hAnsi="Verdana"/>
                  <w:sz w:val="20"/>
                </w:rPr>
                <w:instrText>xe "</w:instrText>
              </w:r>
              <w:r w:rsidR="00F935B1" w:rsidRPr="005E385F">
                <w:rPr>
                  <w:rStyle w:val="Hyperlink"/>
                  <w:rFonts w:ascii="Verdana" w:hAnsi="Verdana"/>
                  <w:bCs/>
                  <w:sz w:val="20"/>
                </w:rPr>
                <w:instrText>Reverse Directory Assistance</w:instrText>
              </w:r>
              <w:r w:rsidR="00F935B1" w:rsidRPr="005E385F">
                <w:rPr>
                  <w:rFonts w:ascii="Verdana" w:hAnsi="Verdana"/>
                  <w:sz w:val="20"/>
                </w:rPr>
                <w:instrText>"</w:instrText>
              </w:r>
              <w:r w:rsidR="00F935B1" w:rsidRPr="005E385F">
                <w:rPr>
                  <w:rFonts w:ascii="Verdana" w:hAnsi="Verdana"/>
                  <w:sz w:val="20"/>
                </w:rPr>
                <w:fldChar w:fldCharType="end"/>
              </w:r>
            </w:hyperlink>
          </w:p>
          <w:p w14:paraId="641FB1CA" w14:textId="77777777" w:rsidR="00F935B1" w:rsidRPr="005E385F" w:rsidRDefault="00F935B1" w:rsidP="00F935B1">
            <w:pPr>
              <w:pStyle w:val="NormalWeb"/>
              <w:numPr>
                <w:ilvl w:val="0"/>
                <w:numId w:val="10"/>
              </w:numPr>
              <w:spacing w:before="0" w:beforeAutospacing="0" w:after="0"/>
              <w:rPr>
                <w:rFonts w:ascii="Verdana" w:hAnsi="Verdana"/>
                <w:bCs/>
                <w:sz w:val="20"/>
              </w:rPr>
            </w:pPr>
            <w:r w:rsidRPr="005E385F">
              <w:rPr>
                <w:rFonts w:ascii="Verdana" w:hAnsi="Verdana"/>
                <w:bCs/>
                <w:sz w:val="20"/>
              </w:rPr>
              <w:t>Charges for creation</w:t>
            </w:r>
            <w:r w:rsidRPr="005E385F">
              <w:rPr>
                <w:rFonts w:ascii="Verdana" w:hAnsi="Verdana"/>
                <w:sz w:val="20"/>
              </w:rPr>
              <w:fldChar w:fldCharType="begin"/>
            </w:r>
            <w:r w:rsidRPr="005E385F">
              <w:rPr>
                <w:rFonts w:ascii="Verdana" w:hAnsi="Verdana"/>
                <w:sz w:val="20"/>
              </w:rPr>
              <w:instrText>xe "Creation Configuration"</w:instrText>
            </w:r>
            <w:r w:rsidRPr="005E385F">
              <w:rPr>
                <w:rFonts w:ascii="Verdana" w:hAnsi="Verdana"/>
                <w:sz w:val="20"/>
              </w:rPr>
              <w:fldChar w:fldCharType="end"/>
            </w:r>
            <w:r w:rsidRPr="005E385F">
              <w:rPr>
                <w:rFonts w:ascii="Verdana" w:hAnsi="Verdana"/>
                <w:bCs/>
                <w:sz w:val="20"/>
              </w:rPr>
              <w:t>, configuration</w:t>
            </w:r>
            <w:r w:rsidRPr="005E385F">
              <w:rPr>
                <w:rFonts w:ascii="Verdana" w:hAnsi="Verdana"/>
                <w:sz w:val="20"/>
              </w:rPr>
              <w:fldChar w:fldCharType="begin"/>
            </w:r>
            <w:r w:rsidRPr="005E385F">
              <w:rPr>
                <w:rFonts w:ascii="Verdana" w:hAnsi="Verdana"/>
                <w:sz w:val="20"/>
              </w:rPr>
              <w:instrText>xe "</w:instrText>
            </w:r>
            <w:r w:rsidRPr="005E385F">
              <w:rPr>
                <w:rFonts w:ascii="Verdana" w:hAnsi="Verdana"/>
                <w:bCs/>
                <w:sz w:val="20"/>
              </w:rPr>
              <w:instrText>Configuration</w:instrText>
            </w:r>
            <w:r w:rsidRPr="005E385F">
              <w:rPr>
                <w:rFonts w:ascii="Verdana" w:hAnsi="Verdana"/>
                <w:sz w:val="20"/>
              </w:rPr>
              <w:instrText>"</w:instrText>
            </w:r>
            <w:r w:rsidRPr="005E385F">
              <w:rPr>
                <w:rFonts w:ascii="Verdana" w:hAnsi="Verdana"/>
                <w:sz w:val="20"/>
              </w:rPr>
              <w:fldChar w:fldCharType="end"/>
            </w:r>
            <w:r w:rsidRPr="005E385F">
              <w:rPr>
                <w:rFonts w:ascii="Verdana" w:hAnsi="Verdana"/>
                <w:bCs/>
                <w:sz w:val="20"/>
              </w:rPr>
              <w:t>, or maintenance</w:t>
            </w:r>
            <w:r w:rsidRPr="005E385F">
              <w:rPr>
                <w:rFonts w:ascii="Verdana" w:hAnsi="Verdana"/>
                <w:sz w:val="20"/>
              </w:rPr>
              <w:fldChar w:fldCharType="begin"/>
            </w:r>
            <w:r w:rsidRPr="005E385F">
              <w:rPr>
                <w:rFonts w:ascii="Verdana" w:hAnsi="Verdana"/>
                <w:sz w:val="20"/>
              </w:rPr>
              <w:instrText>xe "Maintenance"</w:instrText>
            </w:r>
            <w:r w:rsidRPr="005E385F">
              <w:rPr>
                <w:rFonts w:ascii="Verdana" w:hAnsi="Verdana"/>
                <w:sz w:val="20"/>
              </w:rPr>
              <w:fldChar w:fldCharType="end"/>
            </w:r>
            <w:r w:rsidRPr="005E385F">
              <w:rPr>
                <w:rFonts w:ascii="Verdana" w:hAnsi="Verdana"/>
                <w:bCs/>
                <w:sz w:val="20"/>
              </w:rPr>
              <w:t xml:space="preserve"> of content</w:t>
            </w:r>
            <w:r w:rsidRPr="005E385F">
              <w:rPr>
                <w:rFonts w:ascii="Verdana" w:hAnsi="Verdana"/>
                <w:sz w:val="20"/>
              </w:rPr>
              <w:fldChar w:fldCharType="begin"/>
            </w:r>
            <w:r w:rsidRPr="005E385F">
              <w:rPr>
                <w:rFonts w:ascii="Verdana" w:hAnsi="Verdana"/>
                <w:sz w:val="20"/>
              </w:rPr>
              <w:instrText>xe "Content"</w:instrText>
            </w:r>
            <w:r w:rsidRPr="005E385F">
              <w:rPr>
                <w:rFonts w:ascii="Verdana" w:hAnsi="Verdana"/>
                <w:sz w:val="20"/>
              </w:rPr>
              <w:fldChar w:fldCharType="end"/>
            </w:r>
            <w:r w:rsidRPr="005E385F">
              <w:rPr>
                <w:rFonts w:ascii="Verdana" w:hAnsi="Verdana"/>
                <w:bCs/>
                <w:sz w:val="20"/>
              </w:rPr>
              <w:t xml:space="preserve"> </w:t>
            </w:r>
          </w:p>
          <w:p w14:paraId="2EF482C7" w14:textId="77777777" w:rsidR="00F935B1" w:rsidRPr="005E385F" w:rsidRDefault="00F935B1" w:rsidP="00F935B1">
            <w:pPr>
              <w:pStyle w:val="NormalWeb"/>
              <w:numPr>
                <w:ilvl w:val="0"/>
                <w:numId w:val="10"/>
              </w:numPr>
              <w:spacing w:before="0" w:beforeAutospacing="0" w:after="0"/>
              <w:rPr>
                <w:rFonts w:ascii="Verdana" w:hAnsi="Verdana"/>
                <w:bCs/>
                <w:sz w:val="20"/>
              </w:rPr>
            </w:pPr>
            <w:r w:rsidRPr="005E385F">
              <w:rPr>
                <w:rFonts w:ascii="Verdana" w:hAnsi="Verdana"/>
                <w:bCs/>
                <w:sz w:val="20"/>
              </w:rPr>
              <w:t>Services that are not related</w:t>
            </w:r>
          </w:p>
          <w:p w14:paraId="7549D173" w14:textId="77777777" w:rsidR="00F935B1" w:rsidRPr="005E385F" w:rsidRDefault="00F935B1" w:rsidP="0083602C">
            <w:pPr>
              <w:pStyle w:val="NormalWeb"/>
              <w:spacing w:before="0" w:beforeAutospacing="0" w:after="0"/>
              <w:ind w:left="720"/>
              <w:rPr>
                <w:rFonts w:ascii="Verdana" w:hAnsi="Verdana"/>
                <w:bCs/>
                <w:sz w:val="20"/>
              </w:rPr>
            </w:pPr>
            <w:r w:rsidRPr="005E385F">
              <w:rPr>
                <w:rFonts w:ascii="Verdana" w:hAnsi="Verdana"/>
                <w:bCs/>
                <w:sz w:val="20"/>
              </w:rPr>
              <w:t>to voice services</w:t>
            </w:r>
            <w:r w:rsidRPr="005E385F">
              <w:rPr>
                <w:rFonts w:ascii="Verdana" w:hAnsi="Verdana"/>
                <w:sz w:val="20"/>
              </w:rPr>
              <w:fldChar w:fldCharType="begin"/>
            </w:r>
            <w:r w:rsidRPr="005E385F">
              <w:rPr>
                <w:rFonts w:ascii="Verdana" w:hAnsi="Verdana"/>
                <w:sz w:val="20"/>
              </w:rPr>
              <w:instrText>xe "</w:instrText>
            </w:r>
            <w:r w:rsidRPr="005E385F">
              <w:rPr>
                <w:rFonts w:ascii="Verdana" w:hAnsi="Verdana"/>
                <w:bCs/>
                <w:sz w:val="20"/>
              </w:rPr>
              <w:instrText>Telecommunications Services</w:instrText>
            </w:r>
            <w:r w:rsidRPr="005E385F">
              <w:rPr>
                <w:rFonts w:ascii="Verdana" w:hAnsi="Verdana"/>
                <w:sz w:val="20"/>
              </w:rPr>
              <w:instrText>"</w:instrText>
            </w:r>
            <w:r w:rsidRPr="005E385F">
              <w:rPr>
                <w:rFonts w:ascii="Verdana" w:hAnsi="Verdana"/>
                <w:sz w:val="20"/>
              </w:rPr>
              <w:fldChar w:fldCharType="end"/>
            </w:r>
            <w:r w:rsidRPr="005E385F">
              <w:rPr>
                <w:rFonts w:ascii="Verdana" w:hAnsi="Verdana"/>
                <w:bCs/>
                <w:sz w:val="20"/>
              </w:rPr>
              <w:t>, such as monitoring</w:t>
            </w:r>
            <w:r w:rsidRPr="005E385F">
              <w:rPr>
                <w:rFonts w:ascii="Verdana" w:hAnsi="Verdana"/>
                <w:sz w:val="20"/>
              </w:rPr>
              <w:fldChar w:fldCharType="begin"/>
            </w:r>
            <w:r w:rsidRPr="005E385F">
              <w:rPr>
                <w:rFonts w:ascii="Verdana" w:hAnsi="Verdana"/>
                <w:sz w:val="20"/>
              </w:rPr>
              <w:instrText>xe "M</w:instrText>
            </w:r>
            <w:r w:rsidRPr="005E385F">
              <w:rPr>
                <w:rFonts w:ascii="Verdana" w:hAnsi="Verdana"/>
                <w:bCs/>
                <w:sz w:val="20"/>
              </w:rPr>
              <w:instrText>onitoring</w:instrText>
            </w:r>
            <w:r w:rsidRPr="005E385F">
              <w:rPr>
                <w:rFonts w:ascii="Verdana" w:hAnsi="Verdana"/>
                <w:sz w:val="20"/>
              </w:rPr>
              <w:instrText>"</w:instrText>
            </w:r>
            <w:r w:rsidRPr="005E385F">
              <w:rPr>
                <w:rFonts w:ascii="Verdana" w:hAnsi="Verdana"/>
                <w:sz w:val="20"/>
              </w:rPr>
              <w:fldChar w:fldCharType="end"/>
            </w:r>
            <w:r w:rsidRPr="005E385F">
              <w:rPr>
                <w:rFonts w:ascii="Verdana" w:hAnsi="Verdana"/>
                <w:bCs/>
                <w:sz w:val="20"/>
              </w:rPr>
              <w:t xml:space="preserve"> services for </w:t>
            </w:r>
            <w:hyperlink w:anchor="Telecom911E911TrunksLiines" w:history="1">
              <w:r w:rsidRPr="005E385F">
                <w:rPr>
                  <w:rStyle w:val="Hyperlink"/>
                  <w:rFonts w:ascii="Verdana" w:hAnsi="Verdana"/>
                  <w:bCs/>
                  <w:sz w:val="20"/>
                </w:rPr>
                <w:t>911</w:t>
              </w:r>
              <w:r w:rsidRPr="005E385F">
                <w:rPr>
                  <w:rStyle w:val="Hyperlink"/>
                  <w:rFonts w:ascii="Verdana" w:hAnsi="Verdana"/>
                  <w:sz w:val="20"/>
                </w:rPr>
                <w:fldChar w:fldCharType="begin"/>
              </w:r>
              <w:r w:rsidRPr="005E385F">
                <w:rPr>
                  <w:rStyle w:val="Hyperlink"/>
                  <w:rFonts w:ascii="Verdana" w:hAnsi="Verdana"/>
                  <w:sz w:val="20"/>
                </w:rPr>
                <w:instrText>xe "</w:instrText>
              </w:r>
              <w:r w:rsidRPr="005E385F">
                <w:rPr>
                  <w:rStyle w:val="Hyperlink"/>
                  <w:rFonts w:ascii="Verdana" w:hAnsi="Verdana"/>
                  <w:bCs/>
                  <w:sz w:val="20"/>
                </w:rPr>
                <w:instrText>911</w:instrText>
              </w:r>
              <w:r w:rsidRPr="005E385F">
                <w:rPr>
                  <w:rStyle w:val="Hyperlink"/>
                  <w:rFonts w:ascii="Verdana" w:hAnsi="Verdana"/>
                  <w:sz w:val="20"/>
                </w:rPr>
                <w:instrText>"</w:instrText>
              </w:r>
              <w:r w:rsidRPr="005E385F">
                <w:rPr>
                  <w:rStyle w:val="Hyperlink"/>
                  <w:rFonts w:ascii="Verdana" w:hAnsi="Verdana"/>
                  <w:sz w:val="20"/>
                </w:rPr>
                <w:fldChar w:fldCharType="end"/>
              </w:r>
            </w:hyperlink>
            <w:r w:rsidRPr="005E385F">
              <w:rPr>
                <w:rFonts w:ascii="Verdana" w:hAnsi="Verdana"/>
                <w:sz w:val="20"/>
              </w:rPr>
              <w:fldChar w:fldCharType="begin"/>
            </w:r>
            <w:r w:rsidRPr="005E385F">
              <w:rPr>
                <w:rFonts w:ascii="Verdana" w:hAnsi="Verdana"/>
                <w:sz w:val="20"/>
              </w:rPr>
              <w:instrText>xe "</w:instrText>
            </w:r>
            <w:r w:rsidRPr="005E385F">
              <w:rPr>
                <w:rFonts w:ascii="Verdana" w:hAnsi="Verdana"/>
                <w:bCs/>
                <w:sz w:val="20"/>
              </w:rPr>
              <w:instrText>E911</w:instrText>
            </w:r>
            <w:r w:rsidRPr="005E385F">
              <w:rPr>
                <w:rFonts w:ascii="Verdana" w:hAnsi="Verdana"/>
                <w:sz w:val="20"/>
              </w:rPr>
              <w:instrText>"</w:instrText>
            </w:r>
            <w:r w:rsidRPr="005E385F">
              <w:rPr>
                <w:rFonts w:ascii="Verdana" w:hAnsi="Verdana"/>
                <w:sz w:val="20"/>
              </w:rPr>
              <w:fldChar w:fldCharType="end"/>
            </w:r>
            <w:r w:rsidRPr="005E385F">
              <w:rPr>
                <w:rFonts w:ascii="Verdana" w:hAnsi="Verdana"/>
                <w:bCs/>
                <w:sz w:val="20"/>
              </w:rPr>
              <w:t xml:space="preserve">, or an </w:t>
            </w:r>
            <w:hyperlink w:anchor="TelecomAlarmTelephoneLine" w:history="1">
              <w:r w:rsidRPr="005E385F">
                <w:rPr>
                  <w:rStyle w:val="Hyperlink"/>
                  <w:rFonts w:ascii="Verdana" w:hAnsi="Verdana"/>
                  <w:bCs/>
                  <w:sz w:val="20"/>
                </w:rPr>
                <w:t>alarm telephone line</w:t>
              </w:r>
              <w:r w:rsidRPr="005E385F">
                <w:rPr>
                  <w:rStyle w:val="Hyperlink"/>
                  <w:rFonts w:ascii="Verdana" w:hAnsi="Verdana"/>
                  <w:sz w:val="20"/>
                </w:rPr>
                <w:fldChar w:fldCharType="begin"/>
              </w:r>
              <w:r w:rsidRPr="005E385F">
                <w:rPr>
                  <w:rStyle w:val="Hyperlink"/>
                  <w:rFonts w:ascii="Verdana" w:hAnsi="Verdana"/>
                  <w:sz w:val="20"/>
                </w:rPr>
                <w:instrText>xe "</w:instrText>
              </w:r>
              <w:r w:rsidRPr="005E385F">
                <w:rPr>
                  <w:rStyle w:val="Hyperlink"/>
                  <w:rFonts w:ascii="Verdana" w:hAnsi="Verdana"/>
                  <w:bCs/>
                  <w:sz w:val="20"/>
                </w:rPr>
                <w:instrText>Alarm Telephone Line</w:instrText>
              </w:r>
              <w:r w:rsidRPr="005E385F">
                <w:rPr>
                  <w:rStyle w:val="Hyperlink"/>
                  <w:rFonts w:ascii="Verdana" w:hAnsi="Verdana"/>
                  <w:sz w:val="20"/>
                </w:rPr>
                <w:instrText>"</w:instrText>
              </w:r>
              <w:r w:rsidRPr="005E385F">
                <w:rPr>
                  <w:rStyle w:val="Hyperlink"/>
                  <w:rFonts w:ascii="Verdana" w:hAnsi="Verdana"/>
                  <w:sz w:val="20"/>
                </w:rPr>
                <w:fldChar w:fldCharType="end"/>
              </w:r>
            </w:hyperlink>
            <w:r w:rsidRPr="005E385F">
              <w:rPr>
                <w:rFonts w:ascii="Verdana" w:hAnsi="Verdana"/>
                <w:bCs/>
                <w:sz w:val="20"/>
              </w:rPr>
              <w:t>Telephone services</w:t>
            </w:r>
            <w:r w:rsidRPr="005E385F">
              <w:rPr>
                <w:rFonts w:ascii="Verdana" w:hAnsi="Verdana"/>
                <w:sz w:val="20"/>
              </w:rPr>
              <w:t xml:space="preserve"> that connect to a residential facility</w:t>
            </w:r>
            <w:r w:rsidRPr="005E385F">
              <w:rPr>
                <w:rFonts w:ascii="Verdana" w:hAnsi="Verdana"/>
                <w:sz w:val="20"/>
              </w:rPr>
              <w:fldChar w:fldCharType="begin"/>
            </w:r>
            <w:r w:rsidRPr="005E385F">
              <w:rPr>
                <w:rFonts w:ascii="Verdana" w:hAnsi="Verdana"/>
                <w:sz w:val="20"/>
              </w:rPr>
              <w:instrText>xe "Residential Schools"</w:instrText>
            </w:r>
            <w:r w:rsidRPr="005E385F">
              <w:rPr>
                <w:rFonts w:ascii="Verdana" w:hAnsi="Verdana"/>
                <w:sz w:val="20"/>
              </w:rPr>
              <w:fldChar w:fldCharType="end"/>
            </w:r>
            <w:r w:rsidRPr="005E385F">
              <w:rPr>
                <w:rFonts w:ascii="Verdana" w:hAnsi="Verdana"/>
                <w:sz w:val="20"/>
              </w:rPr>
              <w:t xml:space="preserve"> or home, except as allowed by the Commission in FCC 10-175 for the residential areas of residential schools that serve unique populations</w:t>
            </w:r>
          </w:p>
          <w:p w14:paraId="2BF51BB8" w14:textId="77777777" w:rsidR="00F935B1" w:rsidRPr="005E385F" w:rsidRDefault="00F935B1" w:rsidP="0083602C">
            <w:pPr>
              <w:pStyle w:val="NormalWeb"/>
              <w:spacing w:before="0" w:beforeAutospacing="0" w:after="0"/>
              <w:rPr>
                <w:rFonts w:ascii="Verdana" w:hAnsi="Verdana"/>
                <w:sz w:val="20"/>
              </w:rPr>
            </w:pPr>
          </w:p>
          <w:p w14:paraId="75352DBE" w14:textId="77777777" w:rsidR="00F935B1" w:rsidRPr="005E385F" w:rsidRDefault="00F935B1" w:rsidP="0083602C">
            <w:pPr>
              <w:pStyle w:val="NormalWeb"/>
              <w:spacing w:before="0" w:beforeAutospacing="0" w:after="0"/>
              <w:rPr>
                <w:rFonts w:ascii="Verdana" w:hAnsi="Verdana"/>
                <w:i/>
                <w:sz w:val="20"/>
                <w:u w:val="single"/>
              </w:rPr>
            </w:pPr>
            <w:r w:rsidRPr="005E385F">
              <w:rPr>
                <w:rFonts w:ascii="Verdana" w:hAnsi="Verdana"/>
                <w:sz w:val="20"/>
              </w:rPr>
              <w:t>-</w:t>
            </w:r>
            <w:r w:rsidRPr="005E385F">
              <w:rPr>
                <w:rFonts w:ascii="Verdana" w:hAnsi="Verdana"/>
                <w:i/>
                <w:sz w:val="20"/>
                <w:u w:val="single"/>
              </w:rPr>
              <w:t>Ineligible charges related to Internet access.</w:t>
            </w:r>
          </w:p>
          <w:p w14:paraId="1428D24E" w14:textId="77777777" w:rsidR="00F935B1" w:rsidRPr="005E385F" w:rsidRDefault="00F935B1" w:rsidP="00F935B1">
            <w:pPr>
              <w:pStyle w:val="NormalWeb"/>
              <w:numPr>
                <w:ilvl w:val="0"/>
                <w:numId w:val="35"/>
              </w:numPr>
              <w:spacing w:before="0" w:beforeAutospacing="0" w:after="0"/>
              <w:rPr>
                <w:rFonts w:ascii="Verdana" w:hAnsi="Verdana"/>
                <w:i/>
                <w:sz w:val="20"/>
              </w:rPr>
            </w:pPr>
            <w:r w:rsidRPr="005E385F">
              <w:rPr>
                <w:rFonts w:ascii="Verdana" w:hAnsi="Verdana"/>
                <w:sz w:val="20"/>
              </w:rPr>
              <w:t>Internet access that provides features or content that go beyond basic conduit access to the Internet including specialized services</w:t>
            </w:r>
            <w:r w:rsidRPr="005E385F">
              <w:rPr>
                <w:rFonts w:ascii="Verdana" w:hAnsi="Verdana"/>
                <w:sz w:val="20"/>
              </w:rPr>
              <w:fldChar w:fldCharType="begin"/>
            </w:r>
            <w:r w:rsidRPr="005E385F">
              <w:rPr>
                <w:rFonts w:ascii="Verdana" w:hAnsi="Verdana"/>
                <w:sz w:val="20"/>
              </w:rPr>
              <w:instrText>xe "Specialized Services"</w:instrText>
            </w:r>
            <w:r w:rsidRPr="005E385F">
              <w:rPr>
                <w:rFonts w:ascii="Verdana" w:hAnsi="Verdana"/>
                <w:sz w:val="20"/>
              </w:rPr>
              <w:fldChar w:fldCharType="end"/>
            </w:r>
            <w:r w:rsidRPr="005E385F">
              <w:rPr>
                <w:rFonts w:ascii="Verdana" w:hAnsi="Verdana"/>
                <w:sz w:val="20"/>
              </w:rPr>
              <w:t xml:space="preserve"> such as Virtual Private Network</w:t>
            </w:r>
            <w:r w:rsidRPr="005E385F">
              <w:rPr>
                <w:rFonts w:ascii="Verdana" w:hAnsi="Verdana"/>
                <w:sz w:val="20"/>
              </w:rPr>
              <w:fldChar w:fldCharType="begin"/>
            </w:r>
            <w:r w:rsidRPr="005E385F">
              <w:rPr>
                <w:rFonts w:ascii="Verdana" w:hAnsi="Verdana"/>
                <w:sz w:val="20"/>
              </w:rPr>
              <w:instrText>xe "Virtual Private Network"</w:instrText>
            </w:r>
            <w:r w:rsidRPr="005E385F">
              <w:rPr>
                <w:rFonts w:ascii="Verdana" w:hAnsi="Verdana"/>
                <w:sz w:val="20"/>
              </w:rPr>
              <w:fldChar w:fldCharType="end"/>
            </w:r>
            <w:r w:rsidRPr="005E385F">
              <w:rPr>
                <w:rFonts w:ascii="Verdana" w:hAnsi="Verdana"/>
                <w:sz w:val="20"/>
              </w:rPr>
              <w:t xml:space="preserve"> services</w:t>
            </w:r>
          </w:p>
          <w:p w14:paraId="7D18AC9C" w14:textId="77777777" w:rsidR="00F935B1" w:rsidRPr="005E385F" w:rsidRDefault="00F935B1" w:rsidP="00F935B1">
            <w:pPr>
              <w:pStyle w:val="NormalWeb"/>
              <w:numPr>
                <w:ilvl w:val="0"/>
                <w:numId w:val="35"/>
              </w:numPr>
              <w:spacing w:before="0" w:beforeAutospacing="0" w:after="0"/>
              <w:rPr>
                <w:rFonts w:ascii="Verdana" w:hAnsi="Verdana"/>
                <w:i/>
                <w:sz w:val="20"/>
              </w:rPr>
            </w:pPr>
            <w:r w:rsidRPr="005E385F">
              <w:rPr>
                <w:rFonts w:ascii="Verdana" w:hAnsi="Verdana"/>
                <w:bCs/>
                <w:sz w:val="20"/>
              </w:rPr>
              <w:t>Charges for creation</w:t>
            </w:r>
            <w:r w:rsidRPr="005E385F">
              <w:rPr>
                <w:rFonts w:ascii="Verdana" w:hAnsi="Verdana"/>
                <w:sz w:val="20"/>
              </w:rPr>
              <w:fldChar w:fldCharType="begin"/>
            </w:r>
            <w:r w:rsidRPr="005E385F">
              <w:rPr>
                <w:rFonts w:ascii="Verdana" w:hAnsi="Verdana"/>
                <w:sz w:val="20"/>
              </w:rPr>
              <w:instrText>xe "Creation Configuration"</w:instrText>
            </w:r>
            <w:r w:rsidRPr="005E385F">
              <w:rPr>
                <w:rFonts w:ascii="Verdana" w:hAnsi="Verdana"/>
                <w:sz w:val="20"/>
              </w:rPr>
              <w:fldChar w:fldCharType="end"/>
            </w:r>
            <w:r w:rsidRPr="005E385F">
              <w:rPr>
                <w:rFonts w:ascii="Verdana" w:hAnsi="Verdana"/>
                <w:bCs/>
                <w:sz w:val="20"/>
              </w:rPr>
              <w:t>, configuration</w:t>
            </w:r>
            <w:r w:rsidRPr="005E385F">
              <w:rPr>
                <w:rFonts w:ascii="Verdana" w:hAnsi="Verdana"/>
                <w:sz w:val="20"/>
              </w:rPr>
              <w:fldChar w:fldCharType="begin"/>
            </w:r>
            <w:r w:rsidRPr="005E385F">
              <w:rPr>
                <w:rFonts w:ascii="Verdana" w:hAnsi="Verdana"/>
                <w:sz w:val="20"/>
              </w:rPr>
              <w:instrText>xe "</w:instrText>
            </w:r>
            <w:r w:rsidRPr="005E385F">
              <w:rPr>
                <w:rFonts w:ascii="Verdana" w:hAnsi="Verdana"/>
                <w:bCs/>
                <w:sz w:val="20"/>
              </w:rPr>
              <w:instrText>Configuration</w:instrText>
            </w:r>
            <w:r w:rsidRPr="005E385F">
              <w:rPr>
                <w:rFonts w:ascii="Verdana" w:hAnsi="Verdana"/>
                <w:sz w:val="20"/>
              </w:rPr>
              <w:instrText>"</w:instrText>
            </w:r>
            <w:r w:rsidRPr="005E385F">
              <w:rPr>
                <w:rFonts w:ascii="Verdana" w:hAnsi="Verdana"/>
                <w:sz w:val="20"/>
              </w:rPr>
              <w:fldChar w:fldCharType="end"/>
            </w:r>
            <w:r w:rsidRPr="005E385F">
              <w:rPr>
                <w:rFonts w:ascii="Verdana" w:hAnsi="Verdana"/>
                <w:bCs/>
                <w:sz w:val="20"/>
              </w:rPr>
              <w:t>, or maintenance</w:t>
            </w:r>
            <w:r w:rsidRPr="005E385F">
              <w:rPr>
                <w:rFonts w:ascii="Verdana" w:hAnsi="Verdana"/>
                <w:sz w:val="20"/>
              </w:rPr>
              <w:fldChar w:fldCharType="begin"/>
            </w:r>
            <w:r w:rsidRPr="005E385F">
              <w:rPr>
                <w:rFonts w:ascii="Verdana" w:hAnsi="Verdana"/>
                <w:sz w:val="20"/>
              </w:rPr>
              <w:instrText>xe "Maintenance"</w:instrText>
            </w:r>
            <w:r w:rsidRPr="005E385F">
              <w:rPr>
                <w:rFonts w:ascii="Verdana" w:hAnsi="Verdana"/>
                <w:sz w:val="20"/>
              </w:rPr>
              <w:fldChar w:fldCharType="end"/>
            </w:r>
            <w:r w:rsidRPr="005E385F">
              <w:rPr>
                <w:rFonts w:ascii="Verdana" w:hAnsi="Verdana"/>
                <w:bCs/>
                <w:sz w:val="20"/>
              </w:rPr>
              <w:t xml:space="preserve"> of content</w:t>
            </w:r>
            <w:r w:rsidRPr="005E385F">
              <w:rPr>
                <w:rFonts w:ascii="Verdana" w:hAnsi="Verdana"/>
                <w:sz w:val="20"/>
              </w:rPr>
              <w:fldChar w:fldCharType="begin"/>
            </w:r>
            <w:r w:rsidRPr="005E385F">
              <w:rPr>
                <w:rFonts w:ascii="Verdana" w:hAnsi="Verdana"/>
                <w:sz w:val="20"/>
              </w:rPr>
              <w:instrText>xe "Content"</w:instrText>
            </w:r>
            <w:r w:rsidRPr="005E385F">
              <w:rPr>
                <w:rFonts w:ascii="Verdana" w:hAnsi="Verdana"/>
                <w:sz w:val="20"/>
              </w:rPr>
              <w:fldChar w:fldCharType="end"/>
            </w:r>
          </w:p>
          <w:p w14:paraId="36A2D84E" w14:textId="7CE806AD" w:rsidR="00F935B1" w:rsidRPr="005E385F" w:rsidRDefault="00A0395D" w:rsidP="00F935B1">
            <w:pPr>
              <w:pStyle w:val="NormalWeb"/>
              <w:numPr>
                <w:ilvl w:val="0"/>
                <w:numId w:val="35"/>
              </w:numPr>
              <w:spacing w:before="0" w:beforeAutospacing="0" w:after="0"/>
              <w:rPr>
                <w:rFonts w:ascii="Verdana" w:hAnsi="Verdana"/>
                <w:i/>
                <w:sz w:val="20"/>
              </w:rPr>
            </w:pPr>
            <w:hyperlink r:id="rId32" w:anchor="IAInternetContent" w:history="1">
              <w:r w:rsidR="00F935B1" w:rsidRPr="005E385F">
                <w:rPr>
                  <w:rStyle w:val="Hyperlink"/>
                  <w:rFonts w:ascii="Verdana" w:hAnsi="Verdana"/>
                  <w:bCs/>
                  <w:sz w:val="20"/>
                </w:rPr>
                <w:t>Internet</w:t>
              </w:r>
            </w:hyperlink>
            <w:r w:rsidR="00F935B1" w:rsidRPr="005E385F">
              <w:rPr>
                <w:rFonts w:ascii="Verdana" w:hAnsi="Verdana"/>
                <w:sz w:val="20"/>
              </w:rPr>
              <w:t xml:space="preserve"> content </w:t>
            </w:r>
            <w:r w:rsidR="00F935B1" w:rsidRPr="005E385F">
              <w:rPr>
                <w:rFonts w:ascii="Verdana" w:hAnsi="Verdana"/>
                <w:bCs/>
                <w:sz w:val="20"/>
              </w:rPr>
              <w:t xml:space="preserve">or charges for the creation or display of information.  </w:t>
            </w:r>
            <w:r w:rsidR="00F935B1" w:rsidRPr="005E385F">
              <w:rPr>
                <w:rFonts w:ascii="Verdana" w:hAnsi="Verdana"/>
                <w:sz w:val="20"/>
              </w:rPr>
              <w:t>Applicants may accept an Internet Access</w:t>
            </w:r>
            <w:r w:rsidR="00F935B1" w:rsidRPr="005E385F">
              <w:rPr>
                <w:rFonts w:ascii="Verdana" w:hAnsi="Verdana"/>
                <w:sz w:val="20"/>
              </w:rPr>
              <w:fldChar w:fldCharType="begin"/>
            </w:r>
            <w:r w:rsidR="00F935B1" w:rsidRPr="005E385F">
              <w:rPr>
                <w:rFonts w:ascii="Verdana" w:hAnsi="Verdana"/>
                <w:sz w:val="20"/>
              </w:rPr>
              <w:instrText>xe "</w:instrText>
            </w:r>
            <w:r w:rsidR="00F935B1" w:rsidRPr="005E385F">
              <w:rPr>
                <w:rStyle w:val="Hyperlink"/>
                <w:rFonts w:ascii="Verdana" w:hAnsi="Verdana"/>
                <w:sz w:val="20"/>
              </w:rPr>
              <w:instrText>Internet Access</w:instrText>
            </w:r>
            <w:r w:rsidR="00F935B1" w:rsidRPr="005E385F">
              <w:rPr>
                <w:rFonts w:ascii="Verdana" w:hAnsi="Verdana"/>
                <w:sz w:val="20"/>
              </w:rPr>
              <w:instrText>"</w:instrText>
            </w:r>
            <w:r w:rsidR="00F935B1" w:rsidRPr="005E385F">
              <w:rPr>
                <w:rFonts w:ascii="Verdana" w:hAnsi="Verdana"/>
                <w:sz w:val="20"/>
              </w:rPr>
              <w:fldChar w:fldCharType="end"/>
            </w:r>
            <w:r w:rsidR="00F935B1" w:rsidRPr="005E385F">
              <w:rPr>
                <w:rFonts w:ascii="Verdana" w:hAnsi="Verdana"/>
                <w:sz w:val="20"/>
              </w:rPr>
              <w:t xml:space="preserve"> service with minimal content included if the content meets the limitations for Ancillary Use.  (</w:t>
            </w:r>
            <w:r w:rsidR="00F935B1" w:rsidRPr="005E385F">
              <w:rPr>
                <w:rFonts w:ascii="Verdana" w:hAnsi="Verdana"/>
                <w:i/>
                <w:sz w:val="20"/>
              </w:rPr>
              <w:t>See</w:t>
            </w:r>
            <w:r w:rsidR="00F935B1" w:rsidRPr="005E385F">
              <w:rPr>
                <w:rFonts w:ascii="Verdana" w:hAnsi="Verdana"/>
                <w:sz w:val="20"/>
              </w:rPr>
              <w:t xml:space="preserve"> </w:t>
            </w:r>
            <w:hyperlink w:anchor="xxSpecialEligibilityConditions" w:history="1">
              <w:r w:rsidR="00F935B1" w:rsidRPr="005E385F">
                <w:rPr>
                  <w:rStyle w:val="Hyperlink"/>
                  <w:rFonts w:ascii="Verdana" w:hAnsi="Verdana"/>
                  <w:sz w:val="20"/>
                </w:rPr>
                <w:t>Special Eligibility Conditions</w:t>
              </w:r>
            </w:hyperlink>
            <w:r w:rsidR="00F935B1" w:rsidRPr="005E385F">
              <w:rPr>
                <w:rFonts w:ascii="Verdana" w:hAnsi="Verdana"/>
                <w:sz w:val="20"/>
              </w:rPr>
              <w:fldChar w:fldCharType="begin"/>
            </w:r>
            <w:r w:rsidR="00F935B1" w:rsidRPr="005E385F">
              <w:rPr>
                <w:rFonts w:ascii="Verdana" w:hAnsi="Verdana"/>
                <w:sz w:val="20"/>
              </w:rPr>
              <w:instrText>xe "</w:instrText>
            </w:r>
            <w:r w:rsidR="00F935B1" w:rsidRPr="005E385F">
              <w:rPr>
                <w:rStyle w:val="Hyperlink"/>
                <w:rFonts w:ascii="Verdana" w:hAnsi="Verdana"/>
                <w:sz w:val="20"/>
              </w:rPr>
              <w:instrText>Special Eligibility Conditions</w:instrText>
            </w:r>
            <w:r w:rsidR="00F935B1" w:rsidRPr="005E385F">
              <w:rPr>
                <w:rFonts w:ascii="Verdana" w:hAnsi="Verdana"/>
                <w:sz w:val="20"/>
              </w:rPr>
              <w:instrText>"</w:instrText>
            </w:r>
            <w:r w:rsidR="00F935B1" w:rsidRPr="005E385F">
              <w:rPr>
                <w:rFonts w:ascii="Verdana" w:hAnsi="Verdana"/>
                <w:sz w:val="20"/>
              </w:rPr>
              <w:fldChar w:fldCharType="end"/>
            </w:r>
            <w:r w:rsidR="00F935B1" w:rsidRPr="005E385F">
              <w:rPr>
                <w:rFonts w:ascii="Verdana" w:hAnsi="Verdana"/>
                <w:sz w:val="20"/>
              </w:rPr>
              <w:t xml:space="preserve"> below for further information on Ancillary Use.)</w:t>
            </w:r>
          </w:p>
          <w:p w14:paraId="2050F6F0" w14:textId="55D76518" w:rsidR="00F935B1" w:rsidRPr="005E385F" w:rsidRDefault="00A0395D" w:rsidP="00F935B1">
            <w:pPr>
              <w:pStyle w:val="NormalWeb"/>
              <w:numPr>
                <w:ilvl w:val="0"/>
                <w:numId w:val="12"/>
              </w:numPr>
              <w:spacing w:before="0" w:beforeAutospacing="0" w:after="0"/>
              <w:rPr>
                <w:rFonts w:ascii="Verdana" w:hAnsi="Verdana"/>
                <w:bCs/>
                <w:sz w:val="20"/>
              </w:rPr>
            </w:pPr>
            <w:hyperlink r:id="rId33" w:anchor="ICOnlineBackupSolutionsdefinition" w:history="1">
              <w:r w:rsidR="00F935B1" w:rsidRPr="005E385F">
                <w:rPr>
                  <w:rStyle w:val="Hyperlink"/>
                  <w:rFonts w:ascii="Verdana" w:hAnsi="Verdana"/>
                  <w:bCs/>
                  <w:sz w:val="20"/>
                </w:rPr>
                <w:t>Online backup solutions</w:t>
              </w:r>
              <w:r w:rsidR="00F935B1" w:rsidRPr="005E385F">
                <w:rPr>
                  <w:rFonts w:ascii="Verdana" w:hAnsi="Verdana"/>
                  <w:sz w:val="20"/>
                </w:rPr>
                <w:fldChar w:fldCharType="begin"/>
              </w:r>
              <w:r w:rsidR="00F935B1" w:rsidRPr="005E385F">
                <w:rPr>
                  <w:rFonts w:ascii="Verdana" w:hAnsi="Verdana"/>
                  <w:sz w:val="20"/>
                </w:rPr>
                <w:instrText>xe "</w:instrText>
              </w:r>
              <w:r w:rsidR="00F935B1" w:rsidRPr="005E385F">
                <w:rPr>
                  <w:rStyle w:val="Hyperlink"/>
                  <w:rFonts w:ascii="Verdana" w:hAnsi="Verdana"/>
                  <w:bCs/>
                  <w:sz w:val="20"/>
                </w:rPr>
                <w:instrText>Online Backup Solutions</w:instrText>
              </w:r>
              <w:r w:rsidR="00F935B1" w:rsidRPr="005E385F">
                <w:rPr>
                  <w:rFonts w:ascii="Verdana" w:hAnsi="Verdana"/>
                  <w:sz w:val="20"/>
                </w:rPr>
                <w:instrText>"</w:instrText>
              </w:r>
              <w:r w:rsidR="00F935B1" w:rsidRPr="005E385F">
                <w:rPr>
                  <w:rFonts w:ascii="Verdana" w:hAnsi="Verdana"/>
                  <w:sz w:val="20"/>
                </w:rPr>
                <w:fldChar w:fldCharType="end"/>
              </w:r>
            </w:hyperlink>
            <w:r w:rsidR="00F935B1" w:rsidRPr="005E385F">
              <w:rPr>
                <w:rFonts w:ascii="Verdana" w:hAnsi="Verdana"/>
                <w:bCs/>
                <w:sz w:val="20"/>
              </w:rPr>
              <w:t xml:space="preserve"> </w:t>
            </w:r>
          </w:p>
          <w:p w14:paraId="5D1E1D6B" w14:textId="77777777" w:rsidR="00F935B1" w:rsidRPr="005E385F" w:rsidRDefault="00F935B1" w:rsidP="00F935B1">
            <w:pPr>
              <w:pStyle w:val="NormalWeb"/>
              <w:numPr>
                <w:ilvl w:val="0"/>
                <w:numId w:val="35"/>
              </w:numPr>
              <w:spacing w:before="0" w:beforeAutospacing="0" w:after="0"/>
              <w:rPr>
                <w:rFonts w:ascii="Verdana" w:hAnsi="Verdana"/>
                <w:i/>
                <w:sz w:val="20"/>
              </w:rPr>
            </w:pPr>
            <w:r w:rsidRPr="005E385F">
              <w:rPr>
                <w:rFonts w:ascii="Verdana" w:hAnsi="Verdana"/>
                <w:bCs/>
                <w:sz w:val="20"/>
              </w:rPr>
              <w:t xml:space="preserve">Costs attributable to the creation or modification of information, or design such as a </w:t>
            </w:r>
            <w:hyperlink w:anchor="IAWebSiteCreationFee" w:history="1">
              <w:r w:rsidRPr="005E385F">
                <w:rPr>
                  <w:rStyle w:val="Hyperlink"/>
                  <w:rFonts w:ascii="Verdana" w:hAnsi="Verdana"/>
                  <w:bCs/>
                  <w:sz w:val="20"/>
                </w:rPr>
                <w:t>web site creation fee</w:t>
              </w:r>
              <w:r w:rsidRPr="005E385F">
                <w:rPr>
                  <w:rFonts w:ascii="Verdana" w:hAnsi="Verdana"/>
                  <w:sz w:val="20"/>
                </w:rPr>
                <w:fldChar w:fldCharType="begin"/>
              </w:r>
              <w:r w:rsidRPr="005E385F">
                <w:rPr>
                  <w:rFonts w:ascii="Verdana" w:hAnsi="Verdana"/>
                  <w:sz w:val="20"/>
                </w:rPr>
                <w:instrText>xe "</w:instrText>
              </w:r>
              <w:r w:rsidRPr="005E385F">
                <w:rPr>
                  <w:rStyle w:val="Hyperlink"/>
                  <w:rFonts w:ascii="Verdana" w:hAnsi="Verdana"/>
                  <w:bCs/>
                  <w:sz w:val="20"/>
                </w:rPr>
                <w:instrText>Web Site Creation Fee</w:instrText>
              </w:r>
              <w:r w:rsidRPr="005E385F">
                <w:rPr>
                  <w:rFonts w:ascii="Verdana" w:hAnsi="Verdana"/>
                  <w:sz w:val="20"/>
                </w:rPr>
                <w:instrText>"</w:instrText>
              </w:r>
              <w:r w:rsidRPr="005E385F">
                <w:rPr>
                  <w:rFonts w:ascii="Verdana" w:hAnsi="Verdana"/>
                  <w:sz w:val="20"/>
                </w:rPr>
                <w:fldChar w:fldCharType="end"/>
              </w:r>
            </w:hyperlink>
            <w:r w:rsidRPr="005E385F">
              <w:rPr>
                <w:rFonts w:ascii="Verdana" w:hAnsi="Verdana"/>
                <w:bCs/>
                <w:sz w:val="20"/>
              </w:rPr>
              <w:t xml:space="preserve"> or content</w:t>
            </w:r>
            <w:r w:rsidRPr="005E385F">
              <w:rPr>
                <w:rFonts w:ascii="Verdana" w:hAnsi="Verdana"/>
                <w:sz w:val="20"/>
              </w:rPr>
              <w:fldChar w:fldCharType="begin"/>
            </w:r>
            <w:r w:rsidRPr="005E385F">
              <w:rPr>
                <w:rFonts w:ascii="Verdana" w:hAnsi="Verdana"/>
                <w:sz w:val="20"/>
              </w:rPr>
              <w:instrText>xe "Content"</w:instrText>
            </w:r>
            <w:r w:rsidRPr="005E385F">
              <w:rPr>
                <w:rFonts w:ascii="Verdana" w:hAnsi="Verdana"/>
                <w:sz w:val="20"/>
              </w:rPr>
              <w:fldChar w:fldCharType="end"/>
            </w:r>
            <w:r w:rsidRPr="005E385F">
              <w:rPr>
                <w:rFonts w:ascii="Verdana" w:hAnsi="Verdana"/>
                <w:bCs/>
                <w:sz w:val="20"/>
              </w:rPr>
              <w:t xml:space="preserve"> maintenance</w:t>
            </w:r>
            <w:r w:rsidRPr="005E385F">
              <w:rPr>
                <w:rFonts w:ascii="Verdana" w:hAnsi="Verdana"/>
                <w:sz w:val="20"/>
              </w:rPr>
              <w:fldChar w:fldCharType="begin"/>
            </w:r>
            <w:r w:rsidRPr="005E385F">
              <w:rPr>
                <w:rFonts w:ascii="Verdana" w:hAnsi="Verdana"/>
                <w:sz w:val="20"/>
              </w:rPr>
              <w:instrText>xe "Maintenance"</w:instrText>
            </w:r>
            <w:r w:rsidRPr="005E385F">
              <w:rPr>
                <w:rFonts w:ascii="Verdana" w:hAnsi="Verdana"/>
                <w:sz w:val="20"/>
              </w:rPr>
              <w:fldChar w:fldCharType="end"/>
            </w:r>
            <w:r w:rsidRPr="005E385F">
              <w:rPr>
                <w:rFonts w:ascii="Verdana" w:hAnsi="Verdana"/>
                <w:bCs/>
                <w:sz w:val="20"/>
              </w:rPr>
              <w:t xml:space="preserve"> fees.</w:t>
            </w:r>
          </w:p>
          <w:p w14:paraId="675B6F9B" w14:textId="77777777" w:rsidR="00F935B1" w:rsidRPr="005E385F" w:rsidRDefault="00F935B1" w:rsidP="00F935B1">
            <w:pPr>
              <w:pStyle w:val="NormalWeb"/>
              <w:numPr>
                <w:ilvl w:val="0"/>
                <w:numId w:val="35"/>
              </w:numPr>
              <w:spacing w:before="0" w:beforeAutospacing="0" w:after="0"/>
              <w:rPr>
                <w:rFonts w:ascii="Verdana" w:hAnsi="Verdana"/>
                <w:i/>
                <w:sz w:val="20"/>
              </w:rPr>
            </w:pPr>
            <w:r w:rsidRPr="005E385F">
              <w:rPr>
                <w:rFonts w:ascii="Verdana" w:hAnsi="Verdana"/>
                <w:bCs/>
                <w:sz w:val="20"/>
              </w:rPr>
              <w:t>Charges to access Internet content or limited-access information</w:t>
            </w:r>
            <w:r w:rsidRPr="005E385F">
              <w:rPr>
                <w:rFonts w:ascii="Verdana" w:hAnsi="Verdana"/>
                <w:sz w:val="20"/>
              </w:rPr>
              <w:fldChar w:fldCharType="begin"/>
            </w:r>
            <w:r w:rsidRPr="005E385F">
              <w:rPr>
                <w:rFonts w:ascii="Verdana" w:hAnsi="Verdana"/>
                <w:sz w:val="20"/>
              </w:rPr>
              <w:instrText>xe "</w:instrText>
            </w:r>
            <w:r w:rsidRPr="005E385F">
              <w:rPr>
                <w:rFonts w:ascii="Verdana" w:hAnsi="Verdana"/>
                <w:bCs/>
                <w:sz w:val="20"/>
              </w:rPr>
              <w:instrText>Limited-Access Information</w:instrText>
            </w:r>
            <w:r w:rsidRPr="005E385F">
              <w:rPr>
                <w:rFonts w:ascii="Verdana" w:hAnsi="Verdana"/>
                <w:sz w:val="20"/>
              </w:rPr>
              <w:instrText>"</w:instrText>
            </w:r>
            <w:r w:rsidRPr="005E385F">
              <w:rPr>
                <w:rFonts w:ascii="Verdana" w:hAnsi="Verdana"/>
                <w:sz w:val="20"/>
              </w:rPr>
              <w:fldChar w:fldCharType="end"/>
            </w:r>
          </w:p>
          <w:p w14:paraId="39D57011" w14:textId="77777777" w:rsidR="00F935B1" w:rsidRPr="005E385F" w:rsidRDefault="00F935B1" w:rsidP="00F935B1">
            <w:pPr>
              <w:pStyle w:val="NormalWeb"/>
              <w:numPr>
                <w:ilvl w:val="0"/>
                <w:numId w:val="35"/>
              </w:numPr>
              <w:spacing w:before="0" w:beforeAutospacing="0" w:after="0"/>
              <w:rPr>
                <w:rFonts w:ascii="Verdana" w:hAnsi="Verdana"/>
                <w:i/>
                <w:sz w:val="20"/>
              </w:rPr>
            </w:pPr>
            <w:r w:rsidRPr="005E385F">
              <w:rPr>
                <w:rFonts w:ascii="Verdana" w:hAnsi="Verdana"/>
                <w:bCs/>
                <w:sz w:val="20"/>
              </w:rPr>
              <w:t>Charges for distance learning</w:t>
            </w:r>
            <w:r w:rsidRPr="005E385F">
              <w:rPr>
                <w:rFonts w:ascii="Verdana" w:hAnsi="Verdana"/>
                <w:sz w:val="20"/>
              </w:rPr>
              <w:fldChar w:fldCharType="begin"/>
            </w:r>
            <w:r w:rsidRPr="005E385F">
              <w:rPr>
                <w:rFonts w:ascii="Verdana" w:hAnsi="Verdana"/>
                <w:sz w:val="20"/>
              </w:rPr>
              <w:instrText>xe "</w:instrText>
            </w:r>
            <w:r w:rsidRPr="005E385F">
              <w:rPr>
                <w:rFonts w:ascii="Verdana" w:hAnsi="Verdana"/>
                <w:bCs/>
                <w:sz w:val="20"/>
              </w:rPr>
              <w:instrText>Distance Learning</w:instrText>
            </w:r>
            <w:r w:rsidRPr="005E385F">
              <w:rPr>
                <w:rFonts w:ascii="Verdana" w:hAnsi="Verdana"/>
                <w:sz w:val="20"/>
              </w:rPr>
              <w:instrText>"</w:instrText>
            </w:r>
            <w:r w:rsidRPr="005E385F">
              <w:rPr>
                <w:rFonts w:ascii="Verdana" w:hAnsi="Verdana"/>
                <w:sz w:val="20"/>
              </w:rPr>
              <w:fldChar w:fldCharType="end"/>
            </w:r>
            <w:r w:rsidRPr="005E385F">
              <w:rPr>
                <w:rFonts w:ascii="Verdana" w:hAnsi="Verdana"/>
                <w:bCs/>
                <w:sz w:val="20"/>
              </w:rPr>
              <w:t xml:space="preserve"> or video conferencing</w:t>
            </w:r>
            <w:r w:rsidRPr="005E385F">
              <w:rPr>
                <w:rFonts w:ascii="Verdana" w:hAnsi="Verdana"/>
                <w:sz w:val="20"/>
              </w:rPr>
              <w:fldChar w:fldCharType="begin"/>
            </w:r>
            <w:r w:rsidRPr="005E385F">
              <w:rPr>
                <w:rFonts w:ascii="Verdana" w:hAnsi="Verdana"/>
                <w:sz w:val="20"/>
              </w:rPr>
              <w:instrText>xe "</w:instrText>
            </w:r>
            <w:r w:rsidRPr="005E385F">
              <w:rPr>
                <w:rFonts w:ascii="Verdana" w:hAnsi="Verdana"/>
                <w:bCs/>
                <w:sz w:val="20"/>
              </w:rPr>
              <w:instrText>Video Conferencing</w:instrText>
            </w:r>
            <w:r w:rsidRPr="005E385F">
              <w:rPr>
                <w:rFonts w:ascii="Verdana" w:hAnsi="Verdana"/>
                <w:sz w:val="20"/>
              </w:rPr>
              <w:instrText>"</w:instrText>
            </w:r>
            <w:r w:rsidRPr="005E385F">
              <w:rPr>
                <w:rFonts w:ascii="Verdana" w:hAnsi="Verdana"/>
                <w:sz w:val="20"/>
              </w:rPr>
              <w:fldChar w:fldCharType="end"/>
            </w:r>
            <w:r w:rsidRPr="005E385F">
              <w:rPr>
                <w:rFonts w:ascii="Verdana" w:hAnsi="Verdana"/>
                <w:bCs/>
                <w:sz w:val="20"/>
              </w:rPr>
              <w:t xml:space="preserve"> utilities, such as web meetings</w:t>
            </w:r>
            <w:r w:rsidRPr="005E385F">
              <w:rPr>
                <w:rFonts w:ascii="Verdana" w:hAnsi="Verdana"/>
                <w:sz w:val="20"/>
              </w:rPr>
              <w:fldChar w:fldCharType="begin"/>
            </w:r>
            <w:r w:rsidRPr="005E385F">
              <w:rPr>
                <w:rFonts w:ascii="Verdana" w:hAnsi="Verdana"/>
                <w:sz w:val="20"/>
              </w:rPr>
              <w:instrText>xe "</w:instrText>
            </w:r>
            <w:r w:rsidRPr="005E385F">
              <w:rPr>
                <w:rFonts w:ascii="Verdana" w:hAnsi="Verdana"/>
                <w:bCs/>
                <w:sz w:val="20"/>
              </w:rPr>
              <w:instrText>Web Meetings</w:instrText>
            </w:r>
            <w:r w:rsidRPr="005E385F">
              <w:rPr>
                <w:rFonts w:ascii="Verdana" w:hAnsi="Verdana"/>
                <w:sz w:val="20"/>
              </w:rPr>
              <w:instrText>"</w:instrText>
            </w:r>
            <w:r w:rsidRPr="005E385F">
              <w:rPr>
                <w:rFonts w:ascii="Verdana" w:hAnsi="Verdana"/>
                <w:sz w:val="20"/>
              </w:rPr>
              <w:fldChar w:fldCharType="end"/>
            </w:r>
            <w:r w:rsidRPr="005E385F">
              <w:rPr>
                <w:rFonts w:ascii="Verdana" w:hAnsi="Verdana"/>
                <w:bCs/>
                <w:sz w:val="20"/>
              </w:rPr>
              <w:t xml:space="preserve"> or online collaboration solutions, even if provided via the Internet</w:t>
            </w:r>
          </w:p>
          <w:p w14:paraId="4C38FF16" w14:textId="77777777" w:rsidR="00F935B1" w:rsidRPr="005E385F" w:rsidRDefault="00F935B1" w:rsidP="00F935B1">
            <w:pPr>
              <w:pStyle w:val="NormalWeb"/>
              <w:numPr>
                <w:ilvl w:val="0"/>
                <w:numId w:val="12"/>
              </w:numPr>
              <w:spacing w:before="0" w:beforeAutospacing="0" w:after="0"/>
              <w:rPr>
                <w:rFonts w:ascii="Verdana" w:hAnsi="Verdana"/>
                <w:bCs/>
                <w:sz w:val="20"/>
              </w:rPr>
            </w:pPr>
            <w:r w:rsidRPr="005E385F">
              <w:rPr>
                <w:rFonts w:ascii="Verdana" w:hAnsi="Verdana"/>
                <w:bCs/>
                <w:sz w:val="20"/>
              </w:rPr>
              <w:t>Software, services, or systems used to create or edit Internet</w:t>
            </w:r>
            <w:r w:rsidRPr="005E385F">
              <w:rPr>
                <w:rFonts w:ascii="Verdana" w:hAnsi="Verdana"/>
                <w:sz w:val="20"/>
              </w:rPr>
              <w:fldChar w:fldCharType="begin"/>
            </w:r>
            <w:r w:rsidRPr="005E385F">
              <w:rPr>
                <w:rFonts w:ascii="Verdana" w:hAnsi="Verdana"/>
                <w:sz w:val="20"/>
              </w:rPr>
              <w:instrText>xe "Internet"</w:instrText>
            </w:r>
            <w:r w:rsidRPr="005E385F">
              <w:rPr>
                <w:rFonts w:ascii="Verdana" w:hAnsi="Verdana"/>
                <w:sz w:val="20"/>
              </w:rPr>
              <w:fldChar w:fldCharType="end"/>
            </w:r>
            <w:r w:rsidRPr="005E385F">
              <w:rPr>
                <w:rFonts w:ascii="Verdana" w:hAnsi="Verdana"/>
                <w:bCs/>
                <w:sz w:val="20"/>
              </w:rPr>
              <w:t xml:space="preserve"> content</w:t>
            </w:r>
            <w:r w:rsidRPr="005E385F">
              <w:rPr>
                <w:rFonts w:ascii="Verdana" w:hAnsi="Verdana"/>
                <w:sz w:val="20"/>
              </w:rPr>
              <w:fldChar w:fldCharType="begin"/>
            </w:r>
            <w:r w:rsidRPr="005E385F">
              <w:rPr>
                <w:rFonts w:ascii="Verdana" w:hAnsi="Verdana"/>
                <w:sz w:val="20"/>
              </w:rPr>
              <w:instrText>xe "Content"</w:instrText>
            </w:r>
            <w:r w:rsidRPr="005E385F">
              <w:rPr>
                <w:rFonts w:ascii="Verdana" w:hAnsi="Verdana"/>
                <w:sz w:val="20"/>
              </w:rPr>
              <w:fldChar w:fldCharType="end"/>
            </w:r>
          </w:p>
          <w:p w14:paraId="419ED0B3" w14:textId="65800E5C" w:rsidR="00F935B1" w:rsidRPr="005E385F" w:rsidRDefault="00A0395D" w:rsidP="00F935B1">
            <w:pPr>
              <w:pStyle w:val="NormalWeb"/>
              <w:numPr>
                <w:ilvl w:val="0"/>
                <w:numId w:val="12"/>
              </w:numPr>
              <w:spacing w:before="0" w:beforeAutospacing="0" w:after="0"/>
              <w:rPr>
                <w:rFonts w:ascii="Verdana" w:hAnsi="Verdana"/>
                <w:bCs/>
                <w:sz w:val="20"/>
              </w:rPr>
            </w:pPr>
            <w:hyperlink r:id="rId34" w:anchor="IAInternet2" w:history="1">
              <w:r w:rsidR="00F935B1" w:rsidRPr="005E385F">
                <w:rPr>
                  <w:rStyle w:val="Hyperlink"/>
                  <w:rFonts w:ascii="Verdana" w:hAnsi="Verdana"/>
                  <w:bCs/>
                  <w:sz w:val="20"/>
                </w:rPr>
                <w:t>Internet2</w:t>
              </w:r>
              <w:r w:rsidR="00F935B1" w:rsidRPr="005E385F">
                <w:rPr>
                  <w:rFonts w:ascii="Verdana" w:hAnsi="Verdana"/>
                  <w:sz w:val="20"/>
                </w:rPr>
                <w:fldChar w:fldCharType="begin"/>
              </w:r>
              <w:r w:rsidR="00F935B1" w:rsidRPr="005E385F">
                <w:rPr>
                  <w:rFonts w:ascii="Verdana" w:hAnsi="Verdana"/>
                  <w:sz w:val="20"/>
                </w:rPr>
                <w:instrText>xe "</w:instrText>
              </w:r>
              <w:r w:rsidR="00F935B1" w:rsidRPr="005E385F">
                <w:rPr>
                  <w:rStyle w:val="Hyperlink"/>
                  <w:rFonts w:ascii="Verdana" w:hAnsi="Verdana"/>
                  <w:sz w:val="20"/>
                </w:rPr>
                <w:instrText>Internet2</w:instrText>
              </w:r>
              <w:r w:rsidR="00F935B1" w:rsidRPr="005E385F">
                <w:rPr>
                  <w:rFonts w:ascii="Verdana" w:hAnsi="Verdana"/>
                  <w:sz w:val="20"/>
                </w:rPr>
                <w:instrText>"</w:instrText>
              </w:r>
              <w:r w:rsidR="00F935B1" w:rsidRPr="005E385F">
                <w:rPr>
                  <w:rFonts w:ascii="Verdana" w:hAnsi="Verdana"/>
                  <w:sz w:val="20"/>
                </w:rPr>
                <w:fldChar w:fldCharType="end"/>
              </w:r>
            </w:hyperlink>
            <w:r w:rsidR="00F935B1" w:rsidRPr="005E385F">
              <w:rPr>
                <w:rFonts w:ascii="Verdana" w:hAnsi="Verdana"/>
                <w:bCs/>
                <w:sz w:val="20"/>
              </w:rPr>
              <w:t xml:space="preserve"> membership fees or dues</w:t>
            </w:r>
          </w:p>
          <w:p w14:paraId="04B9377A" w14:textId="77777777" w:rsidR="00F935B1" w:rsidRPr="005E385F" w:rsidRDefault="00F935B1" w:rsidP="00F935B1">
            <w:pPr>
              <w:pStyle w:val="NormalWeb"/>
              <w:numPr>
                <w:ilvl w:val="0"/>
                <w:numId w:val="12"/>
              </w:numPr>
              <w:spacing w:before="0" w:beforeAutospacing="0" w:after="0"/>
              <w:rPr>
                <w:rFonts w:ascii="Verdana" w:hAnsi="Verdana"/>
                <w:bCs/>
                <w:sz w:val="20"/>
              </w:rPr>
            </w:pPr>
            <w:r w:rsidRPr="005E385F">
              <w:rPr>
                <w:rFonts w:ascii="Verdana" w:hAnsi="Verdana"/>
                <w:bCs/>
                <w:sz w:val="20"/>
              </w:rPr>
              <w:t>Training</w:t>
            </w:r>
            <w:r w:rsidRPr="005E385F">
              <w:rPr>
                <w:rFonts w:ascii="Verdana" w:hAnsi="Verdana"/>
                <w:sz w:val="20"/>
              </w:rPr>
              <w:fldChar w:fldCharType="begin"/>
            </w:r>
            <w:r w:rsidRPr="005E385F">
              <w:rPr>
                <w:rFonts w:ascii="Verdana" w:hAnsi="Verdana"/>
                <w:sz w:val="20"/>
              </w:rPr>
              <w:instrText>xe "</w:instrText>
            </w:r>
            <w:r w:rsidRPr="005E385F">
              <w:rPr>
                <w:rFonts w:ascii="Verdana" w:hAnsi="Verdana"/>
                <w:bCs/>
                <w:sz w:val="20"/>
              </w:rPr>
              <w:instrText>Training</w:instrText>
            </w:r>
            <w:r w:rsidRPr="005E385F">
              <w:rPr>
                <w:rFonts w:ascii="Verdana" w:hAnsi="Verdana"/>
                <w:sz w:val="20"/>
              </w:rPr>
              <w:instrText>"</w:instrText>
            </w:r>
            <w:r w:rsidRPr="005E385F">
              <w:rPr>
                <w:rFonts w:ascii="Verdana" w:hAnsi="Verdana"/>
                <w:sz w:val="20"/>
              </w:rPr>
              <w:fldChar w:fldCharType="end"/>
            </w:r>
            <w:r w:rsidRPr="005E385F">
              <w:rPr>
                <w:rFonts w:ascii="Verdana" w:hAnsi="Verdana"/>
                <w:bCs/>
                <w:sz w:val="20"/>
              </w:rPr>
              <w:t xml:space="preserve"> regarding the use of the Internet</w:t>
            </w:r>
            <w:r w:rsidRPr="005E385F">
              <w:rPr>
                <w:rFonts w:ascii="Verdana" w:hAnsi="Verdana"/>
                <w:sz w:val="20"/>
              </w:rPr>
              <w:fldChar w:fldCharType="begin"/>
            </w:r>
            <w:r w:rsidRPr="005E385F">
              <w:rPr>
                <w:rFonts w:ascii="Verdana" w:hAnsi="Verdana"/>
                <w:sz w:val="20"/>
              </w:rPr>
              <w:instrText>xe "Internet"</w:instrText>
            </w:r>
            <w:r w:rsidRPr="005E385F">
              <w:rPr>
                <w:rFonts w:ascii="Verdana" w:hAnsi="Verdana"/>
                <w:sz w:val="20"/>
              </w:rPr>
              <w:fldChar w:fldCharType="end"/>
            </w:r>
          </w:p>
          <w:p w14:paraId="5091EBA2" w14:textId="77777777" w:rsidR="00F935B1" w:rsidRPr="005E385F" w:rsidRDefault="00F935B1" w:rsidP="00F935B1">
            <w:pPr>
              <w:pStyle w:val="NormalWeb"/>
              <w:numPr>
                <w:ilvl w:val="0"/>
                <w:numId w:val="12"/>
              </w:numPr>
              <w:spacing w:before="0" w:beforeAutospacing="0" w:after="0"/>
              <w:rPr>
                <w:rFonts w:ascii="Verdana" w:hAnsi="Verdana"/>
                <w:bCs/>
                <w:sz w:val="20"/>
              </w:rPr>
            </w:pPr>
            <w:r w:rsidRPr="005E385F">
              <w:rPr>
                <w:rFonts w:ascii="Verdana" w:hAnsi="Verdana"/>
                <w:bCs/>
                <w:sz w:val="20"/>
              </w:rPr>
              <w:t>Costs for training</w:t>
            </w:r>
            <w:r w:rsidRPr="005E385F">
              <w:rPr>
                <w:rFonts w:ascii="Verdana" w:hAnsi="Verdana"/>
                <w:sz w:val="20"/>
              </w:rPr>
              <w:fldChar w:fldCharType="begin"/>
            </w:r>
            <w:r w:rsidRPr="005E385F">
              <w:rPr>
                <w:rFonts w:ascii="Verdana" w:hAnsi="Verdana"/>
                <w:sz w:val="20"/>
              </w:rPr>
              <w:instrText>xe "</w:instrText>
            </w:r>
            <w:r w:rsidRPr="005E385F">
              <w:rPr>
                <w:rFonts w:ascii="Verdana" w:hAnsi="Verdana"/>
                <w:bCs/>
                <w:sz w:val="20"/>
              </w:rPr>
              <w:instrText>Training</w:instrText>
            </w:r>
            <w:r w:rsidRPr="005E385F">
              <w:rPr>
                <w:rFonts w:ascii="Verdana" w:hAnsi="Verdana"/>
                <w:sz w:val="20"/>
              </w:rPr>
              <w:instrText>"</w:instrText>
            </w:r>
            <w:r w:rsidRPr="005E385F">
              <w:rPr>
                <w:rFonts w:ascii="Verdana" w:hAnsi="Verdana"/>
                <w:sz w:val="20"/>
              </w:rPr>
              <w:fldChar w:fldCharType="end"/>
            </w:r>
            <w:r w:rsidRPr="005E385F">
              <w:rPr>
                <w:rFonts w:ascii="Verdana" w:hAnsi="Verdana"/>
                <w:bCs/>
                <w:sz w:val="20"/>
              </w:rPr>
              <w:t xml:space="preserve"> provided via the Internet</w:t>
            </w:r>
            <w:r w:rsidRPr="005E385F">
              <w:rPr>
                <w:rFonts w:ascii="Verdana" w:hAnsi="Verdana"/>
                <w:sz w:val="20"/>
              </w:rPr>
              <w:fldChar w:fldCharType="begin"/>
            </w:r>
            <w:r w:rsidRPr="005E385F">
              <w:rPr>
                <w:rFonts w:ascii="Verdana" w:hAnsi="Verdana"/>
                <w:sz w:val="20"/>
              </w:rPr>
              <w:instrText>xe "Internet"</w:instrText>
            </w:r>
            <w:r w:rsidRPr="005E385F">
              <w:rPr>
                <w:rFonts w:ascii="Verdana" w:hAnsi="Verdana"/>
                <w:sz w:val="20"/>
              </w:rPr>
              <w:fldChar w:fldCharType="end"/>
            </w:r>
          </w:p>
          <w:p w14:paraId="0909750E" w14:textId="77777777" w:rsidR="00F935B1" w:rsidRPr="005E385F" w:rsidRDefault="00F935B1" w:rsidP="00F935B1">
            <w:pPr>
              <w:pStyle w:val="NormalWeb"/>
              <w:numPr>
                <w:ilvl w:val="0"/>
                <w:numId w:val="12"/>
              </w:numPr>
              <w:spacing w:before="0" w:beforeAutospacing="0" w:after="0"/>
              <w:rPr>
                <w:rFonts w:ascii="Verdana" w:hAnsi="Verdana"/>
                <w:sz w:val="20"/>
              </w:rPr>
            </w:pPr>
            <w:r w:rsidRPr="005E385F">
              <w:rPr>
                <w:rFonts w:ascii="Verdana" w:hAnsi="Verdana"/>
                <w:sz w:val="20"/>
              </w:rPr>
              <w:t>Electronic library/on-line public access and associated software</w:t>
            </w:r>
          </w:p>
          <w:p w14:paraId="4ADC4D56" w14:textId="77777777" w:rsidR="00F935B1" w:rsidRPr="005E385F" w:rsidRDefault="00F935B1" w:rsidP="0083602C">
            <w:pPr>
              <w:pStyle w:val="NormalWeb"/>
              <w:spacing w:before="0" w:beforeAutospacing="0" w:after="0"/>
              <w:ind w:left="720"/>
              <w:rPr>
                <w:rFonts w:ascii="Verdana" w:hAnsi="Verdana"/>
                <w:sz w:val="20"/>
              </w:rPr>
            </w:pPr>
          </w:p>
          <w:p w14:paraId="008FBF60" w14:textId="77777777" w:rsidR="00F935B1" w:rsidRPr="005E385F" w:rsidRDefault="00F935B1" w:rsidP="0083602C">
            <w:pPr>
              <w:pStyle w:val="NormalWeb"/>
              <w:spacing w:before="0" w:beforeAutospacing="0" w:after="0"/>
              <w:rPr>
                <w:rFonts w:ascii="Verdana" w:hAnsi="Verdana"/>
                <w:bCs/>
                <w:sz w:val="20"/>
              </w:rPr>
            </w:pPr>
          </w:p>
          <w:p w14:paraId="25AD8544" w14:textId="77777777" w:rsidR="00F935B1" w:rsidRPr="005E385F" w:rsidRDefault="00F935B1" w:rsidP="0083602C">
            <w:pPr>
              <w:pStyle w:val="NormalWeb"/>
              <w:spacing w:before="0" w:beforeAutospacing="0" w:after="0"/>
              <w:rPr>
                <w:rFonts w:ascii="Verdana" w:hAnsi="Verdana"/>
                <w:bCs/>
                <w:sz w:val="20"/>
              </w:rPr>
            </w:pPr>
            <w:r w:rsidRPr="005E385F">
              <w:rPr>
                <w:rFonts w:ascii="Verdana" w:hAnsi="Verdana"/>
                <w:bCs/>
                <w:sz w:val="20"/>
              </w:rPr>
              <w:t>Separate pricing for the following components when not included in the standard configuration</w:t>
            </w:r>
            <w:r w:rsidRPr="005E385F">
              <w:rPr>
                <w:rFonts w:ascii="Verdana" w:hAnsi="Verdana"/>
                <w:sz w:val="20"/>
              </w:rPr>
              <w:fldChar w:fldCharType="begin"/>
            </w:r>
            <w:r w:rsidRPr="005E385F">
              <w:rPr>
                <w:rFonts w:ascii="Verdana" w:hAnsi="Verdana"/>
                <w:sz w:val="20"/>
              </w:rPr>
              <w:instrText>xe "</w:instrText>
            </w:r>
            <w:r w:rsidRPr="005E385F">
              <w:rPr>
                <w:rFonts w:ascii="Verdana" w:hAnsi="Verdana"/>
                <w:bCs/>
                <w:sz w:val="20"/>
              </w:rPr>
              <w:instrText>Configuration</w:instrText>
            </w:r>
            <w:r w:rsidRPr="005E385F">
              <w:rPr>
                <w:rFonts w:ascii="Verdana" w:hAnsi="Verdana"/>
                <w:sz w:val="20"/>
              </w:rPr>
              <w:instrText>"</w:instrText>
            </w:r>
            <w:r w:rsidRPr="005E385F">
              <w:rPr>
                <w:rFonts w:ascii="Verdana" w:hAnsi="Verdana"/>
                <w:sz w:val="20"/>
              </w:rPr>
              <w:fldChar w:fldCharType="end"/>
            </w:r>
            <w:r w:rsidRPr="005E385F">
              <w:rPr>
                <w:rFonts w:ascii="Verdana" w:hAnsi="Verdana"/>
                <w:bCs/>
                <w:sz w:val="20"/>
              </w:rPr>
              <w:t xml:space="preserve"> of an Internet access</w:t>
            </w:r>
            <w:r w:rsidRPr="005E385F">
              <w:rPr>
                <w:rFonts w:ascii="Verdana" w:hAnsi="Verdana"/>
                <w:sz w:val="20"/>
              </w:rPr>
              <w:fldChar w:fldCharType="begin"/>
            </w:r>
            <w:r w:rsidRPr="005E385F">
              <w:rPr>
                <w:rFonts w:ascii="Verdana" w:hAnsi="Verdana"/>
                <w:sz w:val="20"/>
              </w:rPr>
              <w:instrText>xe "Internet Access"</w:instrText>
            </w:r>
            <w:r w:rsidRPr="005E385F">
              <w:rPr>
                <w:rFonts w:ascii="Verdana" w:hAnsi="Verdana"/>
                <w:sz w:val="20"/>
              </w:rPr>
              <w:fldChar w:fldCharType="end"/>
            </w:r>
            <w:r w:rsidRPr="005E385F">
              <w:rPr>
                <w:rFonts w:ascii="Verdana" w:hAnsi="Verdana"/>
                <w:bCs/>
                <w:sz w:val="20"/>
              </w:rPr>
              <w:t xml:space="preserve"> service are also </w:t>
            </w:r>
            <w:r w:rsidRPr="005E385F">
              <w:rPr>
                <w:rFonts w:ascii="Verdana" w:hAnsi="Verdana"/>
                <w:b/>
                <w:bCs/>
                <w:sz w:val="20"/>
              </w:rPr>
              <w:t>NOT ELIGIBLE</w:t>
            </w:r>
            <w:r w:rsidRPr="005E385F">
              <w:rPr>
                <w:rFonts w:ascii="Verdana" w:hAnsi="Verdana"/>
                <w:bCs/>
                <w:sz w:val="20"/>
              </w:rPr>
              <w:t>:</w:t>
            </w:r>
          </w:p>
          <w:p w14:paraId="0CDE4ECF" w14:textId="77777777" w:rsidR="00F935B1" w:rsidRPr="005E385F" w:rsidRDefault="00F935B1" w:rsidP="0083602C">
            <w:pPr>
              <w:pStyle w:val="NormalWeb"/>
              <w:spacing w:before="0" w:beforeAutospacing="0" w:after="0"/>
              <w:rPr>
                <w:rFonts w:ascii="Verdana" w:hAnsi="Verdana"/>
                <w:bCs/>
                <w:sz w:val="20"/>
              </w:rPr>
            </w:pPr>
          </w:p>
          <w:p w14:paraId="478216A8" w14:textId="77777777" w:rsidR="00F935B1" w:rsidRPr="005E385F" w:rsidRDefault="00A0395D" w:rsidP="00F935B1">
            <w:pPr>
              <w:pStyle w:val="NormalWeb"/>
              <w:numPr>
                <w:ilvl w:val="0"/>
                <w:numId w:val="12"/>
              </w:numPr>
              <w:spacing w:before="0" w:beforeAutospacing="0" w:after="0"/>
              <w:rPr>
                <w:rFonts w:ascii="Verdana" w:hAnsi="Verdana"/>
                <w:bCs/>
                <w:sz w:val="20"/>
              </w:rPr>
            </w:pPr>
            <w:hyperlink w:anchor="IACachingService" w:history="1">
              <w:r w:rsidR="00F935B1" w:rsidRPr="005E385F">
                <w:rPr>
                  <w:rStyle w:val="Hyperlink"/>
                  <w:rFonts w:ascii="Verdana" w:hAnsi="Verdana"/>
                  <w:bCs/>
                  <w:sz w:val="20"/>
                </w:rPr>
                <w:t>Caching</w:t>
              </w:r>
              <w:r w:rsidR="00F935B1" w:rsidRPr="005E385F">
                <w:rPr>
                  <w:rFonts w:ascii="Verdana" w:hAnsi="Verdana"/>
                  <w:sz w:val="20"/>
                </w:rPr>
                <w:fldChar w:fldCharType="begin"/>
              </w:r>
              <w:r w:rsidR="00F935B1" w:rsidRPr="005E385F">
                <w:rPr>
                  <w:rFonts w:ascii="Verdana" w:hAnsi="Verdana"/>
                  <w:sz w:val="20"/>
                </w:rPr>
                <w:instrText>xe "</w:instrText>
              </w:r>
              <w:r w:rsidR="00F935B1" w:rsidRPr="005E385F">
                <w:rPr>
                  <w:rStyle w:val="Hyperlink"/>
                  <w:rFonts w:ascii="Verdana" w:hAnsi="Verdana"/>
                  <w:bCs/>
                  <w:sz w:val="20"/>
                </w:rPr>
                <w:instrText>Caching</w:instrText>
              </w:r>
              <w:r w:rsidR="00F935B1" w:rsidRPr="005E385F">
                <w:rPr>
                  <w:rFonts w:ascii="Verdana" w:hAnsi="Verdana"/>
                  <w:sz w:val="20"/>
                </w:rPr>
                <w:instrText>"</w:instrText>
              </w:r>
              <w:r w:rsidR="00F935B1" w:rsidRPr="005E385F">
                <w:rPr>
                  <w:rFonts w:ascii="Verdana" w:hAnsi="Verdana"/>
                  <w:sz w:val="20"/>
                </w:rPr>
                <w:fldChar w:fldCharType="end"/>
              </w:r>
            </w:hyperlink>
          </w:p>
          <w:p w14:paraId="64ABF6BF" w14:textId="77777777" w:rsidR="00F935B1" w:rsidRPr="005E385F" w:rsidRDefault="00F935B1" w:rsidP="00F935B1">
            <w:pPr>
              <w:pStyle w:val="NormalWeb"/>
              <w:numPr>
                <w:ilvl w:val="0"/>
                <w:numId w:val="12"/>
              </w:numPr>
              <w:spacing w:before="0" w:beforeAutospacing="0" w:after="0"/>
              <w:rPr>
                <w:rFonts w:ascii="Verdana" w:hAnsi="Verdana"/>
                <w:bCs/>
                <w:strike/>
                <w:sz w:val="20"/>
              </w:rPr>
            </w:pPr>
            <w:r w:rsidRPr="005E385F">
              <w:rPr>
                <w:rFonts w:ascii="Verdana" w:hAnsi="Verdana"/>
                <w:bCs/>
                <w:sz w:val="20"/>
              </w:rPr>
              <w:t>Content</w:t>
            </w:r>
            <w:r w:rsidRPr="005E385F">
              <w:rPr>
                <w:rFonts w:ascii="Verdana" w:hAnsi="Verdana"/>
                <w:sz w:val="20"/>
              </w:rPr>
              <w:fldChar w:fldCharType="begin"/>
            </w:r>
            <w:r w:rsidRPr="005E385F">
              <w:rPr>
                <w:rFonts w:ascii="Verdana" w:hAnsi="Verdana"/>
                <w:sz w:val="20"/>
              </w:rPr>
              <w:instrText>xe "</w:instrText>
            </w:r>
            <w:r w:rsidRPr="005E385F">
              <w:rPr>
                <w:rFonts w:ascii="Verdana" w:hAnsi="Verdana"/>
                <w:bCs/>
                <w:sz w:val="20"/>
              </w:rPr>
              <w:instrText>Content</w:instrText>
            </w:r>
            <w:r w:rsidRPr="005E385F">
              <w:rPr>
                <w:rFonts w:ascii="Verdana" w:hAnsi="Verdana"/>
                <w:sz w:val="20"/>
              </w:rPr>
              <w:instrText>"</w:instrText>
            </w:r>
            <w:r w:rsidRPr="005E385F">
              <w:rPr>
                <w:rFonts w:ascii="Verdana" w:hAnsi="Verdana"/>
                <w:sz w:val="20"/>
              </w:rPr>
              <w:fldChar w:fldCharType="end"/>
            </w:r>
            <w:r w:rsidRPr="005E385F">
              <w:rPr>
                <w:rFonts w:ascii="Verdana" w:hAnsi="Verdana"/>
                <w:bCs/>
                <w:sz w:val="20"/>
              </w:rPr>
              <w:t xml:space="preserve"> </w:t>
            </w:r>
            <w:hyperlink w:anchor="IAFilteringService" w:history="1">
              <w:r w:rsidRPr="005E385F">
                <w:rPr>
                  <w:rStyle w:val="Hyperlink"/>
                  <w:rFonts w:ascii="Verdana" w:hAnsi="Verdana"/>
                  <w:bCs/>
                  <w:sz w:val="20"/>
                </w:rPr>
                <w:t>filtering</w:t>
              </w:r>
              <w:r w:rsidRPr="005E385F">
                <w:rPr>
                  <w:rFonts w:ascii="Verdana" w:hAnsi="Verdana"/>
                  <w:sz w:val="20"/>
                </w:rPr>
                <w:fldChar w:fldCharType="begin"/>
              </w:r>
              <w:r w:rsidRPr="005E385F">
                <w:rPr>
                  <w:rFonts w:ascii="Verdana" w:hAnsi="Verdana"/>
                  <w:sz w:val="20"/>
                </w:rPr>
                <w:instrText>xe "Filtering Service"</w:instrText>
              </w:r>
              <w:r w:rsidRPr="005E385F">
                <w:rPr>
                  <w:rFonts w:ascii="Verdana" w:hAnsi="Verdana"/>
                  <w:sz w:val="20"/>
                </w:rPr>
                <w:fldChar w:fldCharType="end"/>
              </w:r>
            </w:hyperlink>
          </w:p>
          <w:p w14:paraId="3425D91A" w14:textId="77777777" w:rsidR="00F935B1" w:rsidRPr="005E385F" w:rsidRDefault="00A0395D" w:rsidP="00F935B1">
            <w:pPr>
              <w:pStyle w:val="NormalWeb"/>
              <w:numPr>
                <w:ilvl w:val="0"/>
                <w:numId w:val="12"/>
              </w:numPr>
              <w:spacing w:before="0" w:beforeAutospacing="0" w:after="0"/>
              <w:rPr>
                <w:rStyle w:val="Hyperlink"/>
                <w:rFonts w:ascii="Verdana" w:hAnsi="Verdana"/>
                <w:bCs/>
                <w:sz w:val="20"/>
              </w:rPr>
            </w:pPr>
            <w:hyperlink w:anchor="IAWebCasting" w:history="1">
              <w:r w:rsidR="00F935B1" w:rsidRPr="005E385F">
                <w:rPr>
                  <w:rStyle w:val="Hyperlink"/>
                  <w:rFonts w:ascii="Verdana" w:hAnsi="Verdana"/>
                  <w:bCs/>
                  <w:sz w:val="20"/>
                </w:rPr>
                <w:t>Web Casting</w:t>
              </w:r>
              <w:r w:rsidR="00F935B1" w:rsidRPr="005E385F">
                <w:rPr>
                  <w:rFonts w:ascii="Verdana" w:hAnsi="Verdana"/>
                  <w:sz w:val="20"/>
                </w:rPr>
                <w:fldChar w:fldCharType="begin"/>
              </w:r>
              <w:r w:rsidR="00F935B1" w:rsidRPr="005E385F">
                <w:rPr>
                  <w:rFonts w:ascii="Verdana" w:hAnsi="Verdana"/>
                  <w:sz w:val="20"/>
                </w:rPr>
                <w:instrText>xe "</w:instrText>
              </w:r>
              <w:r w:rsidR="00F935B1" w:rsidRPr="005E385F">
                <w:rPr>
                  <w:rStyle w:val="Hyperlink"/>
                  <w:rFonts w:ascii="Verdana" w:hAnsi="Verdana"/>
                  <w:bCs/>
                  <w:sz w:val="20"/>
                </w:rPr>
                <w:instrText>Web Casting</w:instrText>
              </w:r>
              <w:r w:rsidR="00F935B1" w:rsidRPr="005E385F">
                <w:rPr>
                  <w:rFonts w:ascii="Verdana" w:hAnsi="Verdana"/>
                  <w:sz w:val="20"/>
                </w:rPr>
                <w:instrText>"</w:instrText>
              </w:r>
              <w:r w:rsidR="00F935B1" w:rsidRPr="005E385F">
                <w:rPr>
                  <w:rFonts w:ascii="Verdana" w:hAnsi="Verdana"/>
                  <w:sz w:val="20"/>
                </w:rPr>
                <w:fldChar w:fldCharType="end"/>
              </w:r>
            </w:hyperlink>
          </w:p>
          <w:p w14:paraId="2B067A83" w14:textId="77777777" w:rsidR="00F935B1" w:rsidRPr="005E385F" w:rsidRDefault="00F935B1" w:rsidP="0083602C">
            <w:pPr>
              <w:pStyle w:val="NormalWeb"/>
              <w:spacing w:before="0" w:beforeAutospacing="0" w:after="0"/>
              <w:ind w:left="720"/>
              <w:rPr>
                <w:rStyle w:val="Hyperlink"/>
                <w:rFonts w:ascii="Verdana" w:hAnsi="Verdana"/>
                <w:sz w:val="20"/>
              </w:rPr>
            </w:pPr>
          </w:p>
          <w:p w14:paraId="3296B2AE" w14:textId="77777777" w:rsidR="00F935B1" w:rsidRPr="005E385F" w:rsidRDefault="00F935B1" w:rsidP="0083602C">
            <w:pPr>
              <w:pStyle w:val="NormalWeb"/>
              <w:spacing w:before="0" w:beforeAutospacing="0" w:after="0"/>
              <w:rPr>
                <w:rStyle w:val="Hyperlink"/>
                <w:rFonts w:ascii="Verdana" w:hAnsi="Verdana"/>
                <w:sz w:val="20"/>
              </w:rPr>
            </w:pPr>
          </w:p>
          <w:p w14:paraId="5A5194CD" w14:textId="77777777" w:rsidR="00F935B1" w:rsidRPr="005E385F" w:rsidRDefault="00F935B1" w:rsidP="0083602C">
            <w:pPr>
              <w:pStyle w:val="NormalWeb"/>
              <w:spacing w:before="0" w:beforeAutospacing="0" w:after="0"/>
              <w:rPr>
                <w:rFonts w:ascii="Verdana" w:hAnsi="Verdana"/>
                <w:bCs/>
                <w:sz w:val="20"/>
              </w:rPr>
            </w:pPr>
          </w:p>
          <w:p w14:paraId="06C66347" w14:textId="77777777" w:rsidR="00F935B1" w:rsidRPr="005E385F" w:rsidRDefault="00F935B1" w:rsidP="0083602C">
            <w:pPr>
              <w:pStyle w:val="NormalWeb"/>
              <w:spacing w:before="0" w:beforeAutospacing="0" w:after="0"/>
              <w:rPr>
                <w:rFonts w:ascii="Verdana" w:hAnsi="Verdana"/>
                <w:i/>
                <w:sz w:val="20"/>
                <w:u w:val="single"/>
              </w:rPr>
            </w:pPr>
            <w:r w:rsidRPr="005E385F">
              <w:rPr>
                <w:rFonts w:ascii="Verdana" w:hAnsi="Verdana"/>
                <w:sz w:val="20"/>
              </w:rPr>
              <w:t>-</w:t>
            </w:r>
            <w:r w:rsidRPr="005E385F">
              <w:rPr>
                <w:rFonts w:ascii="Verdana" w:hAnsi="Verdana"/>
                <w:i/>
                <w:sz w:val="20"/>
                <w:u w:val="single"/>
              </w:rPr>
              <w:t>Ineligible charges related to web hosting</w:t>
            </w:r>
          </w:p>
          <w:p w14:paraId="03DB565D" w14:textId="77777777" w:rsidR="00F935B1" w:rsidRPr="005E385F" w:rsidRDefault="00F935B1" w:rsidP="0083602C">
            <w:pPr>
              <w:pStyle w:val="NormalWeb"/>
              <w:spacing w:before="0" w:beforeAutospacing="0" w:after="0"/>
              <w:rPr>
                <w:rFonts w:ascii="Verdana" w:hAnsi="Verdana"/>
                <w:bCs/>
                <w:sz w:val="20"/>
              </w:rPr>
            </w:pPr>
          </w:p>
          <w:p w14:paraId="108CF0C6" w14:textId="77777777" w:rsidR="00F935B1" w:rsidRPr="005E385F" w:rsidRDefault="00F935B1" w:rsidP="00F935B1">
            <w:pPr>
              <w:pStyle w:val="NormalWeb"/>
              <w:numPr>
                <w:ilvl w:val="0"/>
                <w:numId w:val="36"/>
              </w:numPr>
              <w:spacing w:before="0" w:beforeAutospacing="0" w:after="0"/>
              <w:rPr>
                <w:rFonts w:ascii="Verdana" w:hAnsi="Verdana"/>
                <w:bCs/>
                <w:sz w:val="20"/>
              </w:rPr>
            </w:pPr>
            <w:r w:rsidRPr="005E385F">
              <w:rPr>
                <w:rFonts w:ascii="Verdana" w:hAnsi="Verdana"/>
                <w:bCs/>
                <w:sz w:val="20"/>
              </w:rPr>
              <w:t xml:space="preserve">Costs attributable to the creation or modification of information, or design such as a </w:t>
            </w:r>
            <w:hyperlink w:anchor="IAWebSiteCreationFee" w:history="1">
              <w:r w:rsidRPr="005E385F">
                <w:rPr>
                  <w:rStyle w:val="Hyperlink"/>
                  <w:rFonts w:ascii="Verdana" w:hAnsi="Verdana"/>
                  <w:bCs/>
                  <w:sz w:val="20"/>
                </w:rPr>
                <w:t>web site creation fee</w:t>
              </w:r>
              <w:r w:rsidRPr="005E385F">
                <w:rPr>
                  <w:rFonts w:ascii="Verdana" w:hAnsi="Verdana"/>
                  <w:sz w:val="20"/>
                </w:rPr>
                <w:fldChar w:fldCharType="begin"/>
              </w:r>
              <w:r w:rsidRPr="005E385F">
                <w:rPr>
                  <w:rFonts w:ascii="Verdana" w:hAnsi="Verdana"/>
                  <w:sz w:val="20"/>
                </w:rPr>
                <w:instrText>xe "</w:instrText>
              </w:r>
              <w:r w:rsidRPr="005E385F">
                <w:rPr>
                  <w:rStyle w:val="Hyperlink"/>
                  <w:rFonts w:ascii="Verdana" w:hAnsi="Verdana"/>
                  <w:bCs/>
                  <w:sz w:val="20"/>
                </w:rPr>
                <w:instrText>Web Site Creation Fee</w:instrText>
              </w:r>
              <w:r w:rsidRPr="005E385F">
                <w:rPr>
                  <w:rFonts w:ascii="Verdana" w:hAnsi="Verdana"/>
                  <w:sz w:val="20"/>
                </w:rPr>
                <w:instrText>"</w:instrText>
              </w:r>
              <w:r w:rsidRPr="005E385F">
                <w:rPr>
                  <w:rFonts w:ascii="Verdana" w:hAnsi="Verdana"/>
                  <w:sz w:val="20"/>
                </w:rPr>
                <w:fldChar w:fldCharType="end"/>
              </w:r>
            </w:hyperlink>
            <w:r w:rsidRPr="005E385F">
              <w:rPr>
                <w:rFonts w:ascii="Verdana" w:hAnsi="Verdana"/>
                <w:bCs/>
                <w:sz w:val="20"/>
              </w:rPr>
              <w:t xml:space="preserve"> or content</w:t>
            </w:r>
            <w:r w:rsidRPr="005E385F">
              <w:rPr>
                <w:rFonts w:ascii="Verdana" w:hAnsi="Verdana"/>
                <w:sz w:val="20"/>
              </w:rPr>
              <w:fldChar w:fldCharType="begin"/>
            </w:r>
            <w:r w:rsidRPr="005E385F">
              <w:rPr>
                <w:rFonts w:ascii="Verdana" w:hAnsi="Verdana"/>
                <w:sz w:val="20"/>
              </w:rPr>
              <w:instrText>xe "Content"</w:instrText>
            </w:r>
            <w:r w:rsidRPr="005E385F">
              <w:rPr>
                <w:rFonts w:ascii="Verdana" w:hAnsi="Verdana"/>
                <w:sz w:val="20"/>
              </w:rPr>
              <w:fldChar w:fldCharType="end"/>
            </w:r>
            <w:r w:rsidRPr="005E385F">
              <w:rPr>
                <w:rFonts w:ascii="Verdana" w:hAnsi="Verdana"/>
                <w:bCs/>
                <w:sz w:val="20"/>
              </w:rPr>
              <w:t xml:space="preserve"> maintenance</w:t>
            </w:r>
            <w:r w:rsidRPr="005E385F">
              <w:rPr>
                <w:rFonts w:ascii="Verdana" w:hAnsi="Verdana"/>
                <w:sz w:val="20"/>
              </w:rPr>
              <w:fldChar w:fldCharType="begin"/>
            </w:r>
            <w:r w:rsidRPr="005E385F">
              <w:rPr>
                <w:rFonts w:ascii="Verdana" w:hAnsi="Verdana"/>
                <w:sz w:val="20"/>
              </w:rPr>
              <w:instrText>xe "Maintenance"</w:instrText>
            </w:r>
            <w:r w:rsidRPr="005E385F">
              <w:rPr>
                <w:rFonts w:ascii="Verdana" w:hAnsi="Verdana"/>
                <w:sz w:val="20"/>
              </w:rPr>
              <w:fldChar w:fldCharType="end"/>
            </w:r>
            <w:r w:rsidRPr="005E385F">
              <w:rPr>
                <w:rFonts w:ascii="Verdana" w:hAnsi="Verdana"/>
                <w:bCs/>
                <w:sz w:val="20"/>
              </w:rPr>
              <w:t xml:space="preserve"> fees.</w:t>
            </w:r>
          </w:p>
          <w:p w14:paraId="09FD9E3F" w14:textId="77777777" w:rsidR="00F935B1" w:rsidRPr="005E385F" w:rsidRDefault="00F935B1" w:rsidP="00F935B1">
            <w:pPr>
              <w:pStyle w:val="NormalWeb"/>
              <w:numPr>
                <w:ilvl w:val="0"/>
                <w:numId w:val="36"/>
              </w:numPr>
              <w:spacing w:before="0" w:beforeAutospacing="0" w:after="0"/>
              <w:rPr>
                <w:rFonts w:ascii="Verdana" w:hAnsi="Verdana"/>
                <w:bCs/>
                <w:sz w:val="20"/>
              </w:rPr>
            </w:pPr>
            <w:r w:rsidRPr="005E385F">
              <w:rPr>
                <w:rFonts w:ascii="Verdana" w:hAnsi="Verdana"/>
                <w:bCs/>
                <w:sz w:val="20"/>
              </w:rPr>
              <w:t xml:space="preserve">Content supplied as part of a web hosting service created by third-party vendors or the web hosting service provider itself and </w:t>
            </w:r>
            <w:r w:rsidRPr="005E385F">
              <w:rPr>
                <w:rFonts w:ascii="Verdana" w:hAnsi="Verdana"/>
                <w:sz w:val="20"/>
              </w:rPr>
              <w:t>any features or software involving data input or retrieval other than the provision of applicant-created content for an educational purpose (</w:t>
            </w:r>
            <w:r w:rsidRPr="005E385F">
              <w:rPr>
                <w:rFonts w:ascii="Verdana" w:hAnsi="Verdana"/>
                <w:i/>
                <w:sz w:val="20"/>
              </w:rPr>
              <w:t>e.g.</w:t>
            </w:r>
            <w:r w:rsidRPr="005E385F">
              <w:rPr>
                <w:rFonts w:ascii="Verdana" w:hAnsi="Verdana"/>
                <w:sz w:val="20"/>
              </w:rPr>
              <w:t xml:space="preserve"> teacher web pages or blogs).</w:t>
            </w:r>
          </w:p>
          <w:p w14:paraId="61AC80D8" w14:textId="77777777" w:rsidR="00F935B1" w:rsidRPr="005E385F" w:rsidRDefault="00F935B1" w:rsidP="00F935B1">
            <w:pPr>
              <w:pStyle w:val="NormalWeb"/>
              <w:numPr>
                <w:ilvl w:val="0"/>
                <w:numId w:val="36"/>
              </w:numPr>
              <w:spacing w:before="0" w:beforeAutospacing="0" w:after="0"/>
              <w:rPr>
                <w:rFonts w:ascii="Verdana" w:hAnsi="Verdana"/>
                <w:bCs/>
                <w:sz w:val="20"/>
              </w:rPr>
            </w:pPr>
            <w:r w:rsidRPr="005E385F">
              <w:rPr>
                <w:rFonts w:ascii="Verdana" w:hAnsi="Verdana"/>
                <w:sz w:val="20"/>
              </w:rPr>
              <w:lastRenderedPageBreak/>
              <w:t>The parts of a web hosting service including, but not limited to, any portion of tools, capabilities or integration with other systems such as: Student Information Systems (SIS); databases; student attendance or grades or grade management; course scheduling; tests or testing systems; on-line/interactive education systems; and learning/education management systems.  (An eligible web hosting service will also not include support for the applications necessary to run online classes or collaborative meetings).</w:t>
            </w:r>
          </w:p>
        </w:tc>
      </w:tr>
    </w:tbl>
    <w:p w14:paraId="3FE850C8" w14:textId="77777777" w:rsidR="00F935B1" w:rsidRDefault="00F935B1" w:rsidP="00F935B1">
      <w:pPr>
        <w:tabs>
          <w:tab w:val="left" w:pos="6480"/>
          <w:tab w:val="left" w:pos="6570"/>
        </w:tabs>
        <w:jc w:val="center"/>
        <w:rPr>
          <w:rFonts w:ascii="Verdana" w:hAnsi="Verdana" w:cs="Arial"/>
          <w:b/>
          <w:bCs/>
        </w:rPr>
        <w:sectPr w:rsidR="00F935B1" w:rsidSect="0083602C">
          <w:footerReference w:type="default" r:id="rId35"/>
          <w:pgSz w:w="12240" w:h="15840"/>
          <w:pgMar w:top="1440" w:right="1800" w:bottom="1440" w:left="1800" w:header="720" w:footer="720" w:gutter="0"/>
          <w:cols w:space="720"/>
          <w:docGrid w:linePitch="360"/>
        </w:sectPr>
      </w:pPr>
    </w:p>
    <w:tbl>
      <w:tblPr>
        <w:tblW w:w="5000" w:type="pct"/>
        <w:tblCellSpacing w:w="1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43" w:type="dxa"/>
          <w:left w:w="288" w:type="dxa"/>
          <w:bottom w:w="43" w:type="dxa"/>
          <w:right w:w="288" w:type="dxa"/>
        </w:tblCellMar>
        <w:tblLook w:val="0000" w:firstRow="0" w:lastRow="0" w:firstColumn="0" w:lastColumn="0" w:noHBand="0" w:noVBand="0"/>
      </w:tblPr>
      <w:tblGrid>
        <w:gridCol w:w="2351"/>
        <w:gridCol w:w="6955"/>
      </w:tblGrid>
      <w:tr w:rsidR="00F935B1" w14:paraId="551DC7B6" w14:textId="77777777" w:rsidTr="0083602C">
        <w:trPr>
          <w:trHeight w:val="159"/>
          <w:tblCellSpacing w:w="15" w:type="dxa"/>
        </w:trPr>
        <w:tc>
          <w:tcPr>
            <w:tcW w:w="4968" w:type="pct"/>
            <w:gridSpan w:val="2"/>
            <w:shd w:val="clear" w:color="auto" w:fill="FFCC00"/>
          </w:tcPr>
          <w:p w14:paraId="4E6FCDAA" w14:textId="77777777" w:rsidR="00F935B1" w:rsidRDefault="00F935B1" w:rsidP="0083602C">
            <w:pPr>
              <w:jc w:val="center"/>
              <w:rPr>
                <w:rFonts w:ascii="Verdana" w:hAnsi="Verdana" w:cs="Arial"/>
                <w:b/>
                <w:bCs/>
              </w:rPr>
            </w:pPr>
          </w:p>
          <w:p w14:paraId="3231D7C3" w14:textId="77777777" w:rsidR="00F935B1" w:rsidRPr="005E385F" w:rsidRDefault="00F935B1" w:rsidP="0083602C">
            <w:pPr>
              <w:jc w:val="center"/>
              <w:rPr>
                <w:rFonts w:ascii="Verdana" w:hAnsi="Verdana" w:cs="Arial"/>
                <w:b/>
                <w:bCs/>
                <w:szCs w:val="22"/>
              </w:rPr>
            </w:pPr>
            <w:r w:rsidRPr="005E385F">
              <w:rPr>
                <w:rFonts w:ascii="Verdana" w:hAnsi="Verdana" w:cs="Arial"/>
                <w:b/>
                <w:bCs/>
                <w:szCs w:val="22"/>
              </w:rPr>
              <w:t>Priority Two:  Internal Connections</w:t>
            </w:r>
            <w:r w:rsidRPr="005E385F">
              <w:rPr>
                <w:rFonts w:ascii="Verdana" w:hAnsi="Verdana"/>
                <w:szCs w:val="22"/>
              </w:rPr>
              <w:fldChar w:fldCharType="begin"/>
            </w:r>
            <w:r w:rsidRPr="005E385F">
              <w:rPr>
                <w:rFonts w:ascii="Verdana" w:hAnsi="Verdana"/>
                <w:szCs w:val="22"/>
              </w:rPr>
              <w:instrText>xe "</w:instrText>
            </w:r>
            <w:r w:rsidRPr="005E385F">
              <w:rPr>
                <w:rStyle w:val="Hyperlink"/>
                <w:rFonts w:ascii="Verdana" w:hAnsi="Verdana"/>
                <w:szCs w:val="22"/>
              </w:rPr>
              <w:instrText>Internal Connections</w:instrText>
            </w:r>
            <w:r w:rsidRPr="005E385F">
              <w:rPr>
                <w:rFonts w:ascii="Verdana" w:hAnsi="Verdana"/>
                <w:szCs w:val="22"/>
              </w:rPr>
              <w:instrText>"</w:instrText>
            </w:r>
            <w:r w:rsidRPr="005E385F">
              <w:rPr>
                <w:rFonts w:ascii="Verdana" w:hAnsi="Verdana"/>
                <w:szCs w:val="22"/>
              </w:rPr>
              <w:fldChar w:fldCharType="end"/>
            </w:r>
            <w:r w:rsidRPr="005E385F">
              <w:rPr>
                <w:rFonts w:ascii="Verdana" w:hAnsi="Verdana" w:cs="Arial"/>
                <w:b/>
                <w:bCs/>
                <w:szCs w:val="22"/>
              </w:rPr>
              <w:t xml:space="preserve"> </w:t>
            </w:r>
          </w:p>
          <w:p w14:paraId="3D2F27FC" w14:textId="77777777" w:rsidR="00F935B1" w:rsidRDefault="00F935B1" w:rsidP="0083602C">
            <w:pPr>
              <w:jc w:val="center"/>
              <w:rPr>
                <w:rFonts w:ascii="Verdana" w:hAnsi="Verdana" w:cs="Arial"/>
                <w:b/>
                <w:bCs/>
              </w:rPr>
            </w:pPr>
          </w:p>
        </w:tc>
      </w:tr>
      <w:tr w:rsidR="00F935B1" w:rsidRPr="005E385F" w14:paraId="5E966E82" w14:textId="77777777" w:rsidTr="0083602C">
        <w:trPr>
          <w:trHeight w:val="159"/>
          <w:tblCellSpacing w:w="15" w:type="dxa"/>
        </w:trPr>
        <w:tc>
          <w:tcPr>
            <w:tcW w:w="4968" w:type="pct"/>
            <w:gridSpan w:val="2"/>
          </w:tcPr>
          <w:p w14:paraId="728370CC" w14:textId="77777777" w:rsidR="00F935B1" w:rsidRPr="005E385F" w:rsidRDefault="00F935B1" w:rsidP="0083602C">
            <w:pPr>
              <w:pStyle w:val="NormalWeb"/>
              <w:spacing w:before="0" w:beforeAutospacing="0" w:after="0"/>
              <w:ind w:left="720"/>
              <w:rPr>
                <w:rFonts w:ascii="Verdana" w:hAnsi="Verdana"/>
                <w:b/>
                <w:bCs/>
                <w:sz w:val="20"/>
              </w:rPr>
            </w:pPr>
          </w:p>
          <w:p w14:paraId="378B4097" w14:textId="77777777" w:rsidR="00F935B1" w:rsidRPr="005E385F" w:rsidRDefault="00F935B1" w:rsidP="0083602C">
            <w:pPr>
              <w:pStyle w:val="NormalWeb"/>
              <w:spacing w:before="0" w:beforeAutospacing="0" w:after="0"/>
              <w:ind w:left="720"/>
              <w:rPr>
                <w:rFonts w:ascii="Verdana" w:hAnsi="Verdana"/>
                <w:b/>
                <w:bCs/>
                <w:sz w:val="20"/>
              </w:rPr>
            </w:pPr>
            <w:r w:rsidRPr="005E385F">
              <w:rPr>
                <w:rFonts w:ascii="Verdana" w:hAnsi="Verdana"/>
                <w:b/>
                <w:bCs/>
                <w:sz w:val="20"/>
              </w:rPr>
              <w:t>Eligibility Requirements for All Internal Connections</w:t>
            </w:r>
            <w:r w:rsidRPr="005E385F">
              <w:rPr>
                <w:rFonts w:ascii="Verdana" w:hAnsi="Verdana"/>
                <w:sz w:val="20"/>
              </w:rPr>
              <w:fldChar w:fldCharType="begin"/>
            </w:r>
            <w:r w:rsidRPr="005E385F">
              <w:rPr>
                <w:rFonts w:ascii="Verdana" w:hAnsi="Verdana"/>
                <w:sz w:val="20"/>
              </w:rPr>
              <w:instrText>xe "</w:instrText>
            </w:r>
            <w:r w:rsidRPr="005E385F">
              <w:rPr>
                <w:rStyle w:val="Hyperlink"/>
                <w:rFonts w:ascii="Verdana" w:hAnsi="Verdana"/>
                <w:sz w:val="20"/>
              </w:rPr>
              <w:instrText>Internal Connections</w:instrText>
            </w:r>
            <w:r w:rsidRPr="005E385F">
              <w:rPr>
                <w:rFonts w:ascii="Verdana" w:hAnsi="Verdana"/>
                <w:sz w:val="20"/>
              </w:rPr>
              <w:instrText>"</w:instrText>
            </w:r>
            <w:r w:rsidRPr="005E385F">
              <w:rPr>
                <w:rFonts w:ascii="Verdana" w:hAnsi="Verdana"/>
                <w:sz w:val="20"/>
              </w:rPr>
              <w:fldChar w:fldCharType="end"/>
            </w:r>
            <w:r w:rsidRPr="005E385F">
              <w:rPr>
                <w:rFonts w:ascii="Verdana" w:hAnsi="Verdana"/>
                <w:b/>
                <w:bCs/>
                <w:sz w:val="20"/>
              </w:rPr>
              <w:t>:</w:t>
            </w:r>
          </w:p>
          <w:p w14:paraId="7439ABB5" w14:textId="77777777" w:rsidR="00F935B1" w:rsidRPr="005E385F" w:rsidRDefault="00F935B1" w:rsidP="0083602C">
            <w:pPr>
              <w:pStyle w:val="NormalWeb"/>
              <w:spacing w:before="0" w:beforeAutospacing="0" w:after="0"/>
              <w:ind w:left="720"/>
              <w:rPr>
                <w:rFonts w:ascii="Verdana" w:hAnsi="Verdana"/>
                <w:b/>
                <w:bCs/>
                <w:sz w:val="20"/>
              </w:rPr>
            </w:pPr>
          </w:p>
          <w:p w14:paraId="637D2A33" w14:textId="77777777" w:rsidR="00F935B1" w:rsidRPr="005E385F" w:rsidRDefault="00F935B1" w:rsidP="0083602C">
            <w:pPr>
              <w:pStyle w:val="NormalWeb"/>
              <w:spacing w:before="0" w:beforeAutospacing="0" w:after="0"/>
              <w:ind w:left="720"/>
              <w:rPr>
                <w:rFonts w:ascii="Verdana" w:hAnsi="Verdana"/>
                <w:sz w:val="20"/>
              </w:rPr>
            </w:pPr>
            <w:r w:rsidRPr="005E385F">
              <w:rPr>
                <w:rFonts w:ascii="Verdana" w:hAnsi="Verdana"/>
                <w:sz w:val="20"/>
              </w:rPr>
              <w:t>Internal Connections are components located at the applicant site that are necessary to transport information to classrooms, publicly accessible rooms of a library, and to eligible administrative areas or buildings.  Internal Connections include connections within, between or among instructional buildings that comprise a school campus or library branch, but do not include services that extend beyond the school campus or library branch.</w:t>
            </w:r>
          </w:p>
          <w:p w14:paraId="53C8D280" w14:textId="77777777" w:rsidR="00F935B1" w:rsidRPr="005E385F" w:rsidRDefault="00F935B1" w:rsidP="0083602C">
            <w:pPr>
              <w:pStyle w:val="NormalWeb"/>
              <w:spacing w:before="0" w:beforeAutospacing="0" w:after="0"/>
              <w:ind w:left="720"/>
              <w:rPr>
                <w:rFonts w:ascii="Verdana" w:hAnsi="Verdana"/>
                <w:sz w:val="20"/>
              </w:rPr>
            </w:pPr>
            <w:r w:rsidRPr="005E385F">
              <w:rPr>
                <w:rFonts w:ascii="Verdana" w:hAnsi="Verdana"/>
                <w:sz w:val="20"/>
              </w:rPr>
              <w:t xml:space="preserve"> </w:t>
            </w:r>
          </w:p>
          <w:p w14:paraId="5A404886" w14:textId="77777777" w:rsidR="00F935B1" w:rsidRPr="005E385F" w:rsidRDefault="00F935B1" w:rsidP="0083602C">
            <w:pPr>
              <w:pStyle w:val="NormalWeb"/>
              <w:spacing w:before="0" w:beforeAutospacing="0" w:after="0"/>
              <w:ind w:left="720"/>
              <w:rPr>
                <w:rFonts w:ascii="Verdana" w:hAnsi="Verdana"/>
                <w:sz w:val="20"/>
              </w:rPr>
            </w:pPr>
            <w:r w:rsidRPr="005E385F">
              <w:rPr>
                <w:rFonts w:ascii="Verdana" w:hAnsi="Verdana"/>
                <w:sz w:val="20"/>
              </w:rPr>
              <w:t>Components at the applicant site are eligible only if they are an essential element in the transmission of information within the school or library.  The components</w:t>
            </w:r>
            <w:r w:rsidRPr="005E385F">
              <w:rPr>
                <w:rFonts w:ascii="Verdana" w:hAnsi="Verdana"/>
                <w:sz w:val="20"/>
              </w:rPr>
              <w:fldChar w:fldCharType="begin"/>
            </w:r>
            <w:r w:rsidRPr="005E385F">
              <w:rPr>
                <w:rFonts w:ascii="Verdana" w:hAnsi="Verdana"/>
                <w:sz w:val="20"/>
              </w:rPr>
              <w:instrText>xe "Component</w:instrText>
            </w:r>
            <w:r w:rsidRPr="005E385F">
              <w:rPr>
                <w:rFonts w:ascii="Verdana" w:hAnsi="Verdana"/>
                <w:bCs/>
                <w:sz w:val="20"/>
              </w:rPr>
              <w:instrText>s</w:instrText>
            </w:r>
            <w:r w:rsidRPr="005E385F">
              <w:rPr>
                <w:rFonts w:ascii="Verdana" w:hAnsi="Verdana"/>
                <w:sz w:val="20"/>
              </w:rPr>
              <w:instrText>"</w:instrText>
            </w:r>
            <w:r w:rsidRPr="005E385F">
              <w:rPr>
                <w:rFonts w:ascii="Verdana" w:hAnsi="Verdana"/>
                <w:sz w:val="20"/>
              </w:rPr>
              <w:fldChar w:fldCharType="end"/>
            </w:r>
            <w:r w:rsidRPr="005E385F">
              <w:rPr>
                <w:rFonts w:ascii="Verdana" w:hAnsi="Verdana"/>
                <w:sz w:val="20"/>
              </w:rPr>
              <w:t xml:space="preserve"> must be necessary to transport information to the individual classrooms or public areas of a library.</w:t>
            </w:r>
          </w:p>
          <w:p w14:paraId="6F2B1637" w14:textId="77777777" w:rsidR="00F935B1" w:rsidRPr="005E385F" w:rsidRDefault="00F935B1" w:rsidP="0083602C">
            <w:pPr>
              <w:pStyle w:val="NormalWeb"/>
              <w:spacing w:before="0" w:beforeAutospacing="0" w:after="0"/>
              <w:ind w:left="720"/>
              <w:rPr>
                <w:rFonts w:ascii="Verdana" w:hAnsi="Verdana"/>
                <w:sz w:val="20"/>
              </w:rPr>
            </w:pPr>
          </w:p>
          <w:p w14:paraId="63003E81" w14:textId="77777777" w:rsidR="00F935B1" w:rsidRPr="005E385F" w:rsidRDefault="00F935B1" w:rsidP="0083602C">
            <w:pPr>
              <w:pStyle w:val="NormalWeb"/>
              <w:spacing w:before="0" w:beforeAutospacing="0" w:after="0"/>
              <w:ind w:left="720"/>
              <w:rPr>
                <w:rFonts w:ascii="Verdana" w:hAnsi="Verdana"/>
                <w:sz w:val="20"/>
              </w:rPr>
            </w:pPr>
            <w:r w:rsidRPr="005E385F">
              <w:rPr>
                <w:rFonts w:ascii="Verdana" w:hAnsi="Verdana"/>
                <w:sz w:val="20"/>
              </w:rPr>
              <w:t>Internal Connections</w:t>
            </w:r>
            <w:r w:rsidRPr="005E385F">
              <w:rPr>
                <w:rFonts w:ascii="Verdana" w:hAnsi="Verdana"/>
                <w:sz w:val="20"/>
              </w:rPr>
              <w:fldChar w:fldCharType="begin"/>
            </w:r>
            <w:r w:rsidRPr="005E385F">
              <w:rPr>
                <w:rFonts w:ascii="Verdana" w:hAnsi="Verdana"/>
                <w:sz w:val="20"/>
              </w:rPr>
              <w:instrText>xe "</w:instrText>
            </w:r>
            <w:r w:rsidRPr="005E385F">
              <w:rPr>
                <w:rStyle w:val="Hyperlink"/>
                <w:rFonts w:ascii="Verdana" w:hAnsi="Verdana"/>
                <w:sz w:val="20"/>
              </w:rPr>
              <w:instrText>Internal Connections</w:instrText>
            </w:r>
            <w:r w:rsidRPr="005E385F">
              <w:rPr>
                <w:rFonts w:ascii="Verdana" w:hAnsi="Verdana"/>
                <w:sz w:val="20"/>
              </w:rPr>
              <w:instrText>"</w:instrText>
            </w:r>
            <w:r w:rsidRPr="005E385F">
              <w:rPr>
                <w:rFonts w:ascii="Verdana" w:hAnsi="Verdana"/>
                <w:sz w:val="20"/>
              </w:rPr>
              <w:fldChar w:fldCharType="end"/>
            </w:r>
            <w:r w:rsidRPr="005E385F">
              <w:rPr>
                <w:rFonts w:ascii="Verdana" w:hAnsi="Verdana"/>
                <w:sz w:val="20"/>
              </w:rPr>
              <w:t xml:space="preserve"> do not include services that extend across a public right-of-way beyond the school or library facility.</w:t>
            </w:r>
          </w:p>
          <w:p w14:paraId="1B6AC4BD" w14:textId="77777777" w:rsidR="00F935B1" w:rsidRPr="005E385F" w:rsidRDefault="00F935B1" w:rsidP="0083602C">
            <w:pPr>
              <w:pStyle w:val="NormalWeb"/>
              <w:spacing w:before="0" w:beforeAutospacing="0" w:after="0"/>
              <w:ind w:left="720"/>
              <w:rPr>
                <w:rFonts w:ascii="Verdana" w:hAnsi="Verdana"/>
                <w:sz w:val="20"/>
              </w:rPr>
            </w:pPr>
          </w:p>
          <w:p w14:paraId="6A0A5362" w14:textId="77777777" w:rsidR="00F935B1" w:rsidRPr="005E385F" w:rsidRDefault="00F935B1" w:rsidP="0083602C">
            <w:pPr>
              <w:pStyle w:val="NormalWeb"/>
              <w:spacing w:before="0" w:beforeAutospacing="0" w:after="0"/>
              <w:ind w:left="720"/>
              <w:rPr>
                <w:rFonts w:ascii="Verdana" w:hAnsi="Verdana"/>
                <w:sz w:val="20"/>
              </w:rPr>
            </w:pPr>
            <w:r w:rsidRPr="005E385F">
              <w:rPr>
                <w:rFonts w:ascii="Verdana" w:hAnsi="Verdana"/>
                <w:sz w:val="20"/>
              </w:rPr>
              <w:t>Funding for Internal Connections</w:t>
            </w:r>
            <w:r w:rsidRPr="005E385F">
              <w:rPr>
                <w:rFonts w:ascii="Verdana" w:hAnsi="Verdana"/>
                <w:sz w:val="20"/>
              </w:rPr>
              <w:fldChar w:fldCharType="begin"/>
            </w:r>
            <w:r w:rsidRPr="005E385F">
              <w:rPr>
                <w:rFonts w:ascii="Verdana" w:hAnsi="Verdana"/>
                <w:sz w:val="20"/>
              </w:rPr>
              <w:instrText>xe "</w:instrText>
            </w:r>
            <w:r w:rsidRPr="005E385F">
              <w:rPr>
                <w:rStyle w:val="Hyperlink"/>
                <w:rFonts w:ascii="Verdana" w:hAnsi="Verdana"/>
                <w:sz w:val="20"/>
              </w:rPr>
              <w:instrText>Internal Connections</w:instrText>
            </w:r>
            <w:r w:rsidRPr="005E385F">
              <w:rPr>
                <w:rFonts w:ascii="Verdana" w:hAnsi="Verdana"/>
                <w:sz w:val="20"/>
              </w:rPr>
              <w:instrText>"</w:instrText>
            </w:r>
            <w:r w:rsidRPr="005E385F">
              <w:rPr>
                <w:rFonts w:ascii="Verdana" w:hAnsi="Verdana"/>
                <w:sz w:val="20"/>
              </w:rPr>
              <w:fldChar w:fldCharType="end"/>
            </w:r>
            <w:r w:rsidRPr="005E385F">
              <w:rPr>
                <w:rFonts w:ascii="Verdana" w:hAnsi="Verdana"/>
                <w:sz w:val="20"/>
              </w:rPr>
              <w:t xml:space="preserve"> is subject to the provisions of the “</w:t>
            </w:r>
            <w:hyperlink w:anchor="xxAddlRefInfo2OutOf5Rule" w:history="1">
              <w:r w:rsidRPr="005E385F">
                <w:rPr>
                  <w:rStyle w:val="Hyperlink"/>
                  <w:rFonts w:ascii="Verdana" w:hAnsi="Verdana"/>
                  <w:sz w:val="20"/>
                </w:rPr>
                <w:t>Two-in-Five Rule</w:t>
              </w:r>
              <w:r w:rsidRPr="005E385F">
                <w:rPr>
                  <w:rFonts w:ascii="Verdana" w:hAnsi="Verdana"/>
                  <w:sz w:val="20"/>
                </w:rPr>
                <w:fldChar w:fldCharType="begin"/>
              </w:r>
              <w:r w:rsidRPr="005E385F">
                <w:rPr>
                  <w:rFonts w:ascii="Verdana" w:hAnsi="Verdana"/>
                  <w:sz w:val="20"/>
                </w:rPr>
                <w:instrText>xe "Two-in-Five Rule"</w:instrText>
              </w:r>
              <w:r w:rsidRPr="005E385F">
                <w:rPr>
                  <w:rFonts w:ascii="Verdana" w:hAnsi="Verdana"/>
                  <w:sz w:val="20"/>
                </w:rPr>
                <w:fldChar w:fldCharType="end"/>
              </w:r>
            </w:hyperlink>
            <w:r w:rsidRPr="005E385F">
              <w:rPr>
                <w:rFonts w:ascii="Verdana" w:hAnsi="Verdana"/>
                <w:sz w:val="20"/>
              </w:rPr>
              <w:t>.”</w:t>
            </w:r>
          </w:p>
          <w:p w14:paraId="292DD6CE" w14:textId="77777777" w:rsidR="00F935B1" w:rsidRPr="005E385F" w:rsidRDefault="00F935B1" w:rsidP="0083602C">
            <w:pPr>
              <w:pStyle w:val="NormalWeb"/>
              <w:spacing w:before="0" w:beforeAutospacing="0" w:after="0"/>
              <w:ind w:left="720"/>
              <w:rPr>
                <w:rFonts w:ascii="Verdana" w:hAnsi="Verdana"/>
                <w:sz w:val="20"/>
              </w:rPr>
            </w:pPr>
          </w:p>
        </w:tc>
      </w:tr>
      <w:tr w:rsidR="00F935B1" w:rsidRPr="005E385F" w14:paraId="40ED8EE1" w14:textId="77777777" w:rsidTr="0083602C">
        <w:trPr>
          <w:trHeight w:val="159"/>
          <w:tblCellSpacing w:w="15" w:type="dxa"/>
        </w:trPr>
        <w:tc>
          <w:tcPr>
            <w:tcW w:w="1243" w:type="pct"/>
          </w:tcPr>
          <w:p w14:paraId="4C1A4A9E" w14:textId="77777777" w:rsidR="00F935B1" w:rsidRPr="005E385F" w:rsidRDefault="00F935B1" w:rsidP="0083602C">
            <w:pPr>
              <w:jc w:val="center"/>
              <w:rPr>
                <w:rFonts w:ascii="Verdana" w:hAnsi="Verdana"/>
                <w:sz w:val="20"/>
              </w:rPr>
            </w:pPr>
            <w:r w:rsidRPr="005E385F">
              <w:rPr>
                <w:rFonts w:ascii="Verdana" w:hAnsi="Verdana"/>
                <w:b/>
                <w:bCs/>
                <w:sz w:val="20"/>
              </w:rPr>
              <w:t>Function</w:t>
            </w:r>
          </w:p>
        </w:tc>
        <w:tc>
          <w:tcPr>
            <w:tcW w:w="3709" w:type="pct"/>
          </w:tcPr>
          <w:p w14:paraId="27AD5DA0" w14:textId="77777777" w:rsidR="00F935B1" w:rsidRPr="005E385F" w:rsidRDefault="00F935B1" w:rsidP="0083602C">
            <w:pPr>
              <w:jc w:val="center"/>
              <w:rPr>
                <w:rFonts w:ascii="Verdana" w:hAnsi="Verdana"/>
                <w:sz w:val="20"/>
              </w:rPr>
            </w:pPr>
            <w:r w:rsidRPr="005E385F">
              <w:rPr>
                <w:rFonts w:ascii="Verdana" w:hAnsi="Verdana"/>
                <w:b/>
                <w:bCs/>
                <w:sz w:val="20"/>
              </w:rPr>
              <w:t>Description</w:t>
            </w:r>
            <w:r w:rsidRPr="005E385F">
              <w:rPr>
                <w:rFonts w:ascii="Verdana" w:hAnsi="Verdana"/>
                <w:sz w:val="20"/>
              </w:rPr>
              <w:t xml:space="preserve"> </w:t>
            </w:r>
          </w:p>
        </w:tc>
      </w:tr>
      <w:tr w:rsidR="00F935B1" w:rsidRPr="005E385F" w14:paraId="7D6577B2" w14:textId="77777777" w:rsidTr="0083602C">
        <w:trPr>
          <w:trHeight w:val="159"/>
          <w:tblCellSpacing w:w="15" w:type="dxa"/>
        </w:trPr>
        <w:tc>
          <w:tcPr>
            <w:tcW w:w="1243" w:type="pct"/>
          </w:tcPr>
          <w:p w14:paraId="748F19B6" w14:textId="77777777" w:rsidR="00F935B1" w:rsidRPr="005E385F" w:rsidRDefault="00F935B1" w:rsidP="0083602C">
            <w:pPr>
              <w:rPr>
                <w:rFonts w:ascii="Verdana" w:hAnsi="Verdana"/>
                <w:sz w:val="20"/>
              </w:rPr>
            </w:pPr>
            <w:r w:rsidRPr="005E385F">
              <w:rPr>
                <w:rFonts w:ascii="Verdana" w:hAnsi="Verdana"/>
                <w:sz w:val="20"/>
              </w:rPr>
              <w:t>Cabling</w:t>
            </w:r>
            <w:r w:rsidRPr="005E385F">
              <w:rPr>
                <w:rFonts w:ascii="Verdana" w:hAnsi="Verdana"/>
                <w:sz w:val="20"/>
              </w:rPr>
              <w:fldChar w:fldCharType="begin"/>
            </w:r>
            <w:r w:rsidRPr="005E385F">
              <w:rPr>
                <w:rFonts w:ascii="Verdana" w:hAnsi="Verdana"/>
                <w:sz w:val="20"/>
              </w:rPr>
              <w:instrText>xe "</w:instrText>
            </w:r>
            <w:r w:rsidRPr="005E385F">
              <w:rPr>
                <w:rStyle w:val="Hyperlink"/>
                <w:rFonts w:ascii="Verdana" w:hAnsi="Verdana"/>
                <w:bCs/>
                <w:sz w:val="20"/>
              </w:rPr>
              <w:instrText>Cabling</w:instrText>
            </w:r>
            <w:r w:rsidRPr="005E385F">
              <w:rPr>
                <w:rFonts w:ascii="Verdana" w:hAnsi="Verdana"/>
                <w:sz w:val="20"/>
              </w:rPr>
              <w:instrText>"</w:instrText>
            </w:r>
            <w:r w:rsidRPr="005E385F">
              <w:rPr>
                <w:rFonts w:ascii="Verdana" w:hAnsi="Verdana"/>
                <w:sz w:val="20"/>
              </w:rPr>
              <w:fldChar w:fldCharType="end"/>
            </w:r>
            <w:r w:rsidRPr="005E385F">
              <w:rPr>
                <w:rFonts w:ascii="Verdana" w:hAnsi="Verdana"/>
                <w:sz w:val="20"/>
              </w:rPr>
              <w:t>/ Connectors</w:t>
            </w:r>
            <w:r w:rsidRPr="005E385F">
              <w:rPr>
                <w:rFonts w:ascii="Verdana" w:hAnsi="Verdana"/>
                <w:sz w:val="20"/>
              </w:rPr>
              <w:fldChar w:fldCharType="begin"/>
            </w:r>
            <w:r w:rsidRPr="005E385F">
              <w:rPr>
                <w:rFonts w:ascii="Verdana" w:hAnsi="Verdana"/>
                <w:sz w:val="20"/>
              </w:rPr>
              <w:instrText>xe "</w:instrText>
            </w:r>
            <w:r w:rsidRPr="005E385F">
              <w:rPr>
                <w:rFonts w:ascii="Verdana" w:hAnsi="Verdana"/>
                <w:bCs/>
                <w:sz w:val="20"/>
              </w:rPr>
              <w:instrText>Connectors</w:instrText>
            </w:r>
            <w:r w:rsidRPr="005E385F">
              <w:rPr>
                <w:rFonts w:ascii="Verdana" w:hAnsi="Verdana"/>
                <w:sz w:val="20"/>
              </w:rPr>
              <w:instrText>"</w:instrText>
            </w:r>
            <w:r w:rsidRPr="005E385F">
              <w:rPr>
                <w:rFonts w:ascii="Verdana" w:hAnsi="Verdana"/>
                <w:sz w:val="20"/>
              </w:rPr>
              <w:fldChar w:fldCharType="end"/>
            </w:r>
          </w:p>
          <w:p w14:paraId="30DA625D" w14:textId="77777777" w:rsidR="00F935B1" w:rsidRPr="005E385F" w:rsidRDefault="00F935B1" w:rsidP="0083602C">
            <w:pPr>
              <w:rPr>
                <w:rFonts w:ascii="Verdana" w:hAnsi="Verdana"/>
                <w:sz w:val="20"/>
              </w:rPr>
            </w:pPr>
          </w:p>
          <w:p w14:paraId="44FC5E61" w14:textId="77777777" w:rsidR="00F935B1" w:rsidRPr="005E385F" w:rsidRDefault="00F935B1" w:rsidP="0083602C">
            <w:pPr>
              <w:rPr>
                <w:rFonts w:ascii="Verdana" w:hAnsi="Verdana"/>
                <w:sz w:val="20"/>
              </w:rPr>
            </w:pPr>
          </w:p>
        </w:tc>
        <w:tc>
          <w:tcPr>
            <w:tcW w:w="3709" w:type="pct"/>
          </w:tcPr>
          <w:p w14:paraId="20BD8BDA" w14:textId="77777777" w:rsidR="00F935B1" w:rsidRPr="005E385F" w:rsidRDefault="00A0395D" w:rsidP="0083602C">
            <w:pPr>
              <w:pStyle w:val="NormalWeb"/>
              <w:spacing w:before="0" w:beforeAutospacing="0" w:after="0"/>
              <w:rPr>
                <w:rFonts w:ascii="Verdana" w:hAnsi="Verdana"/>
                <w:bCs/>
                <w:sz w:val="20"/>
              </w:rPr>
            </w:pPr>
            <w:hyperlink w:anchor="Cabling" w:history="1">
              <w:r w:rsidR="00F935B1" w:rsidRPr="005E385F">
                <w:rPr>
                  <w:rStyle w:val="Hyperlink"/>
                  <w:rFonts w:ascii="Verdana" w:hAnsi="Verdana"/>
                  <w:bCs/>
                  <w:sz w:val="20"/>
                </w:rPr>
                <w:t>Cabling</w:t>
              </w:r>
              <w:r w:rsidR="00F935B1" w:rsidRPr="005E385F">
                <w:rPr>
                  <w:rFonts w:ascii="Verdana" w:hAnsi="Verdana"/>
                  <w:sz w:val="20"/>
                </w:rPr>
                <w:fldChar w:fldCharType="begin"/>
              </w:r>
              <w:r w:rsidR="00F935B1" w:rsidRPr="005E385F">
                <w:rPr>
                  <w:rFonts w:ascii="Verdana" w:hAnsi="Verdana"/>
                  <w:sz w:val="20"/>
                </w:rPr>
                <w:instrText>xe "</w:instrText>
              </w:r>
              <w:r w:rsidR="00F935B1" w:rsidRPr="005E385F">
                <w:rPr>
                  <w:rStyle w:val="Hyperlink"/>
                  <w:rFonts w:ascii="Verdana" w:hAnsi="Verdana"/>
                  <w:bCs/>
                  <w:sz w:val="20"/>
                </w:rPr>
                <w:instrText>Cabling</w:instrText>
              </w:r>
              <w:r w:rsidR="00F935B1" w:rsidRPr="005E385F">
                <w:rPr>
                  <w:rFonts w:ascii="Verdana" w:hAnsi="Verdana"/>
                  <w:sz w:val="20"/>
                </w:rPr>
                <w:instrText>"</w:instrText>
              </w:r>
              <w:r w:rsidR="00F935B1" w:rsidRPr="005E385F">
                <w:rPr>
                  <w:rFonts w:ascii="Verdana" w:hAnsi="Verdana"/>
                  <w:sz w:val="20"/>
                </w:rPr>
                <w:fldChar w:fldCharType="end"/>
              </w:r>
            </w:hyperlink>
            <w:r w:rsidR="00F935B1" w:rsidRPr="005E385F">
              <w:rPr>
                <w:rFonts w:ascii="Verdana" w:hAnsi="Verdana"/>
                <w:bCs/>
                <w:sz w:val="20"/>
              </w:rPr>
              <w:t xml:space="preserve">, </w:t>
            </w:r>
            <w:hyperlink w:anchor="Connector" w:history="1">
              <w:r w:rsidR="00F935B1" w:rsidRPr="005E385F">
                <w:rPr>
                  <w:rStyle w:val="Hyperlink"/>
                  <w:rFonts w:ascii="Verdana" w:hAnsi="Verdana"/>
                  <w:bCs/>
                  <w:sz w:val="20"/>
                </w:rPr>
                <w:t>connectors</w:t>
              </w:r>
              <w:r w:rsidR="00F935B1" w:rsidRPr="005E385F">
                <w:rPr>
                  <w:rFonts w:ascii="Verdana" w:hAnsi="Verdana"/>
                  <w:sz w:val="20"/>
                </w:rPr>
                <w:fldChar w:fldCharType="begin"/>
              </w:r>
              <w:r w:rsidR="00F935B1" w:rsidRPr="005E385F">
                <w:rPr>
                  <w:rFonts w:ascii="Verdana" w:hAnsi="Verdana"/>
                  <w:sz w:val="20"/>
                </w:rPr>
                <w:instrText>xe "</w:instrText>
              </w:r>
              <w:r w:rsidR="00F935B1" w:rsidRPr="005E385F">
                <w:rPr>
                  <w:rStyle w:val="Hyperlink"/>
                  <w:rFonts w:ascii="Verdana" w:hAnsi="Verdana"/>
                  <w:bCs/>
                  <w:sz w:val="20"/>
                </w:rPr>
                <w:instrText>Connectors</w:instrText>
              </w:r>
              <w:r w:rsidR="00F935B1" w:rsidRPr="005E385F">
                <w:rPr>
                  <w:rFonts w:ascii="Verdana" w:hAnsi="Verdana"/>
                  <w:sz w:val="20"/>
                </w:rPr>
                <w:instrText>"</w:instrText>
              </w:r>
              <w:r w:rsidR="00F935B1" w:rsidRPr="005E385F">
                <w:rPr>
                  <w:rFonts w:ascii="Verdana" w:hAnsi="Verdana"/>
                  <w:sz w:val="20"/>
                </w:rPr>
                <w:fldChar w:fldCharType="end"/>
              </w:r>
            </w:hyperlink>
            <w:r w:rsidR="00F935B1" w:rsidRPr="005E385F">
              <w:rPr>
                <w:rFonts w:ascii="Verdana" w:hAnsi="Verdana"/>
                <w:bCs/>
                <w:sz w:val="20"/>
              </w:rPr>
              <w:t>, and related components used for eligible voice, video</w:t>
            </w:r>
            <w:r w:rsidR="00F935B1" w:rsidRPr="005E385F">
              <w:rPr>
                <w:rFonts w:ascii="Verdana" w:hAnsi="Verdana"/>
                <w:sz w:val="20"/>
              </w:rPr>
              <w:fldChar w:fldCharType="begin"/>
            </w:r>
            <w:r w:rsidR="00F935B1" w:rsidRPr="005E385F">
              <w:rPr>
                <w:rFonts w:ascii="Verdana" w:hAnsi="Verdana"/>
                <w:sz w:val="20"/>
              </w:rPr>
              <w:instrText>xe "V</w:instrText>
            </w:r>
            <w:r w:rsidR="00F935B1" w:rsidRPr="005E385F">
              <w:rPr>
                <w:rFonts w:ascii="Verdana" w:hAnsi="Verdana"/>
                <w:bCs/>
                <w:sz w:val="20"/>
              </w:rPr>
              <w:instrText>ideo</w:instrText>
            </w:r>
            <w:r w:rsidR="00F935B1" w:rsidRPr="005E385F">
              <w:rPr>
                <w:rFonts w:ascii="Verdana" w:hAnsi="Verdana"/>
                <w:sz w:val="20"/>
              </w:rPr>
              <w:instrText>"</w:instrText>
            </w:r>
            <w:r w:rsidR="00F935B1" w:rsidRPr="005E385F">
              <w:rPr>
                <w:rFonts w:ascii="Verdana" w:hAnsi="Verdana"/>
                <w:sz w:val="20"/>
              </w:rPr>
              <w:fldChar w:fldCharType="end"/>
            </w:r>
            <w:r w:rsidR="00F935B1" w:rsidRPr="005E385F">
              <w:rPr>
                <w:rFonts w:ascii="Verdana" w:hAnsi="Verdana"/>
                <w:bCs/>
                <w:sz w:val="20"/>
              </w:rPr>
              <w:t>, and data transmission within an eligible location are eligible for discount.  Eligible components include:</w:t>
            </w:r>
          </w:p>
          <w:p w14:paraId="22AAF128" w14:textId="77777777" w:rsidR="00F935B1" w:rsidRPr="005E385F" w:rsidRDefault="00F935B1" w:rsidP="0083602C">
            <w:pPr>
              <w:pStyle w:val="NormalWeb"/>
              <w:spacing w:before="0" w:beforeAutospacing="0" w:after="0"/>
              <w:rPr>
                <w:rFonts w:ascii="Verdana" w:hAnsi="Verdana"/>
                <w:bCs/>
                <w:sz w:val="20"/>
              </w:rPr>
            </w:pPr>
          </w:p>
          <w:p w14:paraId="12F23F89" w14:textId="77777777" w:rsidR="00F935B1" w:rsidRPr="005E385F" w:rsidRDefault="00F935B1" w:rsidP="00F935B1">
            <w:pPr>
              <w:pStyle w:val="NormalWeb"/>
              <w:numPr>
                <w:ilvl w:val="0"/>
                <w:numId w:val="13"/>
              </w:numPr>
              <w:spacing w:before="0" w:beforeAutospacing="0" w:after="0"/>
              <w:rPr>
                <w:rFonts w:ascii="Verdana" w:hAnsi="Verdana"/>
                <w:bCs/>
                <w:sz w:val="20"/>
              </w:rPr>
            </w:pPr>
            <w:r w:rsidRPr="005E385F">
              <w:rPr>
                <w:rFonts w:ascii="Verdana" w:hAnsi="Verdana"/>
                <w:bCs/>
                <w:sz w:val="20"/>
              </w:rPr>
              <w:t>Cable</w:t>
            </w:r>
            <w:r w:rsidRPr="005E385F">
              <w:rPr>
                <w:rFonts w:ascii="Verdana" w:hAnsi="Verdana"/>
                <w:sz w:val="20"/>
              </w:rPr>
              <w:fldChar w:fldCharType="begin"/>
            </w:r>
            <w:r w:rsidRPr="005E385F">
              <w:rPr>
                <w:rFonts w:ascii="Verdana" w:hAnsi="Verdana"/>
                <w:sz w:val="20"/>
              </w:rPr>
              <w:instrText>xe "</w:instrText>
            </w:r>
            <w:r w:rsidRPr="005E385F">
              <w:rPr>
                <w:rFonts w:ascii="Verdana" w:hAnsi="Verdana"/>
                <w:bCs/>
                <w:sz w:val="20"/>
              </w:rPr>
              <w:instrText>Cable</w:instrText>
            </w:r>
            <w:r w:rsidRPr="005E385F">
              <w:rPr>
                <w:rFonts w:ascii="Verdana" w:hAnsi="Verdana"/>
                <w:sz w:val="20"/>
              </w:rPr>
              <w:instrText>"</w:instrText>
            </w:r>
            <w:r w:rsidRPr="005E385F">
              <w:rPr>
                <w:rFonts w:ascii="Verdana" w:hAnsi="Verdana"/>
                <w:sz w:val="20"/>
              </w:rPr>
              <w:fldChar w:fldCharType="end"/>
            </w:r>
            <w:r w:rsidRPr="005E385F">
              <w:rPr>
                <w:rFonts w:ascii="Verdana" w:hAnsi="Verdana"/>
                <w:bCs/>
                <w:sz w:val="20"/>
              </w:rPr>
              <w:t xml:space="preserve"> (</w:t>
            </w:r>
            <w:r w:rsidRPr="005E385F">
              <w:rPr>
                <w:rFonts w:ascii="Verdana" w:hAnsi="Verdana"/>
                <w:bCs/>
                <w:i/>
                <w:sz w:val="20"/>
              </w:rPr>
              <w:t>e.g.</w:t>
            </w:r>
            <w:r w:rsidRPr="005E385F">
              <w:rPr>
                <w:rFonts w:ascii="Verdana" w:hAnsi="Verdana"/>
                <w:bCs/>
                <w:sz w:val="20"/>
              </w:rPr>
              <w:t>, copper</w:t>
            </w:r>
            <w:r w:rsidRPr="005E385F">
              <w:rPr>
                <w:rFonts w:ascii="Verdana" w:hAnsi="Verdana"/>
                <w:sz w:val="20"/>
              </w:rPr>
              <w:fldChar w:fldCharType="begin"/>
            </w:r>
            <w:r w:rsidRPr="005E385F">
              <w:rPr>
                <w:rFonts w:ascii="Verdana" w:hAnsi="Verdana"/>
                <w:sz w:val="20"/>
              </w:rPr>
              <w:instrText>xe "C</w:instrText>
            </w:r>
            <w:r w:rsidRPr="005E385F">
              <w:rPr>
                <w:rFonts w:ascii="Verdana" w:hAnsi="Verdana"/>
                <w:bCs/>
                <w:sz w:val="20"/>
              </w:rPr>
              <w:instrText>opper</w:instrText>
            </w:r>
            <w:r w:rsidRPr="005E385F">
              <w:rPr>
                <w:rFonts w:ascii="Verdana" w:hAnsi="Verdana"/>
                <w:sz w:val="20"/>
              </w:rPr>
              <w:instrText>"</w:instrText>
            </w:r>
            <w:r w:rsidRPr="005E385F">
              <w:rPr>
                <w:rFonts w:ascii="Verdana" w:hAnsi="Verdana"/>
                <w:sz w:val="20"/>
              </w:rPr>
              <w:fldChar w:fldCharType="end"/>
            </w:r>
            <w:r w:rsidRPr="005E385F">
              <w:rPr>
                <w:rFonts w:ascii="Verdana" w:hAnsi="Verdana"/>
                <w:bCs/>
                <w:sz w:val="20"/>
              </w:rPr>
              <w:t>, fiber</w:t>
            </w:r>
            <w:r w:rsidRPr="005E385F">
              <w:rPr>
                <w:rFonts w:ascii="Verdana" w:hAnsi="Verdana"/>
                <w:sz w:val="20"/>
              </w:rPr>
              <w:fldChar w:fldCharType="begin"/>
            </w:r>
            <w:r w:rsidRPr="005E385F">
              <w:rPr>
                <w:rFonts w:ascii="Verdana" w:hAnsi="Verdana"/>
                <w:sz w:val="20"/>
              </w:rPr>
              <w:instrText>xe "F</w:instrText>
            </w:r>
            <w:r w:rsidRPr="005E385F">
              <w:rPr>
                <w:rFonts w:ascii="Verdana" w:hAnsi="Verdana"/>
                <w:bCs/>
                <w:sz w:val="20"/>
              </w:rPr>
              <w:instrText>iber Coax</w:instrText>
            </w:r>
            <w:r w:rsidRPr="005E385F">
              <w:rPr>
                <w:rFonts w:ascii="Verdana" w:hAnsi="Verdana"/>
                <w:sz w:val="20"/>
              </w:rPr>
              <w:instrText>"</w:instrText>
            </w:r>
            <w:r w:rsidRPr="005E385F">
              <w:rPr>
                <w:rFonts w:ascii="Verdana" w:hAnsi="Verdana"/>
                <w:sz w:val="20"/>
              </w:rPr>
              <w:fldChar w:fldCharType="end"/>
            </w:r>
            <w:r w:rsidRPr="005E385F">
              <w:rPr>
                <w:rFonts w:ascii="Verdana" w:hAnsi="Verdana"/>
                <w:bCs/>
                <w:sz w:val="20"/>
              </w:rPr>
              <w:t>, coax</w:t>
            </w:r>
            <w:r w:rsidRPr="005E385F">
              <w:rPr>
                <w:rFonts w:ascii="Verdana" w:hAnsi="Verdana"/>
                <w:sz w:val="20"/>
              </w:rPr>
              <w:fldChar w:fldCharType="begin"/>
            </w:r>
            <w:r w:rsidRPr="005E385F">
              <w:rPr>
                <w:rFonts w:ascii="Verdana" w:hAnsi="Verdana"/>
                <w:sz w:val="20"/>
              </w:rPr>
              <w:instrText>xe "C</w:instrText>
            </w:r>
            <w:r w:rsidRPr="005E385F">
              <w:rPr>
                <w:rFonts w:ascii="Verdana" w:hAnsi="Verdana"/>
                <w:bCs/>
                <w:sz w:val="20"/>
              </w:rPr>
              <w:instrText>oax</w:instrText>
            </w:r>
            <w:r w:rsidRPr="005E385F">
              <w:rPr>
                <w:rFonts w:ascii="Verdana" w:hAnsi="Verdana"/>
                <w:sz w:val="20"/>
              </w:rPr>
              <w:instrText>"</w:instrText>
            </w:r>
            <w:r w:rsidRPr="005E385F">
              <w:rPr>
                <w:rFonts w:ascii="Verdana" w:hAnsi="Verdana"/>
                <w:sz w:val="20"/>
              </w:rPr>
              <w:fldChar w:fldCharType="end"/>
            </w:r>
            <w:r w:rsidRPr="005E385F">
              <w:rPr>
                <w:rFonts w:ascii="Verdana" w:hAnsi="Verdana"/>
                <w:bCs/>
                <w:sz w:val="20"/>
              </w:rPr>
              <w:t>, twisted pair</w:t>
            </w:r>
            <w:r w:rsidRPr="005E385F">
              <w:rPr>
                <w:rFonts w:ascii="Verdana" w:hAnsi="Verdana"/>
                <w:sz w:val="20"/>
              </w:rPr>
              <w:fldChar w:fldCharType="begin"/>
            </w:r>
            <w:r w:rsidRPr="005E385F">
              <w:rPr>
                <w:rFonts w:ascii="Verdana" w:hAnsi="Verdana"/>
                <w:sz w:val="20"/>
              </w:rPr>
              <w:instrText>xe "T</w:instrText>
            </w:r>
            <w:r w:rsidRPr="005E385F">
              <w:rPr>
                <w:rFonts w:ascii="Verdana" w:hAnsi="Verdana"/>
                <w:bCs/>
                <w:sz w:val="20"/>
              </w:rPr>
              <w:instrText>wisted Pair</w:instrText>
            </w:r>
            <w:r w:rsidRPr="005E385F">
              <w:rPr>
                <w:rFonts w:ascii="Verdana" w:hAnsi="Verdana"/>
                <w:sz w:val="20"/>
              </w:rPr>
              <w:instrText>"</w:instrText>
            </w:r>
            <w:r w:rsidRPr="005E385F">
              <w:rPr>
                <w:rFonts w:ascii="Verdana" w:hAnsi="Verdana"/>
                <w:sz w:val="20"/>
              </w:rPr>
              <w:fldChar w:fldCharType="end"/>
            </w:r>
            <w:r w:rsidRPr="005E385F">
              <w:rPr>
                <w:rFonts w:ascii="Verdana" w:hAnsi="Verdana"/>
                <w:bCs/>
                <w:sz w:val="20"/>
              </w:rPr>
              <w:t>)</w:t>
            </w:r>
          </w:p>
          <w:p w14:paraId="727C207E" w14:textId="77777777" w:rsidR="00F935B1" w:rsidRPr="005E385F" w:rsidRDefault="00A0395D" w:rsidP="00F935B1">
            <w:pPr>
              <w:pStyle w:val="NormalWeb"/>
              <w:numPr>
                <w:ilvl w:val="0"/>
                <w:numId w:val="13"/>
              </w:numPr>
              <w:spacing w:before="0" w:beforeAutospacing="0" w:after="0"/>
              <w:rPr>
                <w:rFonts w:ascii="Verdana" w:hAnsi="Verdana"/>
                <w:bCs/>
                <w:sz w:val="20"/>
              </w:rPr>
            </w:pPr>
            <w:hyperlink w:anchor="Connector" w:history="1">
              <w:r w:rsidR="00F935B1" w:rsidRPr="005E385F">
                <w:rPr>
                  <w:rStyle w:val="Hyperlink"/>
                  <w:rFonts w:ascii="Verdana" w:hAnsi="Verdana"/>
                  <w:bCs/>
                  <w:sz w:val="20"/>
                </w:rPr>
                <w:t>Connectors</w:t>
              </w:r>
              <w:r w:rsidR="00F935B1" w:rsidRPr="005E385F">
                <w:rPr>
                  <w:rStyle w:val="Hyperlink"/>
                  <w:rFonts w:ascii="Verdana" w:hAnsi="Verdana"/>
                  <w:sz w:val="20"/>
                </w:rPr>
                <w:fldChar w:fldCharType="begin"/>
              </w:r>
              <w:r w:rsidR="00F935B1" w:rsidRPr="005E385F">
                <w:rPr>
                  <w:rStyle w:val="Hyperlink"/>
                  <w:rFonts w:ascii="Verdana" w:hAnsi="Verdana"/>
                  <w:sz w:val="20"/>
                </w:rPr>
                <w:instrText>xe "</w:instrText>
              </w:r>
              <w:r w:rsidR="00F935B1" w:rsidRPr="005E385F">
                <w:rPr>
                  <w:rStyle w:val="Hyperlink"/>
                  <w:rFonts w:ascii="Verdana" w:hAnsi="Verdana"/>
                  <w:bCs/>
                  <w:sz w:val="20"/>
                </w:rPr>
                <w:instrText>Connectors</w:instrText>
              </w:r>
              <w:r w:rsidR="00F935B1" w:rsidRPr="005E385F">
                <w:rPr>
                  <w:rStyle w:val="Hyperlink"/>
                  <w:rFonts w:ascii="Verdana" w:hAnsi="Verdana"/>
                  <w:sz w:val="20"/>
                </w:rPr>
                <w:instrText>"</w:instrText>
              </w:r>
              <w:r w:rsidR="00F935B1" w:rsidRPr="005E385F">
                <w:rPr>
                  <w:rStyle w:val="Hyperlink"/>
                  <w:rFonts w:ascii="Verdana" w:hAnsi="Verdana"/>
                  <w:sz w:val="20"/>
                </w:rPr>
                <w:fldChar w:fldCharType="end"/>
              </w:r>
            </w:hyperlink>
            <w:r w:rsidR="00F935B1" w:rsidRPr="005E385F">
              <w:rPr>
                <w:rFonts w:ascii="Verdana" w:hAnsi="Verdana"/>
                <w:bCs/>
                <w:sz w:val="20"/>
              </w:rPr>
              <w:t xml:space="preserve"> </w:t>
            </w:r>
          </w:p>
          <w:p w14:paraId="1EF764AE" w14:textId="77777777" w:rsidR="00F935B1" w:rsidRPr="005E385F" w:rsidRDefault="00F935B1" w:rsidP="00F935B1">
            <w:pPr>
              <w:pStyle w:val="NormalWeb"/>
              <w:numPr>
                <w:ilvl w:val="0"/>
                <w:numId w:val="13"/>
              </w:numPr>
              <w:spacing w:before="0" w:beforeAutospacing="0" w:after="0"/>
              <w:rPr>
                <w:rFonts w:ascii="Verdana" w:hAnsi="Verdana"/>
                <w:bCs/>
                <w:sz w:val="20"/>
              </w:rPr>
            </w:pPr>
            <w:r w:rsidRPr="005E385F">
              <w:rPr>
                <w:rFonts w:ascii="Verdana" w:hAnsi="Verdana"/>
                <w:bCs/>
                <w:sz w:val="20"/>
              </w:rPr>
              <w:t>Jacks</w:t>
            </w:r>
            <w:r w:rsidRPr="005E385F">
              <w:rPr>
                <w:rFonts w:ascii="Verdana" w:hAnsi="Verdana"/>
                <w:sz w:val="20"/>
              </w:rPr>
              <w:fldChar w:fldCharType="begin"/>
            </w:r>
            <w:r w:rsidRPr="005E385F">
              <w:rPr>
                <w:rFonts w:ascii="Verdana" w:hAnsi="Verdana"/>
                <w:sz w:val="20"/>
              </w:rPr>
              <w:instrText>xe "</w:instrText>
            </w:r>
            <w:r w:rsidRPr="005E385F">
              <w:rPr>
                <w:rFonts w:ascii="Verdana" w:hAnsi="Verdana"/>
                <w:bCs/>
                <w:sz w:val="20"/>
              </w:rPr>
              <w:instrText>Jacks</w:instrText>
            </w:r>
            <w:r w:rsidRPr="005E385F">
              <w:rPr>
                <w:rFonts w:ascii="Verdana" w:hAnsi="Verdana"/>
                <w:sz w:val="20"/>
              </w:rPr>
              <w:instrText>"</w:instrText>
            </w:r>
            <w:r w:rsidRPr="005E385F">
              <w:rPr>
                <w:rFonts w:ascii="Verdana" w:hAnsi="Verdana"/>
                <w:sz w:val="20"/>
              </w:rPr>
              <w:fldChar w:fldCharType="end"/>
            </w:r>
            <w:r w:rsidRPr="005E385F">
              <w:rPr>
                <w:rFonts w:ascii="Verdana" w:hAnsi="Verdana"/>
                <w:bCs/>
                <w:sz w:val="20"/>
              </w:rPr>
              <w:t>, panels</w:t>
            </w:r>
            <w:r w:rsidRPr="005E385F">
              <w:rPr>
                <w:rFonts w:ascii="Verdana" w:hAnsi="Verdana"/>
                <w:sz w:val="20"/>
              </w:rPr>
              <w:fldChar w:fldCharType="begin"/>
            </w:r>
            <w:r w:rsidRPr="005E385F">
              <w:rPr>
                <w:rFonts w:ascii="Verdana" w:hAnsi="Verdana"/>
                <w:sz w:val="20"/>
              </w:rPr>
              <w:instrText>xe "P</w:instrText>
            </w:r>
            <w:r w:rsidRPr="005E385F">
              <w:rPr>
                <w:rFonts w:ascii="Verdana" w:hAnsi="Verdana"/>
                <w:bCs/>
                <w:sz w:val="20"/>
              </w:rPr>
              <w:instrText>anels</w:instrText>
            </w:r>
            <w:r w:rsidRPr="005E385F">
              <w:rPr>
                <w:rFonts w:ascii="Verdana" w:hAnsi="Verdana"/>
                <w:sz w:val="20"/>
              </w:rPr>
              <w:instrText>"</w:instrText>
            </w:r>
            <w:r w:rsidRPr="005E385F">
              <w:rPr>
                <w:rFonts w:ascii="Verdana" w:hAnsi="Verdana"/>
                <w:sz w:val="20"/>
              </w:rPr>
              <w:fldChar w:fldCharType="end"/>
            </w:r>
            <w:r w:rsidRPr="005E385F">
              <w:rPr>
                <w:rFonts w:ascii="Verdana" w:hAnsi="Verdana"/>
                <w:bCs/>
                <w:sz w:val="20"/>
              </w:rPr>
              <w:t xml:space="preserve">, </w:t>
            </w:r>
            <w:hyperlink w:anchor="Faceplate" w:history="1">
              <w:r w:rsidRPr="005E385F">
                <w:rPr>
                  <w:rStyle w:val="Hyperlink"/>
                  <w:rFonts w:ascii="Verdana" w:hAnsi="Verdana"/>
                  <w:bCs/>
                  <w:sz w:val="20"/>
                </w:rPr>
                <w:t>faceplates</w:t>
              </w:r>
              <w:r w:rsidRPr="005E385F">
                <w:rPr>
                  <w:rFonts w:ascii="Verdana" w:hAnsi="Verdana"/>
                  <w:sz w:val="20"/>
                </w:rPr>
                <w:fldChar w:fldCharType="begin"/>
              </w:r>
              <w:r w:rsidRPr="005E385F">
                <w:rPr>
                  <w:rFonts w:ascii="Verdana" w:hAnsi="Verdana"/>
                  <w:sz w:val="20"/>
                </w:rPr>
                <w:instrText>xe "F</w:instrText>
              </w:r>
              <w:r w:rsidRPr="005E385F">
                <w:rPr>
                  <w:rStyle w:val="Hyperlink"/>
                  <w:rFonts w:ascii="Verdana" w:hAnsi="Verdana"/>
                  <w:bCs/>
                  <w:sz w:val="20"/>
                </w:rPr>
                <w:instrText>aceplates</w:instrText>
              </w:r>
              <w:r w:rsidRPr="005E385F">
                <w:rPr>
                  <w:rFonts w:ascii="Verdana" w:hAnsi="Verdana"/>
                  <w:sz w:val="20"/>
                </w:rPr>
                <w:instrText>"</w:instrText>
              </w:r>
              <w:r w:rsidRPr="005E385F">
                <w:rPr>
                  <w:rFonts w:ascii="Verdana" w:hAnsi="Verdana"/>
                  <w:sz w:val="20"/>
                </w:rPr>
                <w:fldChar w:fldCharType="end"/>
              </w:r>
            </w:hyperlink>
            <w:r w:rsidRPr="005E385F">
              <w:rPr>
                <w:rFonts w:ascii="Verdana" w:hAnsi="Verdana"/>
                <w:bCs/>
                <w:sz w:val="20"/>
              </w:rPr>
              <w:t xml:space="preserve"> and </w:t>
            </w:r>
            <w:hyperlink w:anchor="WireManager" w:history="1">
              <w:r w:rsidRPr="005E385F">
                <w:rPr>
                  <w:rStyle w:val="Hyperlink"/>
                  <w:rFonts w:ascii="Verdana" w:hAnsi="Verdana"/>
                  <w:bCs/>
                  <w:sz w:val="20"/>
                </w:rPr>
                <w:t>wire managers</w:t>
              </w:r>
              <w:r w:rsidRPr="005E385F">
                <w:rPr>
                  <w:rFonts w:ascii="Verdana" w:hAnsi="Verdana"/>
                  <w:sz w:val="20"/>
                </w:rPr>
                <w:fldChar w:fldCharType="begin"/>
              </w:r>
              <w:r w:rsidRPr="005E385F">
                <w:rPr>
                  <w:rFonts w:ascii="Verdana" w:hAnsi="Verdana"/>
                  <w:sz w:val="20"/>
                </w:rPr>
                <w:instrText>xe "W</w:instrText>
              </w:r>
              <w:r w:rsidRPr="005E385F">
                <w:rPr>
                  <w:rStyle w:val="Hyperlink"/>
                  <w:rFonts w:ascii="Verdana" w:hAnsi="Verdana"/>
                  <w:bCs/>
                  <w:sz w:val="20"/>
                </w:rPr>
                <w:instrText>ire Managers</w:instrText>
              </w:r>
              <w:r w:rsidRPr="005E385F">
                <w:rPr>
                  <w:rFonts w:ascii="Verdana" w:hAnsi="Verdana"/>
                  <w:sz w:val="20"/>
                </w:rPr>
                <w:instrText>"</w:instrText>
              </w:r>
              <w:r w:rsidRPr="005E385F">
                <w:rPr>
                  <w:rFonts w:ascii="Verdana" w:hAnsi="Verdana"/>
                  <w:sz w:val="20"/>
                </w:rPr>
                <w:fldChar w:fldCharType="end"/>
              </w:r>
            </w:hyperlink>
          </w:p>
          <w:p w14:paraId="13DE3810" w14:textId="77777777" w:rsidR="00F935B1" w:rsidRPr="005E385F" w:rsidRDefault="00A0395D" w:rsidP="00F935B1">
            <w:pPr>
              <w:pStyle w:val="NormalWeb"/>
              <w:numPr>
                <w:ilvl w:val="0"/>
                <w:numId w:val="13"/>
              </w:numPr>
              <w:spacing w:before="0" w:beforeAutospacing="0" w:after="0"/>
              <w:rPr>
                <w:rFonts w:ascii="Verdana" w:hAnsi="Verdana"/>
                <w:bCs/>
                <w:sz w:val="20"/>
              </w:rPr>
            </w:pPr>
            <w:hyperlink w:anchor="ConduitRaceway" w:history="1">
              <w:r w:rsidR="00F935B1" w:rsidRPr="005E385F">
                <w:rPr>
                  <w:rStyle w:val="Hyperlink"/>
                  <w:rFonts w:ascii="Verdana" w:hAnsi="Verdana"/>
                  <w:bCs/>
                  <w:sz w:val="20"/>
                </w:rPr>
                <w:t>Conduit and raceway</w:t>
              </w:r>
              <w:r w:rsidR="00F935B1" w:rsidRPr="005E385F">
                <w:rPr>
                  <w:rFonts w:ascii="Verdana" w:hAnsi="Verdana"/>
                  <w:sz w:val="20"/>
                </w:rPr>
                <w:fldChar w:fldCharType="begin"/>
              </w:r>
              <w:r w:rsidR="00F935B1" w:rsidRPr="005E385F">
                <w:rPr>
                  <w:rFonts w:ascii="Verdana" w:hAnsi="Verdana"/>
                  <w:sz w:val="20"/>
                </w:rPr>
                <w:instrText>xe "</w:instrText>
              </w:r>
              <w:r w:rsidR="00F935B1" w:rsidRPr="005E385F">
                <w:rPr>
                  <w:rStyle w:val="Hyperlink"/>
                  <w:rFonts w:ascii="Verdana" w:hAnsi="Verdana"/>
                  <w:bCs/>
                  <w:sz w:val="20"/>
                </w:rPr>
                <w:instrText>Conduit and Raceway</w:instrText>
              </w:r>
              <w:r w:rsidR="00F935B1" w:rsidRPr="005E385F">
                <w:rPr>
                  <w:rFonts w:ascii="Verdana" w:hAnsi="Verdana"/>
                  <w:sz w:val="20"/>
                </w:rPr>
                <w:instrText>"</w:instrText>
              </w:r>
              <w:r w:rsidR="00F935B1" w:rsidRPr="005E385F">
                <w:rPr>
                  <w:rFonts w:ascii="Verdana" w:hAnsi="Verdana"/>
                  <w:sz w:val="20"/>
                </w:rPr>
                <w:fldChar w:fldCharType="end"/>
              </w:r>
            </w:hyperlink>
          </w:p>
          <w:p w14:paraId="4F1970EA" w14:textId="77777777" w:rsidR="00F935B1" w:rsidRPr="005E385F" w:rsidRDefault="00F935B1" w:rsidP="00F935B1">
            <w:pPr>
              <w:pStyle w:val="NormalWeb"/>
              <w:numPr>
                <w:ilvl w:val="0"/>
                <w:numId w:val="13"/>
              </w:numPr>
              <w:spacing w:before="0" w:beforeAutospacing="0" w:after="0"/>
              <w:rPr>
                <w:rFonts w:ascii="Verdana" w:hAnsi="Verdana"/>
                <w:bCs/>
                <w:sz w:val="20"/>
              </w:rPr>
            </w:pPr>
            <w:r w:rsidRPr="005E385F">
              <w:rPr>
                <w:rFonts w:ascii="Verdana" w:hAnsi="Verdana"/>
                <w:bCs/>
                <w:sz w:val="20"/>
              </w:rPr>
              <w:t>Other cabling components necessary to transport information to the individual classrooms or public areas of a library.</w:t>
            </w:r>
          </w:p>
          <w:p w14:paraId="1E0D9634" w14:textId="77777777" w:rsidR="00F935B1" w:rsidRPr="005E385F" w:rsidRDefault="00F935B1" w:rsidP="0083602C">
            <w:pPr>
              <w:pStyle w:val="NormalWeb"/>
              <w:spacing w:before="0" w:beforeAutospacing="0" w:after="0"/>
              <w:ind w:left="297" w:hanging="297"/>
              <w:rPr>
                <w:rFonts w:ascii="Verdana" w:hAnsi="Verdana"/>
                <w:bCs/>
                <w:sz w:val="20"/>
              </w:rPr>
            </w:pPr>
          </w:p>
          <w:p w14:paraId="0A481087" w14:textId="77777777" w:rsidR="00F935B1" w:rsidRPr="005E385F" w:rsidRDefault="00F935B1" w:rsidP="0083602C">
            <w:pPr>
              <w:pStyle w:val="NormalWeb"/>
              <w:spacing w:before="0" w:beforeAutospacing="0" w:after="0"/>
              <w:rPr>
                <w:rFonts w:ascii="Verdana" w:hAnsi="Verdana"/>
                <w:bCs/>
                <w:sz w:val="20"/>
              </w:rPr>
            </w:pPr>
            <w:r w:rsidRPr="005E385F">
              <w:rPr>
                <w:rFonts w:ascii="Verdana" w:hAnsi="Verdana"/>
                <w:sz w:val="20"/>
              </w:rPr>
              <w:t>Consumable</w:t>
            </w:r>
            <w:r w:rsidRPr="005E385F">
              <w:rPr>
                <w:rFonts w:ascii="Verdana" w:hAnsi="Verdana"/>
                <w:sz w:val="20"/>
              </w:rPr>
              <w:fldChar w:fldCharType="begin"/>
            </w:r>
            <w:r w:rsidRPr="005E385F">
              <w:rPr>
                <w:rFonts w:ascii="Verdana" w:hAnsi="Verdana"/>
                <w:sz w:val="20"/>
              </w:rPr>
              <w:instrText>xe "Consumables"</w:instrText>
            </w:r>
            <w:r w:rsidRPr="005E385F">
              <w:rPr>
                <w:rFonts w:ascii="Verdana" w:hAnsi="Verdana"/>
                <w:sz w:val="20"/>
              </w:rPr>
              <w:fldChar w:fldCharType="end"/>
            </w:r>
            <w:r w:rsidRPr="005E385F">
              <w:rPr>
                <w:rFonts w:ascii="Verdana" w:hAnsi="Verdana"/>
                <w:bCs/>
                <w:sz w:val="20"/>
              </w:rPr>
              <w:t xml:space="preserve"> components are eligible only when included as part of the original installation</w:t>
            </w:r>
            <w:r w:rsidRPr="005E385F">
              <w:rPr>
                <w:rFonts w:ascii="Verdana" w:hAnsi="Verdana"/>
                <w:sz w:val="20"/>
              </w:rPr>
              <w:fldChar w:fldCharType="begin"/>
            </w:r>
            <w:r w:rsidRPr="005E385F">
              <w:rPr>
                <w:rFonts w:ascii="Verdana" w:hAnsi="Verdana"/>
                <w:sz w:val="20"/>
              </w:rPr>
              <w:instrText>xe "Installation"</w:instrText>
            </w:r>
            <w:r w:rsidRPr="005E385F">
              <w:rPr>
                <w:rFonts w:ascii="Verdana" w:hAnsi="Verdana"/>
                <w:sz w:val="20"/>
              </w:rPr>
              <w:fldChar w:fldCharType="end"/>
            </w:r>
            <w:r w:rsidRPr="005E385F">
              <w:rPr>
                <w:rFonts w:ascii="Verdana" w:hAnsi="Verdana"/>
                <w:bCs/>
                <w:sz w:val="20"/>
              </w:rPr>
              <w:t xml:space="preserve"> of eligible components. </w:t>
            </w:r>
          </w:p>
          <w:p w14:paraId="09AEB109" w14:textId="77777777" w:rsidR="00F935B1" w:rsidRPr="005E385F" w:rsidRDefault="00F935B1" w:rsidP="0083602C">
            <w:pPr>
              <w:pStyle w:val="NormalWeb"/>
              <w:spacing w:before="0" w:beforeAutospacing="0" w:after="0"/>
              <w:rPr>
                <w:rFonts w:ascii="Verdana" w:hAnsi="Verdana"/>
                <w:bCs/>
                <w:sz w:val="20"/>
              </w:rPr>
            </w:pPr>
          </w:p>
          <w:p w14:paraId="0DCA5D45" w14:textId="77777777" w:rsidR="00F935B1" w:rsidRPr="005E385F" w:rsidRDefault="00F935B1" w:rsidP="0083602C">
            <w:pPr>
              <w:pStyle w:val="NormalWeb"/>
              <w:spacing w:before="0" w:beforeAutospacing="0" w:after="0"/>
              <w:rPr>
                <w:rFonts w:ascii="Verdana" w:hAnsi="Verdana"/>
                <w:bCs/>
                <w:sz w:val="20"/>
              </w:rPr>
            </w:pPr>
            <w:r w:rsidRPr="005E385F">
              <w:rPr>
                <w:rFonts w:ascii="Verdana" w:hAnsi="Verdana"/>
                <w:bCs/>
                <w:sz w:val="20"/>
                <w:u w:val="single"/>
              </w:rPr>
              <w:t>Eligibility limitations</w:t>
            </w:r>
          </w:p>
          <w:p w14:paraId="2768DFFB" w14:textId="77777777" w:rsidR="00F935B1" w:rsidRPr="005E385F" w:rsidRDefault="00F935B1" w:rsidP="0083602C">
            <w:pPr>
              <w:pStyle w:val="NormalWeb"/>
              <w:spacing w:before="0" w:beforeAutospacing="0" w:after="0"/>
              <w:rPr>
                <w:rFonts w:ascii="Verdana" w:hAnsi="Verdana"/>
                <w:bCs/>
                <w:sz w:val="20"/>
              </w:rPr>
            </w:pPr>
            <w:r w:rsidRPr="005E385F">
              <w:rPr>
                <w:rFonts w:ascii="Verdana" w:hAnsi="Verdana"/>
                <w:bCs/>
                <w:sz w:val="20"/>
              </w:rPr>
              <w:t xml:space="preserve">If cabling or cabling components are used for both eligible and ineligible purposes, the cost of the ineligible portion must be </w:t>
            </w:r>
            <w:hyperlink w:anchor="xxAddlRefInfoCostAlloc" w:history="1">
              <w:r w:rsidRPr="005E385F">
                <w:rPr>
                  <w:rStyle w:val="Hyperlink"/>
                  <w:rFonts w:ascii="Verdana" w:hAnsi="Verdana"/>
                  <w:bCs/>
                  <w:sz w:val="20"/>
                </w:rPr>
                <w:t>cost allocated</w:t>
              </w:r>
              <w:r w:rsidRPr="005E385F">
                <w:rPr>
                  <w:rFonts w:ascii="Verdana" w:hAnsi="Verdana"/>
                  <w:sz w:val="20"/>
                </w:rPr>
                <w:fldChar w:fldCharType="begin"/>
              </w:r>
              <w:r w:rsidRPr="005E385F">
                <w:rPr>
                  <w:rFonts w:ascii="Verdana" w:hAnsi="Verdana"/>
                  <w:sz w:val="20"/>
                </w:rPr>
                <w:instrText>xe "Cost Allocation"</w:instrText>
              </w:r>
              <w:r w:rsidRPr="005E385F">
                <w:rPr>
                  <w:rFonts w:ascii="Verdana" w:hAnsi="Verdana"/>
                  <w:sz w:val="20"/>
                </w:rPr>
                <w:fldChar w:fldCharType="end"/>
              </w:r>
            </w:hyperlink>
            <w:r w:rsidRPr="005E385F">
              <w:rPr>
                <w:rFonts w:ascii="Verdana" w:hAnsi="Verdana"/>
                <w:bCs/>
                <w:sz w:val="20"/>
              </w:rPr>
              <w:t>.</w:t>
            </w:r>
          </w:p>
        </w:tc>
      </w:tr>
      <w:tr w:rsidR="00F935B1" w:rsidRPr="005E385F" w14:paraId="70C6BBDB" w14:textId="77777777" w:rsidTr="0083602C">
        <w:trPr>
          <w:trHeight w:val="159"/>
          <w:tblCellSpacing w:w="15" w:type="dxa"/>
        </w:trPr>
        <w:tc>
          <w:tcPr>
            <w:tcW w:w="1243" w:type="pct"/>
          </w:tcPr>
          <w:p w14:paraId="38ADEDDD" w14:textId="77777777" w:rsidR="00F935B1" w:rsidRPr="005E385F" w:rsidRDefault="00F935B1" w:rsidP="0083602C">
            <w:pPr>
              <w:rPr>
                <w:rFonts w:ascii="Verdana" w:hAnsi="Verdana"/>
                <w:sz w:val="20"/>
              </w:rPr>
            </w:pPr>
            <w:r w:rsidRPr="005E385F">
              <w:rPr>
                <w:rFonts w:ascii="Verdana" w:hAnsi="Verdana"/>
                <w:sz w:val="20"/>
              </w:rPr>
              <w:t>Circuit</w:t>
            </w:r>
            <w:r w:rsidRPr="005E385F">
              <w:rPr>
                <w:rFonts w:ascii="Verdana" w:hAnsi="Verdana"/>
                <w:sz w:val="20"/>
              </w:rPr>
              <w:fldChar w:fldCharType="begin"/>
            </w:r>
            <w:r w:rsidRPr="005E385F">
              <w:rPr>
                <w:rFonts w:ascii="Verdana" w:hAnsi="Verdana"/>
                <w:sz w:val="20"/>
              </w:rPr>
              <w:instrText>xe "Circuit Cards"</w:instrText>
            </w:r>
            <w:r w:rsidRPr="005E385F">
              <w:rPr>
                <w:rFonts w:ascii="Verdana" w:hAnsi="Verdana"/>
                <w:sz w:val="20"/>
              </w:rPr>
              <w:fldChar w:fldCharType="end"/>
            </w:r>
            <w:r w:rsidRPr="005E385F">
              <w:rPr>
                <w:rFonts w:ascii="Verdana" w:hAnsi="Verdana"/>
                <w:sz w:val="20"/>
              </w:rPr>
              <w:t xml:space="preserve"> Cards/ Components</w:t>
            </w:r>
          </w:p>
          <w:p w14:paraId="038AF70E" w14:textId="77777777" w:rsidR="00F935B1" w:rsidRPr="005E385F" w:rsidRDefault="00F935B1" w:rsidP="0083602C">
            <w:pPr>
              <w:rPr>
                <w:rFonts w:ascii="Verdana" w:hAnsi="Verdana"/>
                <w:sz w:val="20"/>
              </w:rPr>
            </w:pPr>
          </w:p>
          <w:p w14:paraId="0534774E" w14:textId="77777777" w:rsidR="00F935B1" w:rsidRPr="005E385F" w:rsidRDefault="00F935B1" w:rsidP="0083602C">
            <w:pPr>
              <w:rPr>
                <w:rFonts w:ascii="Verdana" w:hAnsi="Verdana"/>
                <w:sz w:val="20"/>
              </w:rPr>
            </w:pPr>
          </w:p>
        </w:tc>
        <w:tc>
          <w:tcPr>
            <w:tcW w:w="3709" w:type="pct"/>
          </w:tcPr>
          <w:p w14:paraId="48D1AD0C" w14:textId="77777777" w:rsidR="00F935B1" w:rsidRPr="005E385F" w:rsidRDefault="00A0395D" w:rsidP="0083602C">
            <w:pPr>
              <w:pStyle w:val="NormalWeb"/>
              <w:spacing w:before="0" w:beforeAutospacing="0" w:after="0"/>
              <w:rPr>
                <w:rFonts w:ascii="Verdana" w:hAnsi="Verdana"/>
                <w:bCs/>
                <w:sz w:val="20"/>
              </w:rPr>
            </w:pPr>
            <w:hyperlink w:anchor="CircuitCard" w:history="1">
              <w:r w:rsidR="00F935B1" w:rsidRPr="005E385F">
                <w:rPr>
                  <w:rStyle w:val="Hyperlink"/>
                  <w:rFonts w:ascii="Verdana" w:hAnsi="Verdana"/>
                  <w:bCs/>
                  <w:sz w:val="20"/>
                </w:rPr>
                <w:t>Circuit</w:t>
              </w:r>
              <w:r w:rsidR="00F935B1" w:rsidRPr="005E385F">
                <w:rPr>
                  <w:rFonts w:ascii="Verdana" w:hAnsi="Verdana"/>
                  <w:sz w:val="20"/>
                </w:rPr>
                <w:fldChar w:fldCharType="begin"/>
              </w:r>
              <w:r w:rsidR="00F935B1" w:rsidRPr="005E385F">
                <w:rPr>
                  <w:rFonts w:ascii="Verdana" w:hAnsi="Verdana"/>
                  <w:sz w:val="20"/>
                </w:rPr>
                <w:instrText>xe "Circuit"</w:instrText>
              </w:r>
              <w:r w:rsidR="00F935B1" w:rsidRPr="005E385F">
                <w:rPr>
                  <w:rFonts w:ascii="Verdana" w:hAnsi="Verdana"/>
                  <w:sz w:val="20"/>
                </w:rPr>
                <w:fldChar w:fldCharType="end"/>
              </w:r>
            </w:hyperlink>
            <w:r w:rsidR="00F935B1" w:rsidRPr="005E385F">
              <w:rPr>
                <w:rFonts w:ascii="Verdana" w:hAnsi="Verdana"/>
                <w:bCs/>
                <w:sz w:val="20"/>
              </w:rPr>
              <w:t xml:space="preserve"> cards and related components, such as </w:t>
            </w:r>
            <w:hyperlink w:anchor="MemoryModuleRandomAccessMemory" w:history="1">
              <w:r w:rsidR="00F935B1" w:rsidRPr="005E385F">
                <w:rPr>
                  <w:rStyle w:val="Hyperlink"/>
                  <w:rFonts w:ascii="Verdana" w:hAnsi="Verdana"/>
                  <w:bCs/>
                  <w:sz w:val="20"/>
                </w:rPr>
                <w:t>memory modules/Random Access Memory (RAM)</w:t>
              </w:r>
              <w:r w:rsidR="00F935B1" w:rsidRPr="005E385F">
                <w:rPr>
                  <w:rFonts w:ascii="Verdana" w:hAnsi="Verdana"/>
                  <w:sz w:val="20"/>
                </w:rPr>
                <w:fldChar w:fldCharType="begin"/>
              </w:r>
              <w:r w:rsidR="00F935B1" w:rsidRPr="005E385F">
                <w:rPr>
                  <w:rFonts w:ascii="Verdana" w:hAnsi="Verdana"/>
                  <w:sz w:val="20"/>
                </w:rPr>
                <w:instrText>xe "Memory"</w:instrText>
              </w:r>
              <w:r w:rsidR="00F935B1" w:rsidRPr="005E385F">
                <w:rPr>
                  <w:rFonts w:ascii="Verdana" w:hAnsi="Verdana"/>
                  <w:sz w:val="20"/>
                </w:rPr>
                <w:fldChar w:fldCharType="end"/>
              </w:r>
            </w:hyperlink>
            <w:r w:rsidR="00F935B1" w:rsidRPr="005E385F">
              <w:rPr>
                <w:rFonts w:ascii="Verdana" w:hAnsi="Verdana"/>
                <w:sz w:val="20"/>
              </w:rPr>
              <w:t>,</w:t>
            </w:r>
            <w:r w:rsidR="00F935B1" w:rsidRPr="005E385F">
              <w:rPr>
                <w:rFonts w:ascii="Verdana" w:hAnsi="Verdana"/>
                <w:bCs/>
                <w:sz w:val="20"/>
              </w:rPr>
              <w:t xml:space="preserve"> are eligible if they are necessary for adequate performance of an eligible component, for example, an eligible PBX</w:t>
            </w:r>
            <w:r w:rsidR="00F935B1" w:rsidRPr="005E385F">
              <w:rPr>
                <w:rFonts w:ascii="Verdana" w:hAnsi="Verdana"/>
                <w:sz w:val="20"/>
              </w:rPr>
              <w:fldChar w:fldCharType="begin"/>
            </w:r>
            <w:r w:rsidR="00F935B1" w:rsidRPr="005E385F">
              <w:rPr>
                <w:rFonts w:ascii="Verdana" w:hAnsi="Verdana"/>
                <w:sz w:val="20"/>
              </w:rPr>
              <w:instrText>xe "</w:instrText>
            </w:r>
            <w:r w:rsidR="00F935B1" w:rsidRPr="005E385F">
              <w:rPr>
                <w:rFonts w:ascii="Verdana" w:hAnsi="Verdana"/>
                <w:bCs/>
                <w:sz w:val="20"/>
              </w:rPr>
              <w:instrText>PBX</w:instrText>
            </w:r>
            <w:r w:rsidR="00F935B1" w:rsidRPr="005E385F">
              <w:rPr>
                <w:rFonts w:ascii="Verdana" w:hAnsi="Verdana"/>
                <w:sz w:val="20"/>
              </w:rPr>
              <w:instrText>"</w:instrText>
            </w:r>
            <w:r w:rsidR="00F935B1" w:rsidRPr="005E385F">
              <w:rPr>
                <w:rFonts w:ascii="Verdana" w:hAnsi="Verdana"/>
                <w:sz w:val="20"/>
              </w:rPr>
              <w:fldChar w:fldCharType="end"/>
            </w:r>
            <w:r w:rsidR="00F935B1" w:rsidRPr="005E385F">
              <w:rPr>
                <w:rFonts w:ascii="Verdana" w:hAnsi="Verdana"/>
                <w:bCs/>
                <w:sz w:val="20"/>
              </w:rPr>
              <w:t>, router</w:t>
            </w:r>
            <w:r w:rsidR="00F935B1" w:rsidRPr="005E385F">
              <w:rPr>
                <w:rFonts w:ascii="Verdana" w:hAnsi="Verdana"/>
                <w:sz w:val="20"/>
              </w:rPr>
              <w:fldChar w:fldCharType="begin"/>
            </w:r>
            <w:r w:rsidR="00F935B1" w:rsidRPr="005E385F">
              <w:rPr>
                <w:rFonts w:ascii="Verdana" w:hAnsi="Verdana"/>
                <w:sz w:val="20"/>
              </w:rPr>
              <w:instrText>xe "Routers"</w:instrText>
            </w:r>
            <w:r w:rsidR="00F935B1" w:rsidRPr="005E385F">
              <w:rPr>
                <w:rFonts w:ascii="Verdana" w:hAnsi="Verdana"/>
                <w:sz w:val="20"/>
              </w:rPr>
              <w:fldChar w:fldCharType="end"/>
            </w:r>
            <w:r w:rsidR="00F935B1" w:rsidRPr="005E385F">
              <w:rPr>
                <w:rFonts w:ascii="Verdana" w:hAnsi="Verdana"/>
                <w:bCs/>
                <w:sz w:val="20"/>
              </w:rPr>
              <w:t>, or server</w:t>
            </w:r>
            <w:r w:rsidR="00F935B1" w:rsidRPr="005E385F">
              <w:rPr>
                <w:rFonts w:ascii="Verdana" w:hAnsi="Verdana"/>
                <w:sz w:val="20"/>
              </w:rPr>
              <w:fldChar w:fldCharType="begin"/>
            </w:r>
            <w:r w:rsidR="00F935B1" w:rsidRPr="005E385F">
              <w:rPr>
                <w:rFonts w:ascii="Verdana" w:hAnsi="Verdana"/>
                <w:sz w:val="20"/>
              </w:rPr>
              <w:instrText>xe "Servers"</w:instrText>
            </w:r>
            <w:r w:rsidR="00F935B1" w:rsidRPr="005E385F">
              <w:rPr>
                <w:rFonts w:ascii="Verdana" w:hAnsi="Verdana"/>
                <w:sz w:val="20"/>
              </w:rPr>
              <w:fldChar w:fldCharType="end"/>
            </w:r>
            <w:r w:rsidR="00F935B1" w:rsidRPr="005E385F">
              <w:rPr>
                <w:rFonts w:ascii="Verdana" w:hAnsi="Verdana"/>
                <w:bCs/>
                <w:sz w:val="20"/>
              </w:rPr>
              <w:t>.</w:t>
            </w:r>
          </w:p>
          <w:p w14:paraId="2EE88AAA" w14:textId="77777777" w:rsidR="00F935B1" w:rsidRPr="005E385F" w:rsidRDefault="00F935B1" w:rsidP="0083602C">
            <w:pPr>
              <w:pStyle w:val="NormalWeb"/>
              <w:spacing w:before="0" w:beforeAutospacing="0" w:after="0"/>
              <w:rPr>
                <w:rFonts w:ascii="Verdana" w:hAnsi="Verdana"/>
                <w:bCs/>
                <w:sz w:val="20"/>
              </w:rPr>
            </w:pPr>
          </w:p>
          <w:p w14:paraId="2A1C656A" w14:textId="77777777" w:rsidR="00F935B1" w:rsidRPr="005E385F" w:rsidRDefault="00A0395D" w:rsidP="0083602C">
            <w:pPr>
              <w:pStyle w:val="NormalWeb"/>
              <w:spacing w:before="0" w:beforeAutospacing="0" w:after="0"/>
              <w:rPr>
                <w:rFonts w:ascii="Verdana" w:hAnsi="Verdana"/>
                <w:bCs/>
                <w:sz w:val="20"/>
              </w:rPr>
            </w:pPr>
            <w:hyperlink w:anchor="NetworkInterfaceCard" w:history="1">
              <w:r w:rsidR="00F935B1" w:rsidRPr="005E385F">
                <w:rPr>
                  <w:rStyle w:val="Hyperlink"/>
                  <w:rFonts w:ascii="Verdana" w:hAnsi="Verdana"/>
                  <w:bCs/>
                  <w:sz w:val="20"/>
                </w:rPr>
                <w:t>Network interface cards</w:t>
              </w:r>
              <w:r w:rsidR="00F935B1" w:rsidRPr="005E385F">
                <w:rPr>
                  <w:rFonts w:ascii="Verdana" w:hAnsi="Verdana"/>
                  <w:sz w:val="20"/>
                </w:rPr>
                <w:fldChar w:fldCharType="begin"/>
              </w:r>
              <w:r w:rsidR="00F935B1" w:rsidRPr="005E385F">
                <w:rPr>
                  <w:rFonts w:ascii="Verdana" w:hAnsi="Verdana"/>
                  <w:sz w:val="20"/>
                </w:rPr>
                <w:instrText>xe "</w:instrText>
              </w:r>
              <w:r w:rsidR="00F935B1" w:rsidRPr="005E385F">
                <w:rPr>
                  <w:rFonts w:ascii="Verdana" w:hAnsi="Verdana"/>
                  <w:bCs/>
                  <w:color w:val="0000FF"/>
                  <w:sz w:val="20"/>
                  <w:u w:val="single"/>
                </w:rPr>
                <w:instrText>Network Interface Cards</w:instrText>
              </w:r>
              <w:r w:rsidR="00F935B1" w:rsidRPr="005E385F">
                <w:rPr>
                  <w:rFonts w:ascii="Verdana" w:hAnsi="Verdana"/>
                  <w:sz w:val="20"/>
                </w:rPr>
                <w:instrText>"</w:instrText>
              </w:r>
              <w:r w:rsidR="00F935B1" w:rsidRPr="005E385F">
                <w:rPr>
                  <w:rFonts w:ascii="Verdana" w:hAnsi="Verdana"/>
                  <w:sz w:val="20"/>
                </w:rPr>
                <w:fldChar w:fldCharType="end"/>
              </w:r>
            </w:hyperlink>
            <w:r w:rsidR="00F935B1" w:rsidRPr="005E385F">
              <w:rPr>
                <w:rFonts w:ascii="Verdana" w:hAnsi="Verdana"/>
                <w:sz w:val="20"/>
              </w:rPr>
              <w:fldChar w:fldCharType="begin"/>
            </w:r>
            <w:r w:rsidR="00F935B1" w:rsidRPr="005E385F">
              <w:rPr>
                <w:rFonts w:ascii="Verdana" w:hAnsi="Verdana"/>
                <w:sz w:val="20"/>
              </w:rPr>
              <w:instrText>xe "</w:instrText>
            </w:r>
            <w:r w:rsidR="00F935B1" w:rsidRPr="005E385F">
              <w:rPr>
                <w:rFonts w:ascii="Verdana" w:hAnsi="Verdana"/>
                <w:bCs/>
                <w:sz w:val="20"/>
              </w:rPr>
              <w:instrText>NIC</w:instrText>
            </w:r>
            <w:r w:rsidR="00F935B1" w:rsidRPr="005E385F">
              <w:rPr>
                <w:rFonts w:ascii="Verdana" w:hAnsi="Verdana"/>
                <w:sz w:val="20"/>
              </w:rPr>
              <w:instrText>"</w:instrText>
            </w:r>
            <w:r w:rsidR="00F935B1" w:rsidRPr="005E385F">
              <w:rPr>
                <w:rFonts w:ascii="Verdana" w:hAnsi="Verdana"/>
                <w:sz w:val="20"/>
              </w:rPr>
              <w:fldChar w:fldCharType="end"/>
            </w:r>
            <w:r w:rsidR="00F935B1" w:rsidRPr="005E385F">
              <w:rPr>
                <w:rFonts w:ascii="Verdana" w:hAnsi="Verdana"/>
                <w:bCs/>
                <w:sz w:val="20"/>
              </w:rPr>
              <w:t xml:space="preserve"> that are separately priced or used in eligible equipment are eligible. </w:t>
            </w:r>
          </w:p>
          <w:p w14:paraId="1E6B5C31" w14:textId="77777777" w:rsidR="00F935B1" w:rsidRPr="005E385F" w:rsidRDefault="00F935B1" w:rsidP="0083602C">
            <w:pPr>
              <w:pStyle w:val="NormalWeb"/>
              <w:spacing w:before="0" w:beforeAutospacing="0" w:after="0"/>
              <w:rPr>
                <w:rFonts w:ascii="Verdana" w:hAnsi="Verdana"/>
                <w:bCs/>
                <w:sz w:val="20"/>
              </w:rPr>
            </w:pPr>
          </w:p>
          <w:p w14:paraId="17BC7E9F" w14:textId="77777777" w:rsidR="00F935B1" w:rsidRPr="005E385F" w:rsidRDefault="00F935B1" w:rsidP="0083602C">
            <w:pPr>
              <w:pStyle w:val="NormalWeb"/>
              <w:spacing w:before="0" w:beforeAutospacing="0" w:after="0"/>
              <w:rPr>
                <w:rFonts w:ascii="Verdana" w:hAnsi="Verdana"/>
                <w:bCs/>
                <w:sz w:val="20"/>
              </w:rPr>
            </w:pPr>
            <w:r w:rsidRPr="005E385F">
              <w:rPr>
                <w:rFonts w:ascii="Verdana" w:hAnsi="Verdana"/>
                <w:bCs/>
                <w:sz w:val="20"/>
              </w:rPr>
              <w:t>Processors</w:t>
            </w:r>
            <w:r w:rsidRPr="005E385F">
              <w:rPr>
                <w:rFonts w:ascii="Verdana" w:hAnsi="Verdana"/>
                <w:sz w:val="20"/>
              </w:rPr>
              <w:fldChar w:fldCharType="begin"/>
            </w:r>
            <w:r w:rsidRPr="005E385F">
              <w:rPr>
                <w:rFonts w:ascii="Verdana" w:hAnsi="Verdana"/>
                <w:sz w:val="20"/>
              </w:rPr>
              <w:instrText>xe "</w:instrText>
            </w:r>
            <w:r w:rsidRPr="005E385F">
              <w:rPr>
                <w:rFonts w:ascii="Verdana" w:hAnsi="Verdana"/>
                <w:bCs/>
                <w:sz w:val="20"/>
              </w:rPr>
              <w:instrText>Processors</w:instrText>
            </w:r>
            <w:r w:rsidRPr="005E385F">
              <w:rPr>
                <w:rFonts w:ascii="Verdana" w:hAnsi="Verdana"/>
                <w:sz w:val="20"/>
              </w:rPr>
              <w:instrText>"</w:instrText>
            </w:r>
            <w:r w:rsidRPr="005E385F">
              <w:rPr>
                <w:rFonts w:ascii="Verdana" w:hAnsi="Verdana"/>
                <w:sz w:val="20"/>
              </w:rPr>
              <w:fldChar w:fldCharType="end"/>
            </w:r>
            <w:r w:rsidRPr="005E385F">
              <w:rPr>
                <w:rFonts w:ascii="Verdana" w:hAnsi="Verdana"/>
                <w:bCs/>
                <w:sz w:val="20"/>
              </w:rPr>
              <w:t xml:space="preserve"> and a </w:t>
            </w:r>
            <w:hyperlink w:anchor="ProcessorTerminatorCard" w:history="1">
              <w:r w:rsidRPr="005E385F">
                <w:rPr>
                  <w:rStyle w:val="Hyperlink"/>
                  <w:rFonts w:ascii="Verdana" w:hAnsi="Verdana"/>
                  <w:bCs/>
                  <w:sz w:val="20"/>
                </w:rPr>
                <w:t>processor terminator card</w:t>
              </w:r>
            </w:hyperlink>
            <w:r w:rsidRPr="005E385F">
              <w:rPr>
                <w:rFonts w:ascii="Verdana" w:hAnsi="Verdana"/>
                <w:bCs/>
                <w:sz w:val="20"/>
              </w:rPr>
              <w:t xml:space="preserve"> </w:t>
            </w:r>
            <w:r w:rsidRPr="005E385F">
              <w:rPr>
                <w:rFonts w:ascii="Verdana" w:hAnsi="Verdana"/>
                <w:sz w:val="20"/>
              </w:rPr>
              <w:fldChar w:fldCharType="begin"/>
            </w:r>
            <w:r w:rsidRPr="005E385F">
              <w:rPr>
                <w:rFonts w:ascii="Verdana" w:hAnsi="Verdana"/>
                <w:sz w:val="20"/>
              </w:rPr>
              <w:instrText>xe "Processor Terminator Card"</w:instrText>
            </w:r>
            <w:r w:rsidRPr="005E385F">
              <w:rPr>
                <w:rFonts w:ascii="Verdana" w:hAnsi="Verdana"/>
                <w:sz w:val="20"/>
              </w:rPr>
              <w:fldChar w:fldCharType="end"/>
            </w:r>
            <w:r w:rsidRPr="005E385F">
              <w:rPr>
                <w:rFonts w:ascii="Verdana" w:hAnsi="Verdana"/>
                <w:bCs/>
                <w:sz w:val="20"/>
              </w:rPr>
              <w:t>are eligible if used in an eligible component.</w:t>
            </w:r>
          </w:p>
          <w:p w14:paraId="355263CB" w14:textId="77777777" w:rsidR="00F935B1" w:rsidRPr="005E385F" w:rsidRDefault="00F935B1" w:rsidP="0083602C">
            <w:pPr>
              <w:pStyle w:val="NormalWeb"/>
              <w:spacing w:before="0" w:beforeAutospacing="0" w:after="0"/>
              <w:rPr>
                <w:rFonts w:ascii="Verdana" w:hAnsi="Verdana"/>
                <w:bCs/>
                <w:sz w:val="20"/>
              </w:rPr>
            </w:pPr>
            <w:r w:rsidRPr="005E385F">
              <w:rPr>
                <w:rFonts w:ascii="Verdana" w:hAnsi="Verdana"/>
                <w:bCs/>
                <w:sz w:val="20"/>
              </w:rPr>
              <w:t xml:space="preserve"> </w:t>
            </w:r>
          </w:p>
          <w:p w14:paraId="34CB27E8" w14:textId="77777777" w:rsidR="00F935B1" w:rsidRPr="005E385F" w:rsidRDefault="00A0395D" w:rsidP="0083602C">
            <w:pPr>
              <w:pStyle w:val="NormalWeb"/>
              <w:spacing w:before="0" w:beforeAutospacing="0" w:after="0"/>
              <w:rPr>
                <w:rFonts w:ascii="Verdana" w:hAnsi="Verdana"/>
                <w:bCs/>
                <w:sz w:val="20"/>
              </w:rPr>
            </w:pPr>
            <w:hyperlink w:anchor="PhoneModem" w:history="1">
              <w:r w:rsidR="00F935B1" w:rsidRPr="005E385F">
                <w:rPr>
                  <w:rStyle w:val="Hyperlink"/>
                  <w:rFonts w:ascii="Verdana" w:hAnsi="Verdana"/>
                  <w:bCs/>
                  <w:sz w:val="20"/>
                </w:rPr>
                <w:t>Phone modems</w:t>
              </w:r>
              <w:r w:rsidR="00F935B1" w:rsidRPr="005E385F">
                <w:rPr>
                  <w:rFonts w:ascii="Verdana" w:hAnsi="Verdana"/>
                  <w:sz w:val="20"/>
                </w:rPr>
                <w:fldChar w:fldCharType="begin"/>
              </w:r>
              <w:r w:rsidR="00F935B1" w:rsidRPr="005E385F">
                <w:rPr>
                  <w:rFonts w:ascii="Verdana" w:hAnsi="Verdana"/>
                  <w:sz w:val="20"/>
                </w:rPr>
                <w:instrText>xe "</w:instrText>
              </w:r>
              <w:r w:rsidR="00F935B1" w:rsidRPr="005E385F">
                <w:rPr>
                  <w:rFonts w:ascii="Verdana" w:hAnsi="Verdana"/>
                  <w:bCs/>
                  <w:sz w:val="20"/>
                </w:rPr>
                <w:instrText>Phone Modems</w:instrText>
              </w:r>
              <w:r w:rsidR="00F935B1" w:rsidRPr="005E385F">
                <w:rPr>
                  <w:rFonts w:ascii="Verdana" w:hAnsi="Verdana"/>
                  <w:sz w:val="20"/>
                </w:rPr>
                <w:instrText>"</w:instrText>
              </w:r>
              <w:r w:rsidR="00F935B1" w:rsidRPr="005E385F">
                <w:rPr>
                  <w:rFonts w:ascii="Verdana" w:hAnsi="Verdana"/>
                  <w:sz w:val="20"/>
                </w:rPr>
                <w:fldChar w:fldCharType="end"/>
              </w:r>
            </w:hyperlink>
            <w:r w:rsidR="00F935B1" w:rsidRPr="005E385F">
              <w:rPr>
                <w:rFonts w:ascii="Verdana" w:hAnsi="Verdana"/>
                <w:bCs/>
                <w:sz w:val="20"/>
              </w:rPr>
              <w:t xml:space="preserve"> may be eligible if used with an eligible server</w:t>
            </w:r>
            <w:r w:rsidR="00F935B1" w:rsidRPr="005E385F">
              <w:rPr>
                <w:rFonts w:ascii="Verdana" w:hAnsi="Verdana"/>
                <w:sz w:val="20"/>
              </w:rPr>
              <w:fldChar w:fldCharType="begin"/>
            </w:r>
            <w:r w:rsidR="00F935B1" w:rsidRPr="005E385F">
              <w:rPr>
                <w:rFonts w:ascii="Verdana" w:hAnsi="Verdana"/>
                <w:sz w:val="20"/>
              </w:rPr>
              <w:instrText>xe "Servers"</w:instrText>
            </w:r>
            <w:r w:rsidR="00F935B1" w:rsidRPr="005E385F">
              <w:rPr>
                <w:rFonts w:ascii="Verdana" w:hAnsi="Verdana"/>
                <w:sz w:val="20"/>
              </w:rPr>
              <w:fldChar w:fldCharType="end"/>
            </w:r>
            <w:r w:rsidR="00F935B1" w:rsidRPr="005E385F">
              <w:rPr>
                <w:rFonts w:ascii="Verdana" w:hAnsi="Verdana"/>
                <w:bCs/>
                <w:sz w:val="20"/>
              </w:rPr>
              <w:t xml:space="preserve"> or other eligible device for providing remote</w:t>
            </w:r>
            <w:r w:rsidR="00F935B1" w:rsidRPr="005E385F">
              <w:rPr>
                <w:rFonts w:ascii="Verdana" w:hAnsi="Verdana"/>
                <w:sz w:val="20"/>
              </w:rPr>
              <w:fldChar w:fldCharType="begin"/>
            </w:r>
            <w:r w:rsidR="00F935B1" w:rsidRPr="005E385F">
              <w:rPr>
                <w:rFonts w:ascii="Verdana" w:hAnsi="Verdana"/>
                <w:sz w:val="20"/>
              </w:rPr>
              <w:instrText>xe "R</w:instrText>
            </w:r>
            <w:r w:rsidR="00F935B1" w:rsidRPr="005E385F">
              <w:rPr>
                <w:rFonts w:ascii="Verdana" w:hAnsi="Verdana"/>
                <w:bCs/>
                <w:sz w:val="20"/>
              </w:rPr>
              <w:instrText>emote</w:instrText>
            </w:r>
            <w:r w:rsidR="00F935B1" w:rsidRPr="005E385F">
              <w:rPr>
                <w:rFonts w:ascii="Verdana" w:hAnsi="Verdana"/>
                <w:sz w:val="20"/>
              </w:rPr>
              <w:instrText>"</w:instrText>
            </w:r>
            <w:r w:rsidR="00F935B1" w:rsidRPr="005E385F">
              <w:rPr>
                <w:rFonts w:ascii="Verdana" w:hAnsi="Verdana"/>
                <w:sz w:val="20"/>
              </w:rPr>
              <w:fldChar w:fldCharType="end"/>
            </w:r>
            <w:r w:rsidR="00F935B1" w:rsidRPr="005E385F">
              <w:rPr>
                <w:rFonts w:ascii="Verdana" w:hAnsi="Verdana"/>
                <w:bCs/>
                <w:sz w:val="20"/>
              </w:rPr>
              <w:t xml:space="preserve"> dial-in network access, if the remote access is limited to connections from eligible locations. </w:t>
            </w:r>
          </w:p>
        </w:tc>
      </w:tr>
      <w:tr w:rsidR="00F935B1" w:rsidRPr="005E385F" w14:paraId="48B8DD55" w14:textId="77777777" w:rsidTr="0083602C">
        <w:trPr>
          <w:trHeight w:val="159"/>
          <w:tblCellSpacing w:w="15" w:type="dxa"/>
        </w:trPr>
        <w:tc>
          <w:tcPr>
            <w:tcW w:w="1243" w:type="pct"/>
          </w:tcPr>
          <w:p w14:paraId="1321B2D4" w14:textId="77777777" w:rsidR="00F935B1" w:rsidRPr="005E385F" w:rsidRDefault="00F935B1" w:rsidP="0083602C">
            <w:pPr>
              <w:rPr>
                <w:rFonts w:ascii="Verdana" w:hAnsi="Verdana"/>
                <w:sz w:val="20"/>
              </w:rPr>
            </w:pPr>
            <w:r w:rsidRPr="005E385F">
              <w:rPr>
                <w:rFonts w:ascii="Verdana" w:hAnsi="Verdana"/>
                <w:sz w:val="20"/>
              </w:rPr>
              <w:lastRenderedPageBreak/>
              <w:t>Data Distribution</w:t>
            </w:r>
            <w:r w:rsidRPr="005E385F">
              <w:rPr>
                <w:rFonts w:ascii="Verdana" w:hAnsi="Verdana"/>
                <w:sz w:val="20"/>
              </w:rPr>
              <w:fldChar w:fldCharType="begin"/>
            </w:r>
            <w:r w:rsidRPr="005E385F">
              <w:rPr>
                <w:rFonts w:ascii="Verdana" w:hAnsi="Verdana"/>
                <w:sz w:val="20"/>
              </w:rPr>
              <w:instrText>xe "Data Distribution"</w:instrText>
            </w:r>
            <w:r w:rsidRPr="005E385F">
              <w:rPr>
                <w:rFonts w:ascii="Verdana" w:hAnsi="Verdana"/>
                <w:sz w:val="20"/>
              </w:rPr>
              <w:fldChar w:fldCharType="end"/>
            </w:r>
          </w:p>
          <w:p w14:paraId="0ED622A5" w14:textId="77777777" w:rsidR="00F935B1" w:rsidRPr="005E385F" w:rsidRDefault="00F935B1" w:rsidP="0083602C">
            <w:pPr>
              <w:rPr>
                <w:rFonts w:ascii="Verdana" w:hAnsi="Verdana"/>
                <w:sz w:val="20"/>
              </w:rPr>
            </w:pPr>
          </w:p>
          <w:p w14:paraId="47FBCD30" w14:textId="77777777" w:rsidR="00F935B1" w:rsidRPr="005E385F" w:rsidRDefault="00F935B1" w:rsidP="0083602C">
            <w:pPr>
              <w:rPr>
                <w:rFonts w:ascii="Verdana" w:hAnsi="Verdana"/>
                <w:sz w:val="20"/>
              </w:rPr>
            </w:pPr>
          </w:p>
        </w:tc>
        <w:tc>
          <w:tcPr>
            <w:tcW w:w="3709" w:type="pct"/>
          </w:tcPr>
          <w:p w14:paraId="21FB7B96" w14:textId="77777777" w:rsidR="00F935B1" w:rsidRPr="005E385F" w:rsidRDefault="00F935B1" w:rsidP="0083602C">
            <w:pPr>
              <w:pStyle w:val="NormalWeb"/>
              <w:spacing w:before="0" w:beforeAutospacing="0" w:after="0"/>
              <w:rPr>
                <w:rFonts w:ascii="Verdana" w:hAnsi="Verdana"/>
                <w:bCs/>
                <w:sz w:val="20"/>
              </w:rPr>
            </w:pPr>
            <w:r w:rsidRPr="005E385F">
              <w:rPr>
                <w:rFonts w:ascii="Verdana" w:hAnsi="Verdana"/>
                <w:bCs/>
                <w:sz w:val="20"/>
              </w:rPr>
              <w:t>Components used to transport information from telecommunication</w:t>
            </w:r>
            <w:r w:rsidRPr="005E385F">
              <w:rPr>
                <w:rFonts w:ascii="Verdana" w:hAnsi="Verdana"/>
                <w:sz w:val="20"/>
              </w:rPr>
              <w:fldChar w:fldCharType="begin"/>
            </w:r>
            <w:r w:rsidRPr="005E385F">
              <w:rPr>
                <w:rFonts w:ascii="Verdana" w:hAnsi="Verdana"/>
                <w:sz w:val="20"/>
              </w:rPr>
              <w:instrText>xe "Telecommunications"</w:instrText>
            </w:r>
            <w:r w:rsidRPr="005E385F">
              <w:rPr>
                <w:rFonts w:ascii="Verdana" w:hAnsi="Verdana"/>
                <w:sz w:val="20"/>
              </w:rPr>
              <w:fldChar w:fldCharType="end"/>
            </w:r>
            <w:r w:rsidRPr="005E385F">
              <w:rPr>
                <w:rFonts w:ascii="Verdana" w:hAnsi="Verdana"/>
                <w:bCs/>
                <w:sz w:val="20"/>
              </w:rPr>
              <w:t xml:space="preserve"> or Internet access</w:t>
            </w:r>
            <w:r w:rsidRPr="005E385F">
              <w:rPr>
                <w:rFonts w:ascii="Verdana" w:hAnsi="Verdana"/>
                <w:sz w:val="20"/>
              </w:rPr>
              <w:fldChar w:fldCharType="begin"/>
            </w:r>
            <w:r w:rsidRPr="005E385F">
              <w:rPr>
                <w:rFonts w:ascii="Verdana" w:hAnsi="Verdana"/>
                <w:sz w:val="20"/>
              </w:rPr>
              <w:instrText>xe "Internet Access"</w:instrText>
            </w:r>
            <w:r w:rsidRPr="005E385F">
              <w:rPr>
                <w:rFonts w:ascii="Verdana" w:hAnsi="Verdana"/>
                <w:sz w:val="20"/>
              </w:rPr>
              <w:fldChar w:fldCharType="end"/>
            </w:r>
            <w:r w:rsidRPr="005E385F">
              <w:rPr>
                <w:rFonts w:ascii="Verdana" w:hAnsi="Verdana"/>
                <w:bCs/>
                <w:sz w:val="20"/>
              </w:rPr>
              <w:t xml:space="preserve"> facilities to the individual classrooms or public areas of a library are eligible.</w:t>
            </w:r>
          </w:p>
          <w:p w14:paraId="47C0F877" w14:textId="77777777" w:rsidR="00F935B1" w:rsidRPr="005E385F" w:rsidRDefault="00F935B1" w:rsidP="0083602C">
            <w:pPr>
              <w:pStyle w:val="NormalWeb"/>
              <w:spacing w:before="0" w:beforeAutospacing="0" w:after="0"/>
              <w:rPr>
                <w:rFonts w:ascii="Verdana" w:hAnsi="Verdana"/>
                <w:bCs/>
                <w:sz w:val="20"/>
              </w:rPr>
            </w:pPr>
          </w:p>
          <w:p w14:paraId="5108D84D" w14:textId="77777777" w:rsidR="00F935B1" w:rsidRPr="005E385F" w:rsidRDefault="00F935B1" w:rsidP="0083602C">
            <w:pPr>
              <w:pStyle w:val="NormalWeb"/>
              <w:spacing w:before="0" w:beforeAutospacing="0" w:after="0"/>
              <w:rPr>
                <w:rFonts w:ascii="Verdana" w:hAnsi="Verdana"/>
                <w:bCs/>
                <w:sz w:val="20"/>
              </w:rPr>
            </w:pPr>
            <w:r w:rsidRPr="005E385F">
              <w:rPr>
                <w:rFonts w:ascii="Verdana" w:hAnsi="Verdana"/>
                <w:bCs/>
                <w:sz w:val="20"/>
              </w:rPr>
              <w:t>Such components</w:t>
            </w:r>
            <w:r w:rsidRPr="005E385F">
              <w:rPr>
                <w:rFonts w:ascii="Verdana" w:hAnsi="Verdana"/>
                <w:sz w:val="20"/>
              </w:rPr>
              <w:fldChar w:fldCharType="begin"/>
            </w:r>
            <w:r w:rsidRPr="005E385F">
              <w:rPr>
                <w:rFonts w:ascii="Verdana" w:hAnsi="Verdana"/>
                <w:sz w:val="20"/>
              </w:rPr>
              <w:instrText>xe "</w:instrText>
            </w:r>
            <w:r w:rsidRPr="005E385F">
              <w:rPr>
                <w:rFonts w:ascii="Verdana" w:hAnsi="Verdana"/>
                <w:bCs/>
                <w:sz w:val="20"/>
              </w:rPr>
              <w:instrText>Components</w:instrText>
            </w:r>
            <w:r w:rsidRPr="005E385F">
              <w:rPr>
                <w:rFonts w:ascii="Verdana" w:hAnsi="Verdana"/>
                <w:sz w:val="20"/>
              </w:rPr>
              <w:instrText>"</w:instrText>
            </w:r>
            <w:r w:rsidRPr="005E385F">
              <w:rPr>
                <w:rFonts w:ascii="Verdana" w:hAnsi="Verdana"/>
                <w:sz w:val="20"/>
              </w:rPr>
              <w:fldChar w:fldCharType="end"/>
            </w:r>
            <w:r w:rsidRPr="005E385F">
              <w:rPr>
                <w:rFonts w:ascii="Verdana" w:hAnsi="Verdana"/>
                <w:bCs/>
                <w:sz w:val="20"/>
              </w:rPr>
              <w:t xml:space="preserve"> may include:</w:t>
            </w:r>
          </w:p>
          <w:p w14:paraId="5B5EF177" w14:textId="77777777" w:rsidR="00F935B1" w:rsidRPr="005E385F" w:rsidRDefault="00F935B1" w:rsidP="0083602C">
            <w:pPr>
              <w:pStyle w:val="NormalWeb"/>
              <w:spacing w:before="0" w:beforeAutospacing="0" w:after="0"/>
              <w:rPr>
                <w:rFonts w:ascii="Verdana" w:hAnsi="Verdana"/>
                <w:bCs/>
                <w:sz w:val="20"/>
              </w:rPr>
            </w:pPr>
          </w:p>
          <w:p w14:paraId="646246DB" w14:textId="77777777" w:rsidR="00F935B1" w:rsidRPr="005E385F" w:rsidRDefault="00A0395D" w:rsidP="00F935B1">
            <w:pPr>
              <w:pStyle w:val="NormalWeb"/>
              <w:numPr>
                <w:ilvl w:val="0"/>
                <w:numId w:val="14"/>
              </w:numPr>
              <w:spacing w:before="0" w:beforeAutospacing="0" w:after="0"/>
              <w:rPr>
                <w:rFonts w:ascii="Verdana" w:hAnsi="Verdana"/>
                <w:bCs/>
                <w:sz w:val="20"/>
              </w:rPr>
            </w:pPr>
            <w:hyperlink w:anchor="AccessPoint" w:history="1">
              <w:r w:rsidR="00F935B1" w:rsidRPr="005E385F">
                <w:rPr>
                  <w:rStyle w:val="Hyperlink"/>
                  <w:rFonts w:ascii="Verdana" w:hAnsi="Verdana"/>
                  <w:bCs/>
                  <w:sz w:val="20"/>
                </w:rPr>
                <w:t>Access Points</w:t>
              </w:r>
              <w:r w:rsidR="00F935B1" w:rsidRPr="005E385F">
                <w:rPr>
                  <w:rFonts w:ascii="Verdana" w:hAnsi="Verdana"/>
                  <w:sz w:val="20"/>
                </w:rPr>
                <w:fldChar w:fldCharType="begin"/>
              </w:r>
              <w:r w:rsidR="00F935B1" w:rsidRPr="005E385F">
                <w:rPr>
                  <w:rFonts w:ascii="Verdana" w:hAnsi="Verdana"/>
                  <w:sz w:val="20"/>
                </w:rPr>
                <w:instrText>xe "</w:instrText>
              </w:r>
              <w:r w:rsidR="00F935B1" w:rsidRPr="005E385F">
                <w:rPr>
                  <w:rStyle w:val="Hyperlink"/>
                  <w:rFonts w:ascii="Verdana" w:hAnsi="Verdana"/>
                  <w:bCs/>
                  <w:sz w:val="20"/>
                </w:rPr>
                <w:instrText>Access Point</w:instrText>
              </w:r>
              <w:r w:rsidR="00F935B1" w:rsidRPr="005E385F">
                <w:rPr>
                  <w:rFonts w:ascii="Verdana" w:hAnsi="Verdana"/>
                  <w:sz w:val="20"/>
                </w:rPr>
                <w:instrText>"</w:instrText>
              </w:r>
              <w:r w:rsidR="00F935B1" w:rsidRPr="005E385F">
                <w:rPr>
                  <w:rFonts w:ascii="Verdana" w:hAnsi="Verdana"/>
                  <w:sz w:val="20"/>
                </w:rPr>
                <w:fldChar w:fldCharType="end"/>
              </w:r>
            </w:hyperlink>
            <w:r w:rsidR="00F935B1" w:rsidRPr="005E385F">
              <w:rPr>
                <w:rFonts w:ascii="Verdana" w:hAnsi="Verdana"/>
                <w:bCs/>
                <w:sz w:val="20"/>
              </w:rPr>
              <w:t xml:space="preserve"> used in a LAN environment</w:t>
            </w:r>
          </w:p>
          <w:p w14:paraId="29453D97" w14:textId="77777777" w:rsidR="00F935B1" w:rsidRPr="005E385F" w:rsidRDefault="00A0395D" w:rsidP="00F935B1">
            <w:pPr>
              <w:pStyle w:val="NormalWeb"/>
              <w:numPr>
                <w:ilvl w:val="0"/>
                <w:numId w:val="14"/>
              </w:numPr>
              <w:spacing w:before="0" w:beforeAutospacing="0" w:after="0"/>
              <w:rPr>
                <w:rFonts w:ascii="Verdana" w:hAnsi="Verdana"/>
                <w:bCs/>
                <w:sz w:val="20"/>
              </w:rPr>
            </w:pPr>
            <w:hyperlink w:anchor="Hub" w:history="1">
              <w:r w:rsidR="00F935B1" w:rsidRPr="005E385F">
                <w:rPr>
                  <w:rStyle w:val="Hyperlink"/>
                  <w:rFonts w:ascii="Verdana" w:hAnsi="Verdana"/>
                  <w:bCs/>
                  <w:sz w:val="20"/>
                </w:rPr>
                <w:t>Hubs</w:t>
              </w:r>
              <w:r w:rsidR="00F935B1" w:rsidRPr="005E385F">
                <w:rPr>
                  <w:rFonts w:ascii="Verdana" w:hAnsi="Verdana"/>
                  <w:sz w:val="20"/>
                </w:rPr>
                <w:fldChar w:fldCharType="begin"/>
              </w:r>
              <w:r w:rsidR="00F935B1" w:rsidRPr="005E385F">
                <w:rPr>
                  <w:rFonts w:ascii="Verdana" w:hAnsi="Verdana"/>
                  <w:sz w:val="20"/>
                </w:rPr>
                <w:instrText>xe "</w:instrText>
              </w:r>
              <w:r w:rsidR="00F935B1" w:rsidRPr="005E385F">
                <w:rPr>
                  <w:rStyle w:val="Hyperlink"/>
                  <w:rFonts w:ascii="Verdana" w:hAnsi="Verdana"/>
                  <w:bCs/>
                  <w:sz w:val="20"/>
                </w:rPr>
                <w:instrText>Hubs</w:instrText>
              </w:r>
              <w:r w:rsidR="00F935B1" w:rsidRPr="005E385F">
                <w:rPr>
                  <w:rFonts w:ascii="Verdana" w:hAnsi="Verdana"/>
                  <w:sz w:val="20"/>
                </w:rPr>
                <w:instrText>"</w:instrText>
              </w:r>
              <w:r w:rsidR="00F935B1" w:rsidRPr="005E385F">
                <w:rPr>
                  <w:rFonts w:ascii="Verdana" w:hAnsi="Verdana"/>
                  <w:sz w:val="20"/>
                </w:rPr>
                <w:fldChar w:fldCharType="end"/>
              </w:r>
            </w:hyperlink>
          </w:p>
          <w:p w14:paraId="60589143" w14:textId="77777777" w:rsidR="00F935B1" w:rsidRPr="005E385F" w:rsidRDefault="00A0395D" w:rsidP="00F935B1">
            <w:pPr>
              <w:pStyle w:val="NormalWeb"/>
              <w:numPr>
                <w:ilvl w:val="0"/>
                <w:numId w:val="14"/>
              </w:numPr>
              <w:spacing w:before="0" w:beforeAutospacing="0" w:after="0"/>
              <w:rPr>
                <w:rFonts w:ascii="Verdana" w:hAnsi="Verdana"/>
                <w:bCs/>
                <w:sz w:val="20"/>
              </w:rPr>
            </w:pPr>
            <w:hyperlink w:anchor="Multiplexer" w:history="1">
              <w:r w:rsidR="00F935B1" w:rsidRPr="005E385F">
                <w:rPr>
                  <w:rStyle w:val="Hyperlink"/>
                  <w:rFonts w:ascii="Verdana" w:hAnsi="Verdana"/>
                  <w:bCs/>
                  <w:sz w:val="20"/>
                </w:rPr>
                <w:t>Multiplexers</w:t>
              </w:r>
              <w:r w:rsidR="00F935B1" w:rsidRPr="005E385F">
                <w:rPr>
                  <w:rFonts w:ascii="Verdana" w:hAnsi="Verdana"/>
                  <w:sz w:val="20"/>
                </w:rPr>
                <w:fldChar w:fldCharType="begin"/>
              </w:r>
              <w:r w:rsidR="00F935B1" w:rsidRPr="005E385F">
                <w:rPr>
                  <w:rFonts w:ascii="Verdana" w:hAnsi="Verdana"/>
                  <w:sz w:val="20"/>
                </w:rPr>
                <w:instrText>xe "</w:instrText>
              </w:r>
              <w:r w:rsidR="00F935B1" w:rsidRPr="005E385F">
                <w:rPr>
                  <w:rStyle w:val="Hyperlink"/>
                  <w:rFonts w:ascii="Verdana" w:hAnsi="Verdana"/>
                  <w:bCs/>
                  <w:sz w:val="20"/>
                </w:rPr>
                <w:instrText>Multiplexer</w:instrText>
              </w:r>
              <w:r w:rsidR="00F935B1" w:rsidRPr="005E385F">
                <w:rPr>
                  <w:rFonts w:ascii="Verdana" w:hAnsi="Verdana"/>
                  <w:sz w:val="20"/>
                </w:rPr>
                <w:instrText>"</w:instrText>
              </w:r>
              <w:r w:rsidR="00F935B1" w:rsidRPr="005E385F">
                <w:rPr>
                  <w:rFonts w:ascii="Verdana" w:hAnsi="Verdana"/>
                  <w:sz w:val="20"/>
                </w:rPr>
                <w:fldChar w:fldCharType="end"/>
              </w:r>
            </w:hyperlink>
            <w:r w:rsidR="00F935B1" w:rsidRPr="005E385F">
              <w:rPr>
                <w:rFonts w:ascii="Verdana" w:hAnsi="Verdana"/>
                <w:bCs/>
                <w:sz w:val="20"/>
              </w:rPr>
              <w:t xml:space="preserve"> used as part of a LAN</w:t>
            </w:r>
          </w:p>
          <w:p w14:paraId="40C99526" w14:textId="77777777" w:rsidR="00F935B1" w:rsidRPr="005E385F" w:rsidRDefault="00A0395D" w:rsidP="00F935B1">
            <w:pPr>
              <w:pStyle w:val="NormalWeb"/>
              <w:numPr>
                <w:ilvl w:val="0"/>
                <w:numId w:val="14"/>
              </w:numPr>
              <w:spacing w:before="0" w:beforeAutospacing="0" w:after="0"/>
              <w:rPr>
                <w:rFonts w:ascii="Verdana" w:hAnsi="Verdana"/>
                <w:bCs/>
                <w:sz w:val="20"/>
              </w:rPr>
            </w:pPr>
            <w:hyperlink w:anchor="NetworkSwitch" w:history="1">
              <w:r w:rsidR="00F935B1" w:rsidRPr="005E385F">
                <w:rPr>
                  <w:rStyle w:val="Hyperlink"/>
                  <w:rFonts w:ascii="Verdana" w:hAnsi="Verdana"/>
                  <w:bCs/>
                  <w:sz w:val="20"/>
                </w:rPr>
                <w:t>Network Switches</w:t>
              </w:r>
              <w:r w:rsidR="00F935B1" w:rsidRPr="005E385F">
                <w:rPr>
                  <w:rStyle w:val="Hyperlink"/>
                  <w:rFonts w:ascii="Verdana" w:hAnsi="Verdana"/>
                  <w:sz w:val="20"/>
                </w:rPr>
                <w:fldChar w:fldCharType="begin"/>
              </w:r>
              <w:r w:rsidR="00F935B1" w:rsidRPr="005E385F">
                <w:rPr>
                  <w:rStyle w:val="Hyperlink"/>
                  <w:rFonts w:ascii="Verdana" w:hAnsi="Verdana"/>
                  <w:sz w:val="20"/>
                </w:rPr>
                <w:instrText>xe "</w:instrText>
              </w:r>
              <w:r w:rsidR="00F935B1" w:rsidRPr="005E385F">
                <w:rPr>
                  <w:rStyle w:val="Hyperlink"/>
                  <w:rFonts w:ascii="Verdana" w:hAnsi="Verdana"/>
                  <w:bCs/>
                  <w:sz w:val="20"/>
                </w:rPr>
                <w:instrText>Network Switch</w:instrText>
              </w:r>
              <w:r w:rsidR="00F935B1" w:rsidRPr="005E385F">
                <w:rPr>
                  <w:rStyle w:val="Hyperlink"/>
                  <w:rFonts w:ascii="Verdana" w:hAnsi="Verdana"/>
                  <w:sz w:val="20"/>
                </w:rPr>
                <w:instrText>"</w:instrText>
              </w:r>
              <w:r w:rsidR="00F935B1" w:rsidRPr="005E385F">
                <w:rPr>
                  <w:rStyle w:val="Hyperlink"/>
                  <w:rFonts w:ascii="Verdana" w:hAnsi="Verdana"/>
                  <w:sz w:val="20"/>
                </w:rPr>
                <w:fldChar w:fldCharType="end"/>
              </w:r>
            </w:hyperlink>
            <w:r w:rsidR="00F935B1" w:rsidRPr="005E385F">
              <w:rPr>
                <w:rFonts w:ascii="Verdana" w:hAnsi="Verdana"/>
                <w:bCs/>
                <w:sz w:val="20"/>
              </w:rPr>
              <w:t xml:space="preserve"> </w:t>
            </w:r>
            <w:r w:rsidR="00F935B1" w:rsidRPr="005E385F">
              <w:rPr>
                <w:rFonts w:ascii="Verdana" w:hAnsi="Verdana"/>
                <w:sz w:val="20"/>
              </w:rPr>
              <w:t xml:space="preserve">are eligible for discount when used for an eligible purpose </w:t>
            </w:r>
          </w:p>
          <w:p w14:paraId="106BBC88" w14:textId="77777777" w:rsidR="00F935B1" w:rsidRPr="005E385F" w:rsidRDefault="00A0395D" w:rsidP="00F935B1">
            <w:pPr>
              <w:pStyle w:val="NormalWeb"/>
              <w:numPr>
                <w:ilvl w:val="0"/>
                <w:numId w:val="14"/>
              </w:numPr>
              <w:spacing w:before="0" w:beforeAutospacing="0" w:after="0"/>
              <w:rPr>
                <w:rFonts w:ascii="Verdana" w:hAnsi="Verdana"/>
                <w:bCs/>
                <w:sz w:val="20"/>
              </w:rPr>
            </w:pPr>
            <w:hyperlink w:anchor="Router" w:history="1">
              <w:r w:rsidR="00F935B1" w:rsidRPr="005E385F">
                <w:rPr>
                  <w:rStyle w:val="Hyperlink"/>
                  <w:rFonts w:ascii="Verdana" w:hAnsi="Verdana"/>
                  <w:bCs/>
                  <w:sz w:val="20"/>
                </w:rPr>
                <w:t>Routers</w:t>
              </w:r>
              <w:r w:rsidR="00F935B1" w:rsidRPr="005E385F">
                <w:rPr>
                  <w:rStyle w:val="Hyperlink"/>
                  <w:rFonts w:ascii="Verdana" w:hAnsi="Verdana"/>
                  <w:sz w:val="20"/>
                </w:rPr>
                <w:fldChar w:fldCharType="begin"/>
              </w:r>
              <w:r w:rsidR="00F935B1" w:rsidRPr="005E385F">
                <w:rPr>
                  <w:rStyle w:val="Hyperlink"/>
                  <w:rFonts w:ascii="Verdana" w:hAnsi="Verdana"/>
                  <w:sz w:val="20"/>
                </w:rPr>
                <w:instrText>xe "Routers"</w:instrText>
              </w:r>
              <w:r w:rsidR="00F935B1" w:rsidRPr="005E385F">
                <w:rPr>
                  <w:rStyle w:val="Hyperlink"/>
                  <w:rFonts w:ascii="Verdana" w:hAnsi="Verdana"/>
                  <w:sz w:val="20"/>
                </w:rPr>
                <w:fldChar w:fldCharType="end"/>
              </w:r>
            </w:hyperlink>
            <w:r w:rsidR="00F935B1" w:rsidRPr="005E385F">
              <w:rPr>
                <w:rFonts w:ascii="Verdana" w:hAnsi="Verdana"/>
                <w:bCs/>
                <w:sz w:val="20"/>
              </w:rPr>
              <w:t xml:space="preserve"> </w:t>
            </w:r>
            <w:r w:rsidR="00F935B1" w:rsidRPr="005E385F">
              <w:rPr>
                <w:rFonts w:ascii="Verdana" w:hAnsi="Verdana"/>
                <w:sz w:val="20"/>
              </w:rPr>
              <w:t>are eligible for a discount when used for an eligible purpose</w:t>
            </w:r>
          </w:p>
          <w:p w14:paraId="102C6C33" w14:textId="77777777" w:rsidR="00F935B1" w:rsidRPr="005E385F" w:rsidRDefault="00A0395D" w:rsidP="00F935B1">
            <w:pPr>
              <w:pStyle w:val="NormalWeb"/>
              <w:numPr>
                <w:ilvl w:val="0"/>
                <w:numId w:val="14"/>
              </w:numPr>
              <w:spacing w:before="0" w:beforeAutospacing="0" w:after="0"/>
              <w:rPr>
                <w:rFonts w:ascii="Verdana" w:hAnsi="Verdana"/>
                <w:bCs/>
                <w:color w:val="0000FF"/>
                <w:sz w:val="20"/>
                <w:u w:val="single"/>
              </w:rPr>
            </w:pPr>
            <w:hyperlink w:anchor="WirelessLANcontroller" w:history="1">
              <w:r w:rsidR="00F935B1" w:rsidRPr="005E385F">
                <w:rPr>
                  <w:rStyle w:val="Hyperlink"/>
                  <w:rFonts w:ascii="Verdana" w:hAnsi="Verdana"/>
                  <w:sz w:val="20"/>
                </w:rPr>
                <w:t>Wireless LAN Controller</w:t>
              </w:r>
            </w:hyperlink>
            <w:r w:rsidR="00F935B1" w:rsidRPr="005E385F">
              <w:rPr>
                <w:rFonts w:ascii="Verdana" w:hAnsi="Verdana"/>
                <w:color w:val="0000FF"/>
                <w:sz w:val="20"/>
                <w:u w:val="single"/>
              </w:rPr>
              <w:t>s</w:t>
            </w:r>
          </w:p>
          <w:p w14:paraId="133F9C40" w14:textId="77777777" w:rsidR="00F935B1" w:rsidRPr="005E385F" w:rsidRDefault="00F935B1" w:rsidP="0083602C">
            <w:pPr>
              <w:pStyle w:val="NormalWeb"/>
              <w:spacing w:before="0" w:beforeAutospacing="0" w:after="0"/>
              <w:rPr>
                <w:rFonts w:ascii="Verdana" w:hAnsi="Verdana"/>
                <w:sz w:val="20"/>
              </w:rPr>
            </w:pPr>
          </w:p>
          <w:p w14:paraId="0A59EDD0" w14:textId="77777777" w:rsidR="00F935B1" w:rsidRPr="005E385F" w:rsidRDefault="00A0395D" w:rsidP="0083602C">
            <w:pPr>
              <w:pStyle w:val="NormalWeb"/>
              <w:spacing w:before="0" w:beforeAutospacing="0" w:after="0"/>
              <w:rPr>
                <w:rFonts w:ascii="Verdana" w:hAnsi="Verdana"/>
                <w:bCs/>
                <w:sz w:val="20"/>
              </w:rPr>
            </w:pPr>
            <w:hyperlink w:anchor="VoIPComponents" w:history="1">
              <w:r w:rsidR="00F935B1" w:rsidRPr="005E385F">
                <w:rPr>
                  <w:rStyle w:val="Hyperlink"/>
                  <w:rFonts w:ascii="Verdana" w:hAnsi="Verdana"/>
                  <w:bCs/>
                  <w:sz w:val="20"/>
                </w:rPr>
                <w:t>Voice/Video over IP</w:t>
              </w:r>
              <w:r w:rsidR="00F935B1" w:rsidRPr="005E385F">
                <w:rPr>
                  <w:rFonts w:ascii="Verdana" w:hAnsi="Verdana"/>
                  <w:sz w:val="20"/>
                </w:rPr>
                <w:fldChar w:fldCharType="begin"/>
              </w:r>
              <w:r w:rsidR="00F935B1" w:rsidRPr="005E385F">
                <w:rPr>
                  <w:rFonts w:ascii="Verdana" w:hAnsi="Verdana"/>
                  <w:sz w:val="20"/>
                </w:rPr>
                <w:instrText>xe "</w:instrText>
              </w:r>
              <w:r w:rsidR="00F935B1" w:rsidRPr="005E385F">
                <w:rPr>
                  <w:rStyle w:val="Hyperlink"/>
                  <w:rFonts w:ascii="Verdana" w:hAnsi="Verdana"/>
                  <w:sz w:val="20"/>
                </w:rPr>
                <w:instrText>Voice/Video over IP</w:instrText>
              </w:r>
              <w:r w:rsidR="00F935B1" w:rsidRPr="005E385F">
                <w:rPr>
                  <w:rFonts w:ascii="Verdana" w:hAnsi="Verdana"/>
                  <w:sz w:val="20"/>
                </w:rPr>
                <w:instrText>"</w:instrText>
              </w:r>
              <w:r w:rsidR="00F935B1" w:rsidRPr="005E385F">
                <w:rPr>
                  <w:rFonts w:ascii="Verdana" w:hAnsi="Verdana"/>
                  <w:sz w:val="20"/>
                </w:rPr>
                <w:fldChar w:fldCharType="end"/>
              </w:r>
            </w:hyperlink>
            <w:r w:rsidR="00F935B1" w:rsidRPr="005E385F">
              <w:rPr>
                <w:rFonts w:ascii="Verdana" w:hAnsi="Verdana"/>
                <w:bCs/>
                <w:sz w:val="20"/>
              </w:rPr>
              <w:t xml:space="preserve"> components are eligible as Internal Connections</w:t>
            </w:r>
            <w:r w:rsidR="00F935B1" w:rsidRPr="005E385F">
              <w:rPr>
                <w:rFonts w:ascii="Verdana" w:hAnsi="Verdana"/>
                <w:sz w:val="20"/>
              </w:rPr>
              <w:fldChar w:fldCharType="begin"/>
            </w:r>
            <w:r w:rsidR="00F935B1" w:rsidRPr="005E385F">
              <w:rPr>
                <w:rFonts w:ascii="Verdana" w:hAnsi="Verdana"/>
                <w:sz w:val="20"/>
              </w:rPr>
              <w:instrText>xe "</w:instrText>
            </w:r>
            <w:r w:rsidR="00F935B1" w:rsidRPr="005E385F">
              <w:rPr>
                <w:rStyle w:val="Hyperlink"/>
                <w:rFonts w:ascii="Verdana" w:hAnsi="Verdana"/>
                <w:sz w:val="20"/>
              </w:rPr>
              <w:instrText>Internal Connections</w:instrText>
            </w:r>
            <w:r w:rsidR="00F935B1" w:rsidRPr="005E385F">
              <w:rPr>
                <w:rFonts w:ascii="Verdana" w:hAnsi="Verdana"/>
                <w:sz w:val="20"/>
              </w:rPr>
              <w:instrText>"</w:instrText>
            </w:r>
            <w:r w:rsidR="00F935B1" w:rsidRPr="005E385F">
              <w:rPr>
                <w:rFonts w:ascii="Verdana" w:hAnsi="Verdana"/>
                <w:sz w:val="20"/>
              </w:rPr>
              <w:fldChar w:fldCharType="end"/>
            </w:r>
            <w:r w:rsidR="00F935B1" w:rsidRPr="005E385F">
              <w:rPr>
                <w:rFonts w:ascii="Verdana" w:hAnsi="Verdana"/>
                <w:bCs/>
                <w:sz w:val="20"/>
              </w:rPr>
              <w:t xml:space="preserve">. </w:t>
            </w:r>
          </w:p>
          <w:p w14:paraId="3704FEA2" w14:textId="77777777" w:rsidR="00F935B1" w:rsidRPr="005E385F" w:rsidRDefault="00F935B1" w:rsidP="0083602C">
            <w:pPr>
              <w:pStyle w:val="NormalWeb"/>
              <w:spacing w:before="0" w:beforeAutospacing="0" w:after="0"/>
              <w:rPr>
                <w:rFonts w:ascii="Verdana" w:hAnsi="Verdana"/>
                <w:bCs/>
                <w:sz w:val="20"/>
              </w:rPr>
            </w:pPr>
          </w:p>
          <w:p w14:paraId="55A95DEC" w14:textId="77777777" w:rsidR="00F935B1" w:rsidRPr="005E385F" w:rsidRDefault="00F935B1" w:rsidP="0083602C">
            <w:pPr>
              <w:pStyle w:val="NormalWeb"/>
              <w:spacing w:before="0" w:beforeAutospacing="0" w:after="0"/>
              <w:rPr>
                <w:rFonts w:ascii="Verdana" w:hAnsi="Verdana"/>
                <w:bCs/>
                <w:sz w:val="20"/>
              </w:rPr>
            </w:pPr>
            <w:r w:rsidRPr="005E385F">
              <w:rPr>
                <w:rFonts w:ascii="Verdana" w:hAnsi="Verdana"/>
                <w:bCs/>
                <w:sz w:val="20"/>
              </w:rPr>
              <w:t xml:space="preserve">Components such as those indicated above are typically configured into a </w:t>
            </w:r>
            <w:hyperlink w:anchor="LocalAreaNetwork" w:history="1">
              <w:r w:rsidRPr="005E385F">
                <w:rPr>
                  <w:rStyle w:val="Hyperlink"/>
                  <w:rFonts w:ascii="Verdana" w:hAnsi="Verdana"/>
                  <w:bCs/>
                  <w:sz w:val="20"/>
                </w:rPr>
                <w:t>local area network</w:t>
              </w:r>
              <w:r w:rsidRPr="005E385F">
                <w:rPr>
                  <w:rFonts w:ascii="Verdana" w:hAnsi="Verdana"/>
                  <w:sz w:val="20"/>
                </w:rPr>
                <w:fldChar w:fldCharType="begin"/>
              </w:r>
              <w:r w:rsidRPr="005E385F">
                <w:rPr>
                  <w:rFonts w:ascii="Verdana" w:hAnsi="Verdana"/>
                  <w:sz w:val="20"/>
                </w:rPr>
                <w:instrText>xe "L</w:instrText>
              </w:r>
              <w:r w:rsidRPr="005E385F">
                <w:rPr>
                  <w:rStyle w:val="Hyperlink"/>
                  <w:rFonts w:ascii="Verdana" w:hAnsi="Verdana"/>
                  <w:bCs/>
                  <w:sz w:val="20"/>
                </w:rPr>
                <w:instrText>ocal Area Networks</w:instrText>
              </w:r>
              <w:r w:rsidRPr="005E385F">
                <w:rPr>
                  <w:rFonts w:ascii="Verdana" w:hAnsi="Verdana"/>
                  <w:sz w:val="20"/>
                </w:rPr>
                <w:instrText>"</w:instrText>
              </w:r>
              <w:r w:rsidRPr="005E385F">
                <w:rPr>
                  <w:rFonts w:ascii="Verdana" w:hAnsi="Verdana"/>
                  <w:sz w:val="20"/>
                </w:rPr>
                <w:fldChar w:fldCharType="end"/>
              </w:r>
            </w:hyperlink>
            <w:r w:rsidRPr="005E385F">
              <w:rPr>
                <w:rFonts w:ascii="Verdana" w:hAnsi="Verdana"/>
                <w:bCs/>
                <w:sz w:val="20"/>
              </w:rPr>
              <w:t xml:space="preserve"> or </w:t>
            </w:r>
            <w:hyperlink w:anchor="WirelessLocalAreaNetwork" w:history="1">
              <w:r w:rsidRPr="005E385F">
                <w:rPr>
                  <w:rStyle w:val="Hyperlink"/>
                  <w:rFonts w:ascii="Verdana" w:hAnsi="Verdana"/>
                  <w:bCs/>
                  <w:sz w:val="20"/>
                </w:rPr>
                <w:t>wireless</w:t>
              </w:r>
              <w:r w:rsidRPr="005E385F">
                <w:rPr>
                  <w:rFonts w:ascii="Verdana" w:hAnsi="Verdana"/>
                  <w:sz w:val="20"/>
                </w:rPr>
                <w:fldChar w:fldCharType="begin"/>
              </w:r>
              <w:r w:rsidRPr="005E385F">
                <w:rPr>
                  <w:rFonts w:ascii="Verdana" w:hAnsi="Verdana"/>
                  <w:sz w:val="20"/>
                </w:rPr>
                <w:instrText>xe "W</w:instrText>
              </w:r>
              <w:r w:rsidRPr="005E385F">
                <w:rPr>
                  <w:rFonts w:ascii="Verdana" w:hAnsi="Verdana"/>
                  <w:bCs/>
                  <w:sz w:val="20"/>
                </w:rPr>
                <w:instrText>ireless</w:instrText>
              </w:r>
              <w:r w:rsidRPr="005E385F">
                <w:rPr>
                  <w:rFonts w:ascii="Verdana" w:hAnsi="Verdana"/>
                  <w:sz w:val="20"/>
                </w:rPr>
                <w:instrText>"</w:instrText>
              </w:r>
              <w:r w:rsidRPr="005E385F">
                <w:rPr>
                  <w:rFonts w:ascii="Verdana" w:hAnsi="Verdana"/>
                  <w:sz w:val="20"/>
                </w:rPr>
                <w:fldChar w:fldCharType="end"/>
              </w:r>
            </w:hyperlink>
            <w:r w:rsidRPr="005E385F">
              <w:rPr>
                <w:rFonts w:ascii="Verdana" w:hAnsi="Verdana"/>
                <w:sz w:val="20"/>
              </w:rPr>
              <w:t xml:space="preserve"> area network</w:t>
            </w:r>
            <w:r w:rsidRPr="005E385F">
              <w:rPr>
                <w:rFonts w:ascii="Verdana" w:hAnsi="Verdana"/>
                <w:bCs/>
                <w:sz w:val="20"/>
              </w:rPr>
              <w:t xml:space="preserve">. </w:t>
            </w:r>
          </w:p>
          <w:p w14:paraId="5D85151A" w14:textId="77777777" w:rsidR="00F935B1" w:rsidRPr="005E385F" w:rsidRDefault="00F935B1" w:rsidP="0083602C">
            <w:pPr>
              <w:pStyle w:val="NormalWeb"/>
              <w:spacing w:before="0" w:beforeAutospacing="0" w:after="0"/>
              <w:rPr>
                <w:rFonts w:ascii="Verdana" w:hAnsi="Verdana"/>
                <w:bCs/>
                <w:sz w:val="20"/>
              </w:rPr>
            </w:pPr>
          </w:p>
          <w:p w14:paraId="558775A3" w14:textId="77777777" w:rsidR="00F935B1" w:rsidRPr="005E385F" w:rsidRDefault="00F935B1" w:rsidP="0083602C">
            <w:pPr>
              <w:pStyle w:val="NormalWeb"/>
              <w:spacing w:before="0" w:beforeAutospacing="0" w:after="0"/>
              <w:rPr>
                <w:rFonts w:ascii="Verdana" w:hAnsi="Verdana"/>
                <w:bCs/>
                <w:sz w:val="20"/>
              </w:rPr>
            </w:pPr>
            <w:r w:rsidRPr="005E385F">
              <w:rPr>
                <w:rFonts w:ascii="Verdana" w:hAnsi="Verdana"/>
                <w:sz w:val="20"/>
              </w:rPr>
              <w:t>Some products may have modules or features that are not eligible, (</w:t>
            </w:r>
            <w:r w:rsidRPr="005E385F">
              <w:rPr>
                <w:rFonts w:ascii="Verdana" w:hAnsi="Verdana"/>
                <w:i/>
                <w:sz w:val="20"/>
              </w:rPr>
              <w:t>e.g.</w:t>
            </w:r>
            <w:r w:rsidRPr="005E385F">
              <w:rPr>
                <w:rFonts w:ascii="Verdana" w:hAnsi="Verdana"/>
                <w:sz w:val="20"/>
              </w:rPr>
              <w:t xml:space="preserve">, content filtering, network management, and caching).  If these ineligible components are available separately, or the applicant specifically seeks the ineligible functions, their cost must be subtracted from the amount eligible for discount. </w:t>
            </w:r>
          </w:p>
        </w:tc>
      </w:tr>
      <w:tr w:rsidR="00F935B1" w:rsidRPr="005E385F" w14:paraId="12BED421" w14:textId="77777777" w:rsidTr="0083602C">
        <w:trPr>
          <w:trHeight w:val="159"/>
          <w:tblCellSpacing w:w="15" w:type="dxa"/>
        </w:trPr>
        <w:tc>
          <w:tcPr>
            <w:tcW w:w="1243" w:type="pct"/>
          </w:tcPr>
          <w:p w14:paraId="770FEE07" w14:textId="77777777" w:rsidR="00F935B1" w:rsidRPr="005E385F" w:rsidRDefault="00F935B1" w:rsidP="0083602C">
            <w:pPr>
              <w:rPr>
                <w:rFonts w:ascii="Verdana" w:hAnsi="Verdana"/>
                <w:sz w:val="20"/>
              </w:rPr>
            </w:pPr>
            <w:r w:rsidRPr="005E385F">
              <w:rPr>
                <w:rFonts w:ascii="Verdana" w:hAnsi="Verdana"/>
                <w:sz w:val="20"/>
              </w:rPr>
              <w:t>Data Protection</w:t>
            </w:r>
            <w:r w:rsidRPr="005E385F">
              <w:rPr>
                <w:rFonts w:ascii="Verdana" w:hAnsi="Verdana"/>
                <w:sz w:val="20"/>
              </w:rPr>
              <w:fldChar w:fldCharType="begin"/>
            </w:r>
            <w:r w:rsidRPr="005E385F">
              <w:rPr>
                <w:rFonts w:ascii="Verdana" w:hAnsi="Verdana"/>
                <w:sz w:val="20"/>
              </w:rPr>
              <w:instrText>xe "Data Protection"</w:instrText>
            </w:r>
            <w:r w:rsidRPr="005E385F">
              <w:rPr>
                <w:rFonts w:ascii="Verdana" w:hAnsi="Verdana"/>
                <w:sz w:val="20"/>
              </w:rPr>
              <w:fldChar w:fldCharType="end"/>
            </w:r>
          </w:p>
          <w:p w14:paraId="392B6ED1" w14:textId="77777777" w:rsidR="00F935B1" w:rsidRPr="005E385F" w:rsidRDefault="00F935B1" w:rsidP="0083602C">
            <w:pPr>
              <w:rPr>
                <w:rFonts w:ascii="Verdana" w:hAnsi="Verdana"/>
                <w:sz w:val="20"/>
              </w:rPr>
            </w:pPr>
          </w:p>
          <w:p w14:paraId="52470D89" w14:textId="77777777" w:rsidR="00F935B1" w:rsidRPr="005E385F" w:rsidRDefault="00F935B1" w:rsidP="0083602C">
            <w:pPr>
              <w:rPr>
                <w:rFonts w:ascii="Verdana" w:hAnsi="Verdana"/>
                <w:sz w:val="20"/>
              </w:rPr>
            </w:pPr>
          </w:p>
        </w:tc>
        <w:tc>
          <w:tcPr>
            <w:tcW w:w="3709" w:type="pct"/>
          </w:tcPr>
          <w:p w14:paraId="0ADF10CC" w14:textId="77777777" w:rsidR="00F935B1" w:rsidRPr="005E385F" w:rsidRDefault="00F935B1" w:rsidP="0083602C">
            <w:pPr>
              <w:pStyle w:val="NormalWeb"/>
              <w:spacing w:before="0" w:beforeAutospacing="0" w:after="0"/>
              <w:rPr>
                <w:rFonts w:ascii="Verdana" w:hAnsi="Verdana"/>
                <w:bCs/>
                <w:sz w:val="20"/>
              </w:rPr>
            </w:pPr>
            <w:r w:rsidRPr="005E385F">
              <w:rPr>
                <w:rFonts w:ascii="Verdana" w:hAnsi="Verdana"/>
                <w:bCs/>
                <w:sz w:val="20"/>
              </w:rPr>
              <w:t>Data protection components are used to ensure the continued operation of eligible equipment by protecting equipment and computer files from environmental or security</w:t>
            </w:r>
            <w:r w:rsidRPr="005E385F">
              <w:rPr>
                <w:rFonts w:ascii="Verdana" w:hAnsi="Verdana"/>
                <w:sz w:val="20"/>
              </w:rPr>
              <w:fldChar w:fldCharType="begin"/>
            </w:r>
            <w:r w:rsidRPr="005E385F">
              <w:rPr>
                <w:rFonts w:ascii="Verdana" w:hAnsi="Verdana"/>
                <w:sz w:val="20"/>
              </w:rPr>
              <w:instrText>xe "S</w:instrText>
            </w:r>
            <w:r w:rsidRPr="005E385F">
              <w:rPr>
                <w:rFonts w:ascii="Verdana" w:hAnsi="Verdana"/>
                <w:bCs/>
                <w:sz w:val="20"/>
              </w:rPr>
              <w:instrText>ecurity Hazards</w:instrText>
            </w:r>
            <w:r w:rsidRPr="005E385F">
              <w:rPr>
                <w:rFonts w:ascii="Verdana" w:hAnsi="Verdana"/>
                <w:sz w:val="20"/>
              </w:rPr>
              <w:instrText>"</w:instrText>
            </w:r>
            <w:r w:rsidRPr="005E385F">
              <w:rPr>
                <w:rFonts w:ascii="Verdana" w:hAnsi="Verdana"/>
                <w:sz w:val="20"/>
              </w:rPr>
              <w:fldChar w:fldCharType="end"/>
            </w:r>
            <w:r w:rsidRPr="005E385F">
              <w:rPr>
                <w:rFonts w:ascii="Verdana" w:hAnsi="Verdana"/>
                <w:bCs/>
                <w:sz w:val="20"/>
              </w:rPr>
              <w:t xml:space="preserve"> hazards.  The following components are eligible if used to provide basic and reasonable measures for data protection:</w:t>
            </w:r>
          </w:p>
          <w:p w14:paraId="2A941549" w14:textId="77777777" w:rsidR="00F935B1" w:rsidRPr="005E385F" w:rsidRDefault="00F935B1" w:rsidP="0083602C">
            <w:pPr>
              <w:pStyle w:val="NormalWeb"/>
              <w:spacing w:before="0" w:beforeAutospacing="0" w:after="0"/>
              <w:rPr>
                <w:rFonts w:ascii="Verdana" w:hAnsi="Verdana"/>
                <w:bCs/>
                <w:sz w:val="20"/>
              </w:rPr>
            </w:pPr>
          </w:p>
          <w:p w14:paraId="0E016DAF" w14:textId="77777777" w:rsidR="00F935B1" w:rsidRPr="005E385F" w:rsidRDefault="00A0395D" w:rsidP="00F935B1">
            <w:pPr>
              <w:pStyle w:val="NormalWeb"/>
              <w:numPr>
                <w:ilvl w:val="0"/>
                <w:numId w:val="15"/>
              </w:numPr>
              <w:spacing w:before="0" w:beforeAutospacing="0" w:after="0"/>
              <w:rPr>
                <w:rFonts w:ascii="Verdana" w:hAnsi="Verdana"/>
                <w:bCs/>
                <w:sz w:val="20"/>
              </w:rPr>
            </w:pPr>
            <w:hyperlink w:anchor="Firewall" w:history="1">
              <w:r w:rsidR="00F935B1" w:rsidRPr="005E385F">
                <w:rPr>
                  <w:rStyle w:val="Hyperlink"/>
                  <w:rFonts w:ascii="Verdana" w:hAnsi="Verdana"/>
                  <w:bCs/>
                  <w:sz w:val="20"/>
                </w:rPr>
                <w:t>Firewall</w:t>
              </w:r>
              <w:r w:rsidR="00F935B1" w:rsidRPr="005E385F">
                <w:rPr>
                  <w:rFonts w:ascii="Verdana" w:hAnsi="Verdana"/>
                  <w:sz w:val="20"/>
                </w:rPr>
                <w:fldChar w:fldCharType="begin"/>
              </w:r>
              <w:r w:rsidR="00F935B1" w:rsidRPr="005E385F">
                <w:rPr>
                  <w:rFonts w:ascii="Verdana" w:hAnsi="Verdana"/>
                  <w:sz w:val="20"/>
                </w:rPr>
                <w:instrText>xe "</w:instrText>
              </w:r>
              <w:r w:rsidR="00F935B1" w:rsidRPr="005E385F">
                <w:rPr>
                  <w:rStyle w:val="Hyperlink"/>
                  <w:rFonts w:ascii="Verdana" w:hAnsi="Verdana"/>
                  <w:bCs/>
                  <w:sz w:val="20"/>
                </w:rPr>
                <w:instrText>Firewall</w:instrText>
              </w:r>
              <w:r w:rsidR="00F935B1" w:rsidRPr="005E385F">
                <w:rPr>
                  <w:rFonts w:ascii="Verdana" w:hAnsi="Verdana"/>
                  <w:sz w:val="20"/>
                </w:rPr>
                <w:instrText>"</w:instrText>
              </w:r>
              <w:r w:rsidR="00F935B1" w:rsidRPr="005E385F">
                <w:rPr>
                  <w:rFonts w:ascii="Verdana" w:hAnsi="Verdana"/>
                  <w:sz w:val="20"/>
                </w:rPr>
                <w:fldChar w:fldCharType="end"/>
              </w:r>
            </w:hyperlink>
            <w:r w:rsidR="00F935B1" w:rsidRPr="005E385F">
              <w:rPr>
                <w:rFonts w:ascii="Verdana" w:hAnsi="Verdana"/>
                <w:sz w:val="20"/>
              </w:rPr>
              <w:t xml:space="preserve"> </w:t>
            </w:r>
          </w:p>
          <w:p w14:paraId="67D99615" w14:textId="77777777" w:rsidR="00F935B1" w:rsidRPr="005E385F" w:rsidRDefault="00A0395D" w:rsidP="00F935B1">
            <w:pPr>
              <w:pStyle w:val="NormalWeb"/>
              <w:numPr>
                <w:ilvl w:val="0"/>
                <w:numId w:val="15"/>
              </w:numPr>
              <w:spacing w:before="0" w:beforeAutospacing="0" w:after="0"/>
              <w:rPr>
                <w:rFonts w:ascii="Verdana" w:hAnsi="Verdana"/>
                <w:bCs/>
                <w:sz w:val="20"/>
              </w:rPr>
            </w:pPr>
            <w:hyperlink w:anchor="ProxyServer" w:history="1">
              <w:r w:rsidR="00F935B1" w:rsidRPr="005E385F">
                <w:rPr>
                  <w:rStyle w:val="Hyperlink"/>
                  <w:rFonts w:ascii="Verdana" w:hAnsi="Verdana"/>
                  <w:bCs/>
                  <w:sz w:val="20"/>
                </w:rPr>
                <w:t>Proxy Server</w:t>
              </w:r>
              <w:r w:rsidR="00F935B1" w:rsidRPr="005E385F">
                <w:rPr>
                  <w:rFonts w:ascii="Verdana" w:hAnsi="Verdana"/>
                  <w:sz w:val="20"/>
                </w:rPr>
                <w:fldChar w:fldCharType="begin"/>
              </w:r>
              <w:r w:rsidR="00F935B1" w:rsidRPr="005E385F">
                <w:rPr>
                  <w:rFonts w:ascii="Verdana" w:hAnsi="Verdana"/>
                  <w:sz w:val="20"/>
                </w:rPr>
                <w:instrText>xe "</w:instrText>
              </w:r>
              <w:r w:rsidR="00F935B1" w:rsidRPr="005E385F">
                <w:rPr>
                  <w:rStyle w:val="Hyperlink"/>
                  <w:rFonts w:ascii="Verdana" w:hAnsi="Verdana"/>
                  <w:bCs/>
                  <w:sz w:val="20"/>
                </w:rPr>
                <w:instrText>Proxy Server</w:instrText>
              </w:r>
              <w:r w:rsidR="00F935B1" w:rsidRPr="005E385F">
                <w:rPr>
                  <w:rFonts w:ascii="Verdana" w:hAnsi="Verdana"/>
                  <w:sz w:val="20"/>
                </w:rPr>
                <w:instrText>"</w:instrText>
              </w:r>
              <w:r w:rsidR="00F935B1" w:rsidRPr="005E385F">
                <w:rPr>
                  <w:rFonts w:ascii="Verdana" w:hAnsi="Verdana"/>
                  <w:sz w:val="20"/>
                </w:rPr>
                <w:fldChar w:fldCharType="end"/>
              </w:r>
            </w:hyperlink>
          </w:p>
          <w:p w14:paraId="215F96B9" w14:textId="77777777" w:rsidR="00F935B1" w:rsidRPr="005E385F" w:rsidRDefault="00A0395D" w:rsidP="00F935B1">
            <w:pPr>
              <w:pStyle w:val="NormalWeb"/>
              <w:numPr>
                <w:ilvl w:val="0"/>
                <w:numId w:val="15"/>
              </w:numPr>
              <w:spacing w:before="0" w:beforeAutospacing="0" w:after="0"/>
              <w:rPr>
                <w:rFonts w:ascii="Verdana" w:hAnsi="Verdana"/>
                <w:bCs/>
                <w:sz w:val="20"/>
              </w:rPr>
            </w:pPr>
            <w:hyperlink w:anchor="TapeBackup" w:history="1">
              <w:r w:rsidR="00F935B1" w:rsidRPr="005E385F">
                <w:rPr>
                  <w:rStyle w:val="Hyperlink"/>
                  <w:rFonts w:ascii="Verdana" w:hAnsi="Verdana"/>
                  <w:bCs/>
                  <w:sz w:val="20"/>
                </w:rPr>
                <w:t>Tape Backup</w:t>
              </w:r>
              <w:r w:rsidR="00F935B1" w:rsidRPr="005E385F">
                <w:rPr>
                  <w:rFonts w:ascii="Verdana" w:hAnsi="Verdana"/>
                  <w:sz w:val="20"/>
                </w:rPr>
                <w:fldChar w:fldCharType="begin"/>
              </w:r>
              <w:r w:rsidR="00F935B1" w:rsidRPr="005E385F">
                <w:rPr>
                  <w:rFonts w:ascii="Verdana" w:hAnsi="Verdana"/>
                  <w:sz w:val="20"/>
                </w:rPr>
                <w:instrText>xe "</w:instrText>
              </w:r>
              <w:r w:rsidR="00F935B1" w:rsidRPr="005E385F">
                <w:rPr>
                  <w:rStyle w:val="Hyperlink"/>
                  <w:rFonts w:ascii="Verdana" w:hAnsi="Verdana"/>
                  <w:bCs/>
                  <w:sz w:val="20"/>
                </w:rPr>
                <w:instrText>Tape Backup</w:instrText>
              </w:r>
              <w:r w:rsidR="00F935B1" w:rsidRPr="005E385F">
                <w:rPr>
                  <w:rFonts w:ascii="Verdana" w:hAnsi="Verdana"/>
                  <w:sz w:val="20"/>
                </w:rPr>
                <w:instrText>"</w:instrText>
              </w:r>
              <w:r w:rsidR="00F935B1" w:rsidRPr="005E385F">
                <w:rPr>
                  <w:rFonts w:ascii="Verdana" w:hAnsi="Verdana"/>
                  <w:sz w:val="20"/>
                </w:rPr>
                <w:fldChar w:fldCharType="end"/>
              </w:r>
            </w:hyperlink>
            <w:r w:rsidR="00F935B1" w:rsidRPr="005E385F">
              <w:rPr>
                <w:rFonts w:ascii="Verdana" w:hAnsi="Verdana"/>
                <w:bCs/>
                <w:sz w:val="20"/>
              </w:rPr>
              <w:t xml:space="preserve"> when used as part of an eligible server</w:t>
            </w:r>
          </w:p>
          <w:p w14:paraId="6B25EAAE" w14:textId="77777777" w:rsidR="00F935B1" w:rsidRPr="005E385F" w:rsidRDefault="00A0395D" w:rsidP="00F935B1">
            <w:pPr>
              <w:pStyle w:val="NormalWeb"/>
              <w:numPr>
                <w:ilvl w:val="0"/>
                <w:numId w:val="15"/>
              </w:numPr>
              <w:spacing w:before="0" w:beforeAutospacing="0" w:after="0"/>
              <w:rPr>
                <w:rFonts w:ascii="Verdana" w:hAnsi="Verdana"/>
                <w:bCs/>
                <w:sz w:val="20"/>
              </w:rPr>
            </w:pPr>
            <w:hyperlink w:anchor="VirtualPrivateNetworkComponents" w:history="1">
              <w:r w:rsidR="00F935B1" w:rsidRPr="005E385F">
                <w:rPr>
                  <w:rStyle w:val="Hyperlink"/>
                  <w:rFonts w:ascii="Verdana" w:hAnsi="Verdana"/>
                  <w:bCs/>
                  <w:sz w:val="20"/>
                </w:rPr>
                <w:t>Virtual Private Network</w:t>
              </w:r>
              <w:r w:rsidR="00F935B1" w:rsidRPr="005E385F">
                <w:rPr>
                  <w:rFonts w:ascii="Verdana" w:hAnsi="Verdana"/>
                  <w:sz w:val="20"/>
                </w:rPr>
                <w:fldChar w:fldCharType="begin"/>
              </w:r>
              <w:r w:rsidR="00F935B1" w:rsidRPr="005E385F">
                <w:rPr>
                  <w:rFonts w:ascii="Verdana" w:hAnsi="Verdana"/>
                  <w:sz w:val="20"/>
                </w:rPr>
                <w:instrText>xe "Virtual Private Network"</w:instrText>
              </w:r>
              <w:r w:rsidR="00F935B1" w:rsidRPr="005E385F">
                <w:rPr>
                  <w:rFonts w:ascii="Verdana" w:hAnsi="Verdana"/>
                  <w:sz w:val="20"/>
                </w:rPr>
                <w:fldChar w:fldCharType="end"/>
              </w:r>
            </w:hyperlink>
          </w:p>
          <w:p w14:paraId="28A90D3F" w14:textId="77777777" w:rsidR="00F935B1" w:rsidRPr="005E385F" w:rsidRDefault="00A0395D" w:rsidP="00F935B1">
            <w:pPr>
              <w:pStyle w:val="NormalWeb"/>
              <w:numPr>
                <w:ilvl w:val="0"/>
                <w:numId w:val="15"/>
              </w:numPr>
              <w:spacing w:before="0" w:beforeAutospacing="0" w:after="0"/>
              <w:rPr>
                <w:rFonts w:ascii="Verdana" w:hAnsi="Verdana"/>
                <w:bCs/>
                <w:sz w:val="20"/>
              </w:rPr>
            </w:pPr>
            <w:hyperlink w:anchor="TapeBackup" w:history="1">
              <w:r w:rsidR="00F935B1" w:rsidRPr="005E385F">
                <w:rPr>
                  <w:rStyle w:val="Hyperlink"/>
                  <w:rFonts w:ascii="Verdana" w:hAnsi="Verdana"/>
                  <w:bCs/>
                  <w:sz w:val="20"/>
                </w:rPr>
                <w:t>Tape backup</w:t>
              </w:r>
            </w:hyperlink>
            <w:r w:rsidR="00F935B1" w:rsidRPr="005E385F">
              <w:rPr>
                <w:rFonts w:ascii="Verdana" w:hAnsi="Verdana"/>
                <w:sz w:val="20"/>
              </w:rPr>
              <w:fldChar w:fldCharType="begin"/>
            </w:r>
            <w:r w:rsidR="00F935B1" w:rsidRPr="005E385F">
              <w:rPr>
                <w:rFonts w:ascii="Verdana" w:hAnsi="Verdana"/>
                <w:sz w:val="20"/>
              </w:rPr>
              <w:instrText>xe "</w:instrText>
            </w:r>
            <w:r w:rsidR="00F935B1" w:rsidRPr="005E385F">
              <w:rPr>
                <w:rFonts w:ascii="Verdana" w:hAnsi="Verdana"/>
                <w:bCs/>
                <w:sz w:val="20"/>
              </w:rPr>
              <w:instrText>Tape Backup</w:instrText>
            </w:r>
            <w:r w:rsidR="00F935B1" w:rsidRPr="005E385F">
              <w:rPr>
                <w:rFonts w:ascii="Verdana" w:hAnsi="Verdana"/>
                <w:sz w:val="20"/>
              </w:rPr>
              <w:instrText>"</w:instrText>
            </w:r>
            <w:r w:rsidR="00F935B1" w:rsidRPr="005E385F">
              <w:rPr>
                <w:rFonts w:ascii="Verdana" w:hAnsi="Verdana"/>
                <w:sz w:val="20"/>
              </w:rPr>
              <w:fldChar w:fldCharType="end"/>
            </w:r>
            <w:r w:rsidR="00F935B1" w:rsidRPr="005E385F">
              <w:rPr>
                <w:rFonts w:ascii="Verdana" w:hAnsi="Verdana"/>
                <w:bCs/>
                <w:sz w:val="20"/>
              </w:rPr>
              <w:t xml:space="preserve"> cartridge </w:t>
            </w:r>
            <w:r w:rsidR="00F935B1" w:rsidRPr="005E385F">
              <w:rPr>
                <w:rFonts w:ascii="Verdana" w:hAnsi="Verdana"/>
                <w:sz w:val="20"/>
              </w:rPr>
              <w:t xml:space="preserve">units are eligible when used as part of an eligible server.  A cartridge included with a tape backup may be provided as an integral component of the backup unit, if the cartridge is part </w:t>
            </w:r>
            <w:r w:rsidR="00F935B1" w:rsidRPr="005E385F">
              <w:rPr>
                <w:rFonts w:ascii="Verdana" w:hAnsi="Verdana"/>
                <w:sz w:val="20"/>
              </w:rPr>
              <w:lastRenderedPageBreak/>
              <w:t>of the standard product configuration</w:t>
            </w:r>
            <w:r w:rsidR="00F935B1" w:rsidRPr="005E385F">
              <w:rPr>
                <w:rFonts w:ascii="Verdana" w:hAnsi="Verdana"/>
                <w:sz w:val="20"/>
              </w:rPr>
              <w:fldChar w:fldCharType="begin"/>
            </w:r>
            <w:r w:rsidR="00F935B1" w:rsidRPr="005E385F">
              <w:rPr>
                <w:rFonts w:ascii="Verdana" w:hAnsi="Verdana"/>
                <w:sz w:val="20"/>
              </w:rPr>
              <w:instrText>xe "</w:instrText>
            </w:r>
            <w:r w:rsidR="00F935B1" w:rsidRPr="005E385F">
              <w:rPr>
                <w:rFonts w:ascii="Verdana" w:hAnsi="Verdana"/>
                <w:bCs/>
                <w:sz w:val="20"/>
              </w:rPr>
              <w:instrText>Configuration</w:instrText>
            </w:r>
            <w:r w:rsidR="00F935B1" w:rsidRPr="005E385F">
              <w:rPr>
                <w:rFonts w:ascii="Verdana" w:hAnsi="Verdana"/>
                <w:sz w:val="20"/>
              </w:rPr>
              <w:instrText>"</w:instrText>
            </w:r>
            <w:r w:rsidR="00F935B1" w:rsidRPr="005E385F">
              <w:rPr>
                <w:rFonts w:ascii="Verdana" w:hAnsi="Verdana"/>
                <w:sz w:val="20"/>
              </w:rPr>
              <w:fldChar w:fldCharType="end"/>
            </w:r>
            <w:r w:rsidR="00F935B1" w:rsidRPr="005E385F">
              <w:rPr>
                <w:rFonts w:ascii="Verdana" w:hAnsi="Verdana"/>
                <w:sz w:val="20"/>
              </w:rPr>
              <w:t xml:space="preserve"> and provided at no additional cost. </w:t>
            </w:r>
          </w:p>
          <w:p w14:paraId="786E0346" w14:textId="77777777" w:rsidR="00F935B1" w:rsidRPr="005E385F" w:rsidRDefault="00F935B1" w:rsidP="0083602C">
            <w:pPr>
              <w:pStyle w:val="NormalWeb"/>
              <w:spacing w:before="0" w:beforeAutospacing="0" w:after="0"/>
              <w:rPr>
                <w:rFonts w:ascii="Verdana" w:hAnsi="Verdana"/>
                <w:bCs/>
                <w:sz w:val="20"/>
              </w:rPr>
            </w:pPr>
          </w:p>
          <w:p w14:paraId="2F808905" w14:textId="77777777" w:rsidR="00F935B1" w:rsidRPr="005E385F" w:rsidRDefault="00F935B1" w:rsidP="0083602C">
            <w:pPr>
              <w:pStyle w:val="NormalWeb"/>
              <w:spacing w:before="0" w:beforeAutospacing="0" w:after="0"/>
              <w:rPr>
                <w:rFonts w:ascii="Verdana" w:hAnsi="Verdana"/>
                <w:bCs/>
                <w:sz w:val="20"/>
              </w:rPr>
            </w:pPr>
            <w:r w:rsidRPr="005E385F">
              <w:rPr>
                <w:rFonts w:ascii="Verdana" w:hAnsi="Verdana"/>
                <w:bCs/>
                <w:sz w:val="20"/>
              </w:rPr>
              <w:t xml:space="preserve">An </w:t>
            </w:r>
            <w:hyperlink w:anchor="UPS" w:history="1">
              <w:r w:rsidRPr="005E385F">
                <w:rPr>
                  <w:rStyle w:val="Hyperlink"/>
                  <w:rFonts w:ascii="Verdana" w:hAnsi="Verdana"/>
                  <w:bCs/>
                  <w:sz w:val="20"/>
                </w:rPr>
                <w:t>Uninterruptible Power Supply (UPS)/Battery Backup</w:t>
              </w:r>
              <w:r w:rsidRPr="005E385F">
                <w:rPr>
                  <w:rFonts w:ascii="Verdana" w:hAnsi="Verdana"/>
                  <w:sz w:val="20"/>
                </w:rPr>
                <w:fldChar w:fldCharType="begin"/>
              </w:r>
              <w:r w:rsidRPr="005E385F">
                <w:rPr>
                  <w:rFonts w:ascii="Verdana" w:hAnsi="Verdana"/>
                  <w:sz w:val="20"/>
                </w:rPr>
                <w:instrText>xe "</w:instrText>
              </w:r>
              <w:r w:rsidRPr="005E385F">
                <w:rPr>
                  <w:rStyle w:val="Hyperlink"/>
                  <w:rFonts w:ascii="Verdana" w:hAnsi="Verdana"/>
                  <w:bCs/>
                  <w:sz w:val="20"/>
                </w:rPr>
                <w:instrText>Uninterruptible Power Supply</w:instrText>
              </w:r>
              <w:r w:rsidRPr="005E385F">
                <w:rPr>
                  <w:rFonts w:ascii="Verdana" w:hAnsi="Verdana"/>
                  <w:sz w:val="20"/>
                </w:rPr>
                <w:instrText>"</w:instrText>
              </w:r>
              <w:r w:rsidRPr="005E385F">
                <w:rPr>
                  <w:rFonts w:ascii="Verdana" w:hAnsi="Verdana"/>
                  <w:sz w:val="20"/>
                </w:rPr>
                <w:fldChar w:fldCharType="end"/>
              </w:r>
            </w:hyperlink>
            <w:r w:rsidRPr="005E385F">
              <w:rPr>
                <w:rFonts w:ascii="Verdana" w:hAnsi="Verdana"/>
                <w:bCs/>
                <w:sz w:val="20"/>
              </w:rPr>
              <w:t xml:space="preserve"> </w:t>
            </w:r>
            <w:r w:rsidRPr="005E385F">
              <w:rPr>
                <w:rFonts w:ascii="Verdana" w:hAnsi="Verdana"/>
                <w:sz w:val="20"/>
              </w:rPr>
              <w:fldChar w:fldCharType="begin"/>
            </w:r>
            <w:r w:rsidRPr="005E385F">
              <w:rPr>
                <w:rFonts w:ascii="Verdana" w:hAnsi="Verdana"/>
                <w:sz w:val="20"/>
              </w:rPr>
              <w:instrText>xe "</w:instrText>
            </w:r>
            <w:r w:rsidRPr="005E385F">
              <w:rPr>
                <w:rFonts w:ascii="Verdana" w:hAnsi="Verdana"/>
                <w:bCs/>
                <w:sz w:val="20"/>
              </w:rPr>
              <w:instrText>UPS</w:instrText>
            </w:r>
            <w:r w:rsidRPr="005E385F">
              <w:rPr>
                <w:rFonts w:ascii="Verdana" w:hAnsi="Verdana"/>
                <w:sz w:val="20"/>
              </w:rPr>
              <w:instrText>"</w:instrText>
            </w:r>
            <w:r w:rsidRPr="005E385F">
              <w:rPr>
                <w:rFonts w:ascii="Verdana" w:hAnsi="Verdana"/>
                <w:sz w:val="20"/>
              </w:rPr>
              <w:fldChar w:fldCharType="end"/>
            </w:r>
            <w:r w:rsidRPr="005E385F">
              <w:rPr>
                <w:rFonts w:ascii="Verdana" w:hAnsi="Verdana"/>
                <w:sz w:val="20"/>
              </w:rPr>
              <w:fldChar w:fldCharType="begin"/>
            </w:r>
            <w:r w:rsidRPr="005E385F">
              <w:rPr>
                <w:rFonts w:ascii="Verdana" w:hAnsi="Verdana"/>
                <w:sz w:val="20"/>
              </w:rPr>
              <w:instrText>xe "Battery Backup"</w:instrText>
            </w:r>
            <w:r w:rsidRPr="005E385F">
              <w:rPr>
                <w:rFonts w:ascii="Verdana" w:hAnsi="Verdana"/>
                <w:sz w:val="20"/>
              </w:rPr>
              <w:fldChar w:fldCharType="end"/>
            </w:r>
            <w:r w:rsidRPr="005E385F">
              <w:rPr>
                <w:rFonts w:ascii="Verdana" w:hAnsi="Verdana"/>
                <w:bCs/>
                <w:sz w:val="20"/>
              </w:rPr>
              <w:t>that protects eligible equipment is eligible as a data protection component, but no funding will be provided for UPS systems that can provide continued backup power for substantial periods in excess of that necessary for basic power protection.</w:t>
            </w:r>
          </w:p>
          <w:p w14:paraId="71155091" w14:textId="77777777" w:rsidR="00F935B1" w:rsidRPr="005E385F" w:rsidRDefault="00F935B1" w:rsidP="0083602C">
            <w:pPr>
              <w:pStyle w:val="NormalWeb"/>
              <w:spacing w:before="0" w:beforeAutospacing="0" w:after="0"/>
              <w:rPr>
                <w:rFonts w:ascii="Verdana" w:hAnsi="Verdana"/>
                <w:bCs/>
                <w:sz w:val="20"/>
              </w:rPr>
            </w:pPr>
          </w:p>
          <w:p w14:paraId="59C0BD04" w14:textId="77777777" w:rsidR="00F935B1" w:rsidRPr="005E385F" w:rsidRDefault="00F935B1" w:rsidP="0083602C">
            <w:pPr>
              <w:pStyle w:val="NormalWeb"/>
              <w:spacing w:before="0" w:beforeAutospacing="0" w:after="0"/>
              <w:rPr>
                <w:rFonts w:ascii="Verdana" w:hAnsi="Verdana"/>
                <w:bCs/>
                <w:sz w:val="20"/>
              </w:rPr>
            </w:pPr>
            <w:r w:rsidRPr="005E385F">
              <w:rPr>
                <w:rFonts w:ascii="Verdana" w:hAnsi="Verdana"/>
                <w:bCs/>
                <w:sz w:val="20"/>
              </w:rPr>
              <w:t>The following components used for the reliable operation of a UPS</w:t>
            </w:r>
            <w:r w:rsidRPr="005E385F">
              <w:rPr>
                <w:rFonts w:ascii="Verdana" w:hAnsi="Verdana"/>
                <w:sz w:val="20"/>
              </w:rPr>
              <w:fldChar w:fldCharType="begin"/>
            </w:r>
            <w:r w:rsidRPr="005E385F">
              <w:rPr>
                <w:rFonts w:ascii="Verdana" w:hAnsi="Verdana"/>
                <w:sz w:val="20"/>
              </w:rPr>
              <w:instrText>xe "</w:instrText>
            </w:r>
            <w:r w:rsidRPr="005E385F">
              <w:rPr>
                <w:rFonts w:ascii="Verdana" w:hAnsi="Verdana"/>
                <w:bCs/>
                <w:sz w:val="20"/>
              </w:rPr>
              <w:instrText>UPS</w:instrText>
            </w:r>
            <w:r w:rsidRPr="005E385F">
              <w:rPr>
                <w:rFonts w:ascii="Verdana" w:hAnsi="Verdana"/>
                <w:sz w:val="20"/>
              </w:rPr>
              <w:instrText>"</w:instrText>
            </w:r>
            <w:r w:rsidRPr="005E385F">
              <w:rPr>
                <w:rFonts w:ascii="Verdana" w:hAnsi="Verdana"/>
                <w:sz w:val="20"/>
              </w:rPr>
              <w:fldChar w:fldCharType="end"/>
            </w:r>
            <w:r w:rsidRPr="005E385F">
              <w:rPr>
                <w:rFonts w:ascii="Verdana" w:hAnsi="Verdana"/>
                <w:bCs/>
                <w:sz w:val="20"/>
              </w:rPr>
              <w:t xml:space="preserve"> are eligible:</w:t>
            </w:r>
          </w:p>
          <w:p w14:paraId="52202356" w14:textId="77777777" w:rsidR="00F935B1" w:rsidRPr="005E385F" w:rsidRDefault="00F935B1" w:rsidP="0083602C">
            <w:pPr>
              <w:pStyle w:val="NormalWeb"/>
              <w:spacing w:before="0" w:beforeAutospacing="0" w:after="0"/>
              <w:rPr>
                <w:rFonts w:ascii="Verdana" w:hAnsi="Verdana"/>
                <w:bCs/>
                <w:sz w:val="20"/>
              </w:rPr>
            </w:pPr>
          </w:p>
          <w:p w14:paraId="35F86EC3" w14:textId="77777777" w:rsidR="00F935B1" w:rsidRPr="005E385F" w:rsidRDefault="00A0395D" w:rsidP="00F935B1">
            <w:pPr>
              <w:pStyle w:val="NormalWeb"/>
              <w:numPr>
                <w:ilvl w:val="0"/>
                <w:numId w:val="15"/>
              </w:numPr>
              <w:spacing w:before="0" w:beforeAutospacing="0" w:after="0"/>
              <w:rPr>
                <w:rFonts w:ascii="Verdana" w:hAnsi="Verdana"/>
                <w:bCs/>
                <w:sz w:val="20"/>
              </w:rPr>
            </w:pPr>
            <w:hyperlink w:anchor="UPSInterfaceExpander" w:history="1">
              <w:r w:rsidR="00F935B1" w:rsidRPr="005E385F">
                <w:rPr>
                  <w:rStyle w:val="Hyperlink"/>
                  <w:rFonts w:ascii="Verdana" w:hAnsi="Verdana"/>
                  <w:bCs/>
                  <w:sz w:val="20"/>
                </w:rPr>
                <w:t>UPS Interface Expander</w:t>
              </w:r>
              <w:r w:rsidR="00F935B1" w:rsidRPr="005E385F">
                <w:rPr>
                  <w:rStyle w:val="Hyperlink"/>
                  <w:rFonts w:ascii="Verdana" w:hAnsi="Verdana"/>
                  <w:sz w:val="20"/>
                </w:rPr>
                <w:fldChar w:fldCharType="begin"/>
              </w:r>
              <w:r w:rsidR="00F935B1" w:rsidRPr="005E385F">
                <w:rPr>
                  <w:rStyle w:val="Hyperlink"/>
                  <w:rFonts w:ascii="Verdana" w:hAnsi="Verdana"/>
                  <w:sz w:val="20"/>
                </w:rPr>
                <w:instrText>xe "</w:instrText>
              </w:r>
              <w:r w:rsidR="00F935B1" w:rsidRPr="005E385F">
                <w:rPr>
                  <w:rStyle w:val="Hyperlink"/>
                  <w:rFonts w:ascii="Verdana" w:hAnsi="Verdana"/>
                  <w:bCs/>
                  <w:sz w:val="20"/>
                </w:rPr>
                <w:instrText>UPS</w:instrText>
              </w:r>
              <w:r w:rsidR="00F935B1" w:rsidRPr="005E385F">
                <w:rPr>
                  <w:rStyle w:val="Hyperlink"/>
                  <w:rFonts w:ascii="Verdana" w:hAnsi="Verdana"/>
                  <w:sz w:val="20"/>
                </w:rPr>
                <w:instrText>"</w:instrText>
              </w:r>
              <w:r w:rsidR="00F935B1" w:rsidRPr="005E385F">
                <w:rPr>
                  <w:rStyle w:val="Hyperlink"/>
                  <w:rFonts w:ascii="Verdana" w:hAnsi="Verdana"/>
                  <w:sz w:val="20"/>
                </w:rPr>
                <w:fldChar w:fldCharType="end"/>
              </w:r>
            </w:hyperlink>
            <w:r w:rsidR="00F935B1" w:rsidRPr="005E385F">
              <w:rPr>
                <w:rFonts w:ascii="Verdana" w:hAnsi="Verdana"/>
                <w:sz w:val="20"/>
              </w:rPr>
              <w:t xml:space="preserve"> </w:t>
            </w:r>
          </w:p>
          <w:p w14:paraId="16BE047C" w14:textId="77777777" w:rsidR="00F935B1" w:rsidRPr="005E385F" w:rsidRDefault="00A0395D" w:rsidP="00F935B1">
            <w:pPr>
              <w:pStyle w:val="NormalWeb"/>
              <w:numPr>
                <w:ilvl w:val="0"/>
                <w:numId w:val="15"/>
              </w:numPr>
              <w:spacing w:before="0" w:beforeAutospacing="0" w:after="0"/>
              <w:rPr>
                <w:rFonts w:ascii="Verdana" w:hAnsi="Verdana"/>
                <w:bCs/>
                <w:sz w:val="20"/>
              </w:rPr>
            </w:pPr>
            <w:hyperlink w:anchor="RelayIOModule" w:history="1">
              <w:r w:rsidR="00F935B1" w:rsidRPr="005E385F">
                <w:rPr>
                  <w:rStyle w:val="Hyperlink"/>
                  <w:rFonts w:ascii="Verdana" w:hAnsi="Verdana"/>
                  <w:bCs/>
                  <w:sz w:val="20"/>
                </w:rPr>
                <w:t>Relay I/O Module</w:t>
              </w:r>
            </w:hyperlink>
            <w:r w:rsidR="00F935B1" w:rsidRPr="005E385F">
              <w:rPr>
                <w:rFonts w:ascii="Verdana" w:hAnsi="Verdana"/>
                <w:sz w:val="20"/>
              </w:rPr>
              <w:fldChar w:fldCharType="begin"/>
            </w:r>
            <w:r w:rsidR="00F935B1" w:rsidRPr="005E385F">
              <w:rPr>
                <w:rFonts w:ascii="Verdana" w:hAnsi="Verdana"/>
                <w:sz w:val="20"/>
              </w:rPr>
              <w:instrText>xe "</w:instrText>
            </w:r>
            <w:r w:rsidR="00F935B1" w:rsidRPr="005E385F">
              <w:rPr>
                <w:rFonts w:ascii="Verdana" w:hAnsi="Verdana"/>
                <w:bCs/>
                <w:sz w:val="20"/>
              </w:rPr>
              <w:instrText>Relay I/O Module</w:instrText>
            </w:r>
            <w:r w:rsidR="00F935B1" w:rsidRPr="005E385F">
              <w:rPr>
                <w:rFonts w:ascii="Verdana" w:hAnsi="Verdana"/>
                <w:sz w:val="20"/>
              </w:rPr>
              <w:instrText>"</w:instrText>
            </w:r>
            <w:r w:rsidR="00F935B1" w:rsidRPr="005E385F">
              <w:rPr>
                <w:rFonts w:ascii="Verdana" w:hAnsi="Verdana"/>
                <w:sz w:val="20"/>
              </w:rPr>
              <w:fldChar w:fldCharType="end"/>
            </w:r>
          </w:p>
        </w:tc>
      </w:tr>
      <w:tr w:rsidR="00F935B1" w:rsidRPr="005E385F" w14:paraId="2CE07571" w14:textId="77777777" w:rsidTr="0083602C">
        <w:trPr>
          <w:trHeight w:val="159"/>
          <w:tblCellSpacing w:w="15" w:type="dxa"/>
        </w:trPr>
        <w:tc>
          <w:tcPr>
            <w:tcW w:w="1243" w:type="pct"/>
          </w:tcPr>
          <w:p w14:paraId="3DDCA99D" w14:textId="77777777" w:rsidR="00F935B1" w:rsidRPr="005E385F" w:rsidRDefault="00F935B1" w:rsidP="0083602C">
            <w:pPr>
              <w:rPr>
                <w:rFonts w:ascii="Verdana" w:hAnsi="Verdana"/>
                <w:sz w:val="20"/>
              </w:rPr>
            </w:pPr>
            <w:r w:rsidRPr="005E385F">
              <w:rPr>
                <w:rFonts w:ascii="Verdana" w:hAnsi="Verdana"/>
                <w:sz w:val="20"/>
              </w:rPr>
              <w:lastRenderedPageBreak/>
              <w:t>Interfaces</w:t>
            </w:r>
            <w:r w:rsidRPr="005E385F">
              <w:rPr>
                <w:rFonts w:ascii="Verdana" w:hAnsi="Verdana"/>
                <w:sz w:val="20"/>
              </w:rPr>
              <w:fldChar w:fldCharType="begin"/>
            </w:r>
            <w:r w:rsidRPr="005E385F">
              <w:rPr>
                <w:rFonts w:ascii="Verdana" w:hAnsi="Verdana"/>
                <w:sz w:val="20"/>
              </w:rPr>
              <w:instrText>xe "</w:instrText>
            </w:r>
            <w:r w:rsidRPr="005E385F">
              <w:rPr>
                <w:rFonts w:ascii="Verdana" w:hAnsi="Verdana"/>
                <w:bCs/>
                <w:sz w:val="20"/>
              </w:rPr>
              <w:instrText>Interfaces</w:instrText>
            </w:r>
            <w:r w:rsidRPr="005E385F">
              <w:rPr>
                <w:rFonts w:ascii="Verdana" w:hAnsi="Verdana"/>
                <w:sz w:val="20"/>
              </w:rPr>
              <w:instrText>"</w:instrText>
            </w:r>
            <w:r w:rsidRPr="005E385F">
              <w:rPr>
                <w:rFonts w:ascii="Verdana" w:hAnsi="Verdana"/>
                <w:sz w:val="20"/>
              </w:rPr>
              <w:fldChar w:fldCharType="end"/>
            </w:r>
            <w:r w:rsidRPr="005E385F">
              <w:rPr>
                <w:rFonts w:ascii="Verdana" w:hAnsi="Verdana"/>
                <w:sz w:val="20"/>
              </w:rPr>
              <w:t>, Gateways, Antennas</w:t>
            </w:r>
            <w:r w:rsidRPr="005E385F">
              <w:rPr>
                <w:rFonts w:ascii="Verdana" w:hAnsi="Verdana"/>
                <w:sz w:val="20"/>
              </w:rPr>
              <w:fldChar w:fldCharType="begin"/>
            </w:r>
            <w:r w:rsidRPr="005E385F">
              <w:rPr>
                <w:rFonts w:ascii="Verdana" w:hAnsi="Verdana"/>
                <w:sz w:val="20"/>
              </w:rPr>
              <w:instrText>xe "</w:instrText>
            </w:r>
            <w:r w:rsidRPr="005E385F">
              <w:rPr>
                <w:rStyle w:val="Hyperlink"/>
                <w:rFonts w:ascii="Verdana" w:hAnsi="Verdana"/>
                <w:bCs/>
                <w:sz w:val="20"/>
              </w:rPr>
              <w:instrText>Antennas</w:instrText>
            </w:r>
            <w:r w:rsidRPr="005E385F">
              <w:rPr>
                <w:rFonts w:ascii="Verdana" w:hAnsi="Verdana"/>
                <w:sz w:val="20"/>
              </w:rPr>
              <w:instrText>"</w:instrText>
            </w:r>
            <w:r w:rsidRPr="005E385F">
              <w:rPr>
                <w:rFonts w:ascii="Verdana" w:hAnsi="Verdana"/>
                <w:sz w:val="20"/>
              </w:rPr>
              <w:fldChar w:fldCharType="end"/>
            </w:r>
          </w:p>
          <w:p w14:paraId="5563CBA5" w14:textId="77777777" w:rsidR="00F935B1" w:rsidRPr="005E385F" w:rsidRDefault="00F935B1" w:rsidP="0083602C">
            <w:pPr>
              <w:rPr>
                <w:rFonts w:ascii="Verdana" w:hAnsi="Verdana"/>
                <w:sz w:val="20"/>
              </w:rPr>
            </w:pPr>
          </w:p>
          <w:p w14:paraId="70884A16" w14:textId="77777777" w:rsidR="00F935B1" w:rsidRPr="005E385F" w:rsidRDefault="00F935B1" w:rsidP="0083602C">
            <w:pPr>
              <w:rPr>
                <w:rFonts w:ascii="Verdana" w:hAnsi="Verdana"/>
                <w:sz w:val="20"/>
              </w:rPr>
            </w:pPr>
          </w:p>
        </w:tc>
        <w:tc>
          <w:tcPr>
            <w:tcW w:w="3709" w:type="pct"/>
          </w:tcPr>
          <w:p w14:paraId="378F2355" w14:textId="77777777" w:rsidR="00F935B1" w:rsidRPr="005E385F" w:rsidRDefault="00F935B1" w:rsidP="0083602C">
            <w:pPr>
              <w:pStyle w:val="NormalWeb"/>
              <w:spacing w:before="0" w:beforeAutospacing="0" w:after="0"/>
              <w:rPr>
                <w:rFonts w:ascii="Verdana" w:hAnsi="Verdana"/>
                <w:bCs/>
                <w:sz w:val="20"/>
              </w:rPr>
            </w:pPr>
            <w:r w:rsidRPr="005E385F">
              <w:rPr>
                <w:rFonts w:ascii="Verdana" w:hAnsi="Verdana"/>
                <w:bCs/>
                <w:sz w:val="20"/>
              </w:rPr>
              <w:t>Interfaces</w:t>
            </w:r>
            <w:r w:rsidRPr="005E385F">
              <w:rPr>
                <w:rFonts w:ascii="Verdana" w:hAnsi="Verdana"/>
                <w:sz w:val="20"/>
              </w:rPr>
              <w:fldChar w:fldCharType="begin"/>
            </w:r>
            <w:r w:rsidRPr="005E385F">
              <w:rPr>
                <w:rFonts w:ascii="Verdana" w:hAnsi="Verdana"/>
                <w:sz w:val="20"/>
              </w:rPr>
              <w:instrText>xe "</w:instrText>
            </w:r>
            <w:r w:rsidRPr="005E385F">
              <w:rPr>
                <w:rFonts w:ascii="Verdana" w:hAnsi="Verdana"/>
                <w:bCs/>
                <w:sz w:val="20"/>
              </w:rPr>
              <w:instrText>Interfaces</w:instrText>
            </w:r>
            <w:r w:rsidRPr="005E385F">
              <w:rPr>
                <w:rFonts w:ascii="Verdana" w:hAnsi="Verdana"/>
                <w:sz w:val="20"/>
              </w:rPr>
              <w:instrText>"</w:instrText>
            </w:r>
            <w:r w:rsidRPr="005E385F">
              <w:rPr>
                <w:rFonts w:ascii="Verdana" w:hAnsi="Verdana"/>
                <w:sz w:val="20"/>
              </w:rPr>
              <w:fldChar w:fldCharType="end"/>
            </w:r>
            <w:r w:rsidRPr="005E385F">
              <w:rPr>
                <w:rFonts w:ascii="Verdana" w:hAnsi="Verdana"/>
                <w:bCs/>
                <w:sz w:val="20"/>
              </w:rPr>
              <w:t>, gateways</w:t>
            </w:r>
            <w:r w:rsidRPr="005E385F">
              <w:rPr>
                <w:rFonts w:ascii="Verdana" w:hAnsi="Verdana"/>
                <w:sz w:val="20"/>
              </w:rPr>
              <w:fldChar w:fldCharType="begin"/>
            </w:r>
            <w:r w:rsidRPr="005E385F">
              <w:rPr>
                <w:rFonts w:ascii="Verdana" w:hAnsi="Verdana"/>
                <w:sz w:val="20"/>
              </w:rPr>
              <w:instrText>xe "G</w:instrText>
            </w:r>
            <w:r w:rsidRPr="005E385F">
              <w:rPr>
                <w:rFonts w:ascii="Verdana" w:hAnsi="Verdana"/>
                <w:bCs/>
                <w:sz w:val="20"/>
              </w:rPr>
              <w:instrText>ateways</w:instrText>
            </w:r>
            <w:r w:rsidRPr="005E385F">
              <w:rPr>
                <w:rFonts w:ascii="Verdana" w:hAnsi="Verdana"/>
                <w:sz w:val="20"/>
              </w:rPr>
              <w:instrText>"</w:instrText>
            </w:r>
            <w:r w:rsidRPr="005E385F">
              <w:rPr>
                <w:rFonts w:ascii="Verdana" w:hAnsi="Verdana"/>
                <w:sz w:val="20"/>
              </w:rPr>
              <w:fldChar w:fldCharType="end"/>
            </w:r>
            <w:r w:rsidRPr="005E385F">
              <w:rPr>
                <w:rFonts w:ascii="Verdana" w:hAnsi="Verdana"/>
                <w:bCs/>
                <w:sz w:val="20"/>
              </w:rPr>
              <w:t>, and antennas</w:t>
            </w:r>
            <w:r w:rsidRPr="005E385F">
              <w:rPr>
                <w:rFonts w:ascii="Verdana" w:hAnsi="Verdana"/>
                <w:sz w:val="20"/>
              </w:rPr>
              <w:fldChar w:fldCharType="begin"/>
            </w:r>
            <w:r w:rsidRPr="005E385F">
              <w:rPr>
                <w:rFonts w:ascii="Verdana" w:hAnsi="Verdana"/>
                <w:sz w:val="20"/>
              </w:rPr>
              <w:instrText>xe "A</w:instrText>
            </w:r>
            <w:r w:rsidRPr="005E385F">
              <w:rPr>
                <w:rFonts w:ascii="Verdana" w:hAnsi="Verdana"/>
                <w:bCs/>
                <w:sz w:val="20"/>
              </w:rPr>
              <w:instrText>ntennas</w:instrText>
            </w:r>
            <w:r w:rsidRPr="005E385F">
              <w:rPr>
                <w:rFonts w:ascii="Verdana" w:hAnsi="Verdana"/>
                <w:sz w:val="20"/>
              </w:rPr>
              <w:instrText>"</w:instrText>
            </w:r>
            <w:r w:rsidRPr="005E385F">
              <w:rPr>
                <w:rFonts w:ascii="Verdana" w:hAnsi="Verdana"/>
                <w:sz w:val="20"/>
              </w:rPr>
              <w:fldChar w:fldCharType="end"/>
            </w:r>
            <w:r w:rsidRPr="005E385F">
              <w:rPr>
                <w:rFonts w:ascii="Verdana" w:hAnsi="Verdana"/>
                <w:bCs/>
                <w:sz w:val="20"/>
              </w:rPr>
              <w:t xml:space="preserve"> represent miscellaneous</w:t>
            </w:r>
            <w:r w:rsidRPr="005E385F">
              <w:rPr>
                <w:rFonts w:ascii="Verdana" w:hAnsi="Verdana"/>
                <w:sz w:val="20"/>
              </w:rPr>
              <w:fldChar w:fldCharType="begin"/>
            </w:r>
            <w:r w:rsidRPr="005E385F">
              <w:rPr>
                <w:rFonts w:ascii="Verdana" w:hAnsi="Verdana"/>
                <w:sz w:val="20"/>
              </w:rPr>
              <w:instrText>xe "M</w:instrText>
            </w:r>
            <w:r w:rsidRPr="005E385F">
              <w:rPr>
                <w:rFonts w:ascii="Verdana" w:hAnsi="Verdana"/>
                <w:bCs/>
                <w:sz w:val="20"/>
              </w:rPr>
              <w:instrText>iscellaneous Components</w:instrText>
            </w:r>
            <w:r w:rsidRPr="005E385F">
              <w:rPr>
                <w:rFonts w:ascii="Verdana" w:hAnsi="Verdana"/>
                <w:sz w:val="20"/>
              </w:rPr>
              <w:instrText>"</w:instrText>
            </w:r>
            <w:r w:rsidRPr="005E385F">
              <w:rPr>
                <w:rFonts w:ascii="Verdana" w:hAnsi="Verdana"/>
                <w:sz w:val="20"/>
              </w:rPr>
              <w:fldChar w:fldCharType="end"/>
            </w:r>
            <w:r w:rsidRPr="005E385F">
              <w:rPr>
                <w:rFonts w:ascii="Verdana" w:hAnsi="Verdana"/>
                <w:bCs/>
                <w:sz w:val="20"/>
              </w:rPr>
              <w:t xml:space="preserve"> components that are eligible when used for an eligible purpose to transport information from telecommunications or Internet access facilities to the individual classrooms or public areas of a library.</w:t>
            </w:r>
          </w:p>
          <w:p w14:paraId="094B3898" w14:textId="77777777" w:rsidR="00F935B1" w:rsidRPr="005E385F" w:rsidRDefault="00F935B1" w:rsidP="0083602C">
            <w:pPr>
              <w:pStyle w:val="NormalWeb"/>
              <w:spacing w:before="0" w:beforeAutospacing="0" w:after="0"/>
              <w:rPr>
                <w:rFonts w:ascii="Verdana" w:hAnsi="Verdana"/>
                <w:bCs/>
                <w:sz w:val="20"/>
              </w:rPr>
            </w:pPr>
          </w:p>
          <w:p w14:paraId="25C6C1FD" w14:textId="77777777" w:rsidR="00F935B1" w:rsidRPr="005E385F" w:rsidRDefault="00F935B1" w:rsidP="0083602C">
            <w:pPr>
              <w:pStyle w:val="NormalWeb"/>
              <w:spacing w:before="0" w:beforeAutospacing="0" w:after="0"/>
              <w:rPr>
                <w:rFonts w:ascii="Verdana" w:hAnsi="Verdana"/>
                <w:bCs/>
                <w:sz w:val="20"/>
              </w:rPr>
            </w:pPr>
            <w:r w:rsidRPr="005E385F">
              <w:rPr>
                <w:rFonts w:ascii="Verdana" w:hAnsi="Verdana"/>
                <w:bCs/>
                <w:sz w:val="20"/>
              </w:rPr>
              <w:t>The following components</w:t>
            </w:r>
            <w:r w:rsidRPr="005E385F">
              <w:rPr>
                <w:rFonts w:ascii="Verdana" w:hAnsi="Verdana"/>
                <w:sz w:val="20"/>
              </w:rPr>
              <w:fldChar w:fldCharType="begin"/>
            </w:r>
            <w:r w:rsidRPr="005E385F">
              <w:rPr>
                <w:rFonts w:ascii="Verdana" w:hAnsi="Verdana"/>
                <w:sz w:val="20"/>
              </w:rPr>
              <w:instrText>xe "C</w:instrText>
            </w:r>
            <w:r w:rsidRPr="005E385F">
              <w:rPr>
                <w:rFonts w:ascii="Verdana" w:hAnsi="Verdana"/>
                <w:bCs/>
                <w:sz w:val="20"/>
              </w:rPr>
              <w:instrText>omponents</w:instrText>
            </w:r>
            <w:r w:rsidRPr="005E385F">
              <w:rPr>
                <w:rFonts w:ascii="Verdana" w:hAnsi="Verdana"/>
                <w:sz w:val="20"/>
              </w:rPr>
              <w:instrText>"</w:instrText>
            </w:r>
            <w:r w:rsidRPr="005E385F">
              <w:rPr>
                <w:rFonts w:ascii="Verdana" w:hAnsi="Verdana"/>
                <w:sz w:val="20"/>
              </w:rPr>
              <w:fldChar w:fldCharType="end"/>
            </w:r>
            <w:r w:rsidRPr="005E385F">
              <w:rPr>
                <w:rFonts w:ascii="Verdana" w:hAnsi="Verdana"/>
                <w:bCs/>
                <w:sz w:val="20"/>
              </w:rPr>
              <w:t xml:space="preserve"> are generally eligible:</w:t>
            </w:r>
          </w:p>
          <w:p w14:paraId="550CC52D" w14:textId="77777777" w:rsidR="00F935B1" w:rsidRPr="005E385F" w:rsidRDefault="00F935B1" w:rsidP="0083602C">
            <w:pPr>
              <w:pStyle w:val="NormalWeb"/>
              <w:spacing w:before="0" w:beforeAutospacing="0" w:after="0"/>
              <w:rPr>
                <w:rFonts w:ascii="Verdana" w:hAnsi="Verdana"/>
                <w:bCs/>
                <w:sz w:val="20"/>
              </w:rPr>
            </w:pPr>
          </w:p>
          <w:p w14:paraId="65F52703" w14:textId="77777777" w:rsidR="00F935B1" w:rsidRPr="005E385F" w:rsidRDefault="00A0395D" w:rsidP="00F935B1">
            <w:pPr>
              <w:pStyle w:val="NormalWeb"/>
              <w:numPr>
                <w:ilvl w:val="0"/>
                <w:numId w:val="17"/>
              </w:numPr>
              <w:spacing w:before="0" w:beforeAutospacing="0" w:after="0"/>
              <w:rPr>
                <w:rFonts w:ascii="Verdana" w:hAnsi="Verdana"/>
                <w:bCs/>
                <w:sz w:val="20"/>
              </w:rPr>
            </w:pPr>
            <w:hyperlink w:anchor="Bridge" w:history="1">
              <w:r w:rsidR="00F935B1" w:rsidRPr="005E385F">
                <w:rPr>
                  <w:rStyle w:val="Hyperlink"/>
                  <w:rFonts w:ascii="Verdana" w:hAnsi="Verdana"/>
                  <w:bCs/>
                  <w:sz w:val="20"/>
                </w:rPr>
                <w:t>Bridge</w:t>
              </w:r>
              <w:r w:rsidR="00F935B1" w:rsidRPr="005E385F">
                <w:rPr>
                  <w:rFonts w:ascii="Verdana" w:hAnsi="Verdana"/>
                  <w:sz w:val="20"/>
                </w:rPr>
                <w:fldChar w:fldCharType="begin"/>
              </w:r>
              <w:r w:rsidR="00F935B1" w:rsidRPr="005E385F">
                <w:rPr>
                  <w:rFonts w:ascii="Verdana" w:hAnsi="Verdana"/>
                  <w:sz w:val="20"/>
                </w:rPr>
                <w:instrText>xe "</w:instrText>
              </w:r>
              <w:r w:rsidR="00F935B1" w:rsidRPr="005E385F">
                <w:rPr>
                  <w:rStyle w:val="Hyperlink"/>
                  <w:rFonts w:ascii="Verdana" w:hAnsi="Verdana"/>
                  <w:bCs/>
                  <w:sz w:val="20"/>
                </w:rPr>
                <w:instrText>Bridge</w:instrText>
              </w:r>
              <w:r w:rsidR="00F935B1" w:rsidRPr="005E385F">
                <w:rPr>
                  <w:rFonts w:ascii="Verdana" w:hAnsi="Verdana"/>
                  <w:sz w:val="20"/>
                </w:rPr>
                <w:instrText>"</w:instrText>
              </w:r>
              <w:r w:rsidR="00F935B1" w:rsidRPr="005E385F">
                <w:rPr>
                  <w:rFonts w:ascii="Verdana" w:hAnsi="Verdana"/>
                  <w:sz w:val="20"/>
                </w:rPr>
                <w:fldChar w:fldCharType="end"/>
              </w:r>
            </w:hyperlink>
          </w:p>
          <w:p w14:paraId="08E68BDD" w14:textId="77777777" w:rsidR="00F935B1" w:rsidRPr="005E385F" w:rsidRDefault="00A0395D" w:rsidP="00F935B1">
            <w:pPr>
              <w:pStyle w:val="NormalWeb"/>
              <w:numPr>
                <w:ilvl w:val="0"/>
                <w:numId w:val="17"/>
              </w:numPr>
              <w:spacing w:before="0" w:beforeAutospacing="0" w:after="0"/>
              <w:rPr>
                <w:rFonts w:ascii="Verdana" w:hAnsi="Verdana"/>
                <w:bCs/>
                <w:sz w:val="20"/>
              </w:rPr>
            </w:pPr>
            <w:hyperlink w:anchor="CableModem" w:history="1">
              <w:r w:rsidR="00F935B1" w:rsidRPr="005E385F">
                <w:rPr>
                  <w:rStyle w:val="Hyperlink"/>
                  <w:rFonts w:ascii="Verdana" w:hAnsi="Verdana"/>
                  <w:bCs/>
                  <w:sz w:val="20"/>
                </w:rPr>
                <w:t>Cable Modem</w:t>
              </w:r>
              <w:r w:rsidR="00F935B1" w:rsidRPr="005E385F">
                <w:rPr>
                  <w:rFonts w:ascii="Verdana" w:hAnsi="Verdana"/>
                  <w:sz w:val="20"/>
                </w:rPr>
                <w:fldChar w:fldCharType="begin"/>
              </w:r>
              <w:r w:rsidR="00F935B1" w:rsidRPr="005E385F">
                <w:rPr>
                  <w:rFonts w:ascii="Verdana" w:hAnsi="Verdana"/>
                  <w:sz w:val="20"/>
                </w:rPr>
                <w:instrText>xe "</w:instrText>
              </w:r>
              <w:r w:rsidR="00F935B1" w:rsidRPr="005E385F">
                <w:rPr>
                  <w:rStyle w:val="Hyperlink"/>
                  <w:rFonts w:ascii="Verdana" w:hAnsi="Verdana"/>
                  <w:bCs/>
                  <w:sz w:val="20"/>
                </w:rPr>
                <w:instrText>Cable Modem</w:instrText>
              </w:r>
              <w:r w:rsidR="00F935B1" w:rsidRPr="005E385F">
                <w:rPr>
                  <w:rFonts w:ascii="Verdana" w:hAnsi="Verdana"/>
                  <w:sz w:val="20"/>
                </w:rPr>
                <w:instrText>"</w:instrText>
              </w:r>
              <w:r w:rsidR="00F935B1" w:rsidRPr="005E385F">
                <w:rPr>
                  <w:rFonts w:ascii="Verdana" w:hAnsi="Verdana"/>
                  <w:sz w:val="20"/>
                </w:rPr>
                <w:fldChar w:fldCharType="end"/>
              </w:r>
            </w:hyperlink>
            <w:r w:rsidR="00F935B1" w:rsidRPr="005E385F">
              <w:rPr>
                <w:rFonts w:ascii="Verdana" w:hAnsi="Verdana"/>
                <w:bCs/>
                <w:sz w:val="20"/>
              </w:rPr>
              <w:t xml:space="preserve"> (but not for receipt of cable</w:t>
            </w:r>
            <w:r w:rsidR="00F935B1" w:rsidRPr="005E385F">
              <w:rPr>
                <w:rFonts w:ascii="Verdana" w:hAnsi="Verdana"/>
                <w:sz w:val="20"/>
              </w:rPr>
              <w:fldChar w:fldCharType="begin"/>
            </w:r>
            <w:r w:rsidR="00F935B1" w:rsidRPr="005E385F">
              <w:rPr>
                <w:rFonts w:ascii="Verdana" w:hAnsi="Verdana"/>
                <w:sz w:val="20"/>
              </w:rPr>
              <w:instrText>xe "Cable Television"</w:instrText>
            </w:r>
            <w:r w:rsidR="00F935B1" w:rsidRPr="005E385F">
              <w:rPr>
                <w:rFonts w:ascii="Verdana" w:hAnsi="Verdana"/>
                <w:sz w:val="20"/>
              </w:rPr>
              <w:fldChar w:fldCharType="end"/>
            </w:r>
            <w:r w:rsidR="00F935B1" w:rsidRPr="005E385F">
              <w:rPr>
                <w:rFonts w:ascii="Verdana" w:hAnsi="Verdana"/>
                <w:bCs/>
                <w:sz w:val="20"/>
              </w:rPr>
              <w:t xml:space="preserve"> TV</w:t>
            </w:r>
            <w:r w:rsidR="00F935B1" w:rsidRPr="005E385F">
              <w:rPr>
                <w:rFonts w:ascii="Verdana" w:hAnsi="Verdana"/>
                <w:sz w:val="20"/>
              </w:rPr>
              <w:fldChar w:fldCharType="begin"/>
            </w:r>
            <w:r w:rsidR="00F935B1" w:rsidRPr="005E385F">
              <w:rPr>
                <w:rFonts w:ascii="Verdana" w:hAnsi="Verdana"/>
                <w:sz w:val="20"/>
              </w:rPr>
              <w:instrText>xe "Television"</w:instrText>
            </w:r>
            <w:r w:rsidR="00F935B1" w:rsidRPr="005E385F">
              <w:rPr>
                <w:rFonts w:ascii="Verdana" w:hAnsi="Verdana"/>
                <w:sz w:val="20"/>
              </w:rPr>
              <w:fldChar w:fldCharType="end"/>
            </w:r>
            <w:r w:rsidR="00F935B1" w:rsidRPr="005E385F">
              <w:rPr>
                <w:rFonts w:ascii="Verdana" w:hAnsi="Verdana"/>
                <w:bCs/>
                <w:sz w:val="20"/>
              </w:rPr>
              <w:t xml:space="preserve"> service; may also be leased as part of Internet access service)</w:t>
            </w:r>
          </w:p>
          <w:p w14:paraId="0F9054BC" w14:textId="77777777" w:rsidR="00F935B1" w:rsidRPr="005E385F" w:rsidRDefault="00A0395D" w:rsidP="00F935B1">
            <w:pPr>
              <w:pStyle w:val="NormalWeb"/>
              <w:numPr>
                <w:ilvl w:val="0"/>
                <w:numId w:val="17"/>
              </w:numPr>
              <w:spacing w:before="0" w:beforeAutospacing="0" w:after="0"/>
              <w:rPr>
                <w:rFonts w:ascii="Verdana" w:hAnsi="Verdana"/>
                <w:bCs/>
                <w:sz w:val="20"/>
              </w:rPr>
            </w:pPr>
            <w:hyperlink w:anchor="CSUDSU" w:history="1">
              <w:r w:rsidR="00F935B1" w:rsidRPr="005E385F">
                <w:rPr>
                  <w:rStyle w:val="Hyperlink"/>
                  <w:rFonts w:ascii="Verdana" w:hAnsi="Verdana"/>
                  <w:bCs/>
                  <w:sz w:val="20"/>
                </w:rPr>
                <w:t>Channel Service Unit/Data Service Unit (CSU</w:t>
              </w:r>
              <w:r w:rsidR="00F935B1" w:rsidRPr="005E385F">
                <w:rPr>
                  <w:rFonts w:ascii="Verdana" w:hAnsi="Verdana"/>
                  <w:sz w:val="20"/>
                </w:rPr>
                <w:fldChar w:fldCharType="begin"/>
              </w:r>
              <w:r w:rsidR="00F935B1" w:rsidRPr="005E385F">
                <w:rPr>
                  <w:rFonts w:ascii="Verdana" w:hAnsi="Verdana"/>
                  <w:sz w:val="20"/>
                </w:rPr>
                <w:instrText>xe "</w:instrText>
              </w:r>
              <w:r w:rsidR="00F935B1" w:rsidRPr="005E385F">
                <w:rPr>
                  <w:rStyle w:val="Hyperlink"/>
                  <w:rFonts w:ascii="Verdana" w:hAnsi="Verdana"/>
                  <w:bCs/>
                  <w:sz w:val="20"/>
                </w:rPr>
                <w:instrText>CSU</w:instrText>
              </w:r>
              <w:r w:rsidR="00F935B1" w:rsidRPr="005E385F">
                <w:rPr>
                  <w:rFonts w:ascii="Verdana" w:hAnsi="Verdana"/>
                  <w:sz w:val="20"/>
                </w:rPr>
                <w:instrText>"</w:instrText>
              </w:r>
              <w:r w:rsidR="00F935B1" w:rsidRPr="005E385F">
                <w:rPr>
                  <w:rFonts w:ascii="Verdana" w:hAnsi="Verdana"/>
                  <w:sz w:val="20"/>
                </w:rPr>
                <w:fldChar w:fldCharType="end"/>
              </w:r>
            </w:hyperlink>
            <w:r w:rsidR="00F935B1" w:rsidRPr="005E385F">
              <w:rPr>
                <w:rFonts w:ascii="Verdana" w:hAnsi="Verdana"/>
                <w:bCs/>
                <w:sz w:val="20"/>
              </w:rPr>
              <w:t xml:space="preserve"> (may also be leased as part of Priority One service)</w:t>
            </w:r>
          </w:p>
          <w:p w14:paraId="2F0F73A9" w14:textId="77777777" w:rsidR="00F935B1" w:rsidRPr="005E385F" w:rsidRDefault="00A0395D" w:rsidP="00F935B1">
            <w:pPr>
              <w:pStyle w:val="NormalWeb"/>
              <w:numPr>
                <w:ilvl w:val="0"/>
                <w:numId w:val="17"/>
              </w:numPr>
              <w:spacing w:before="0" w:beforeAutospacing="0" w:after="0"/>
              <w:rPr>
                <w:rFonts w:ascii="Verdana" w:hAnsi="Verdana"/>
                <w:bCs/>
                <w:sz w:val="20"/>
              </w:rPr>
            </w:pPr>
            <w:hyperlink w:anchor="CoppertoFiberConverter" w:history="1">
              <w:r w:rsidR="00F935B1" w:rsidRPr="005E385F">
                <w:rPr>
                  <w:rStyle w:val="Hyperlink"/>
                  <w:rFonts w:ascii="Verdana" w:hAnsi="Verdana"/>
                  <w:bCs/>
                  <w:sz w:val="20"/>
                </w:rPr>
                <w:t>Copper-to-Fiber</w:t>
              </w:r>
              <w:r w:rsidR="00F935B1" w:rsidRPr="005E385F">
                <w:rPr>
                  <w:rFonts w:ascii="Verdana" w:hAnsi="Verdana"/>
                  <w:sz w:val="20"/>
                </w:rPr>
                <w:fldChar w:fldCharType="begin"/>
              </w:r>
              <w:r w:rsidR="00F935B1" w:rsidRPr="005E385F">
                <w:rPr>
                  <w:rFonts w:ascii="Verdana" w:hAnsi="Verdana"/>
                  <w:sz w:val="20"/>
                </w:rPr>
                <w:instrText>xe "</w:instrText>
              </w:r>
              <w:r w:rsidR="00F935B1" w:rsidRPr="005E385F">
                <w:rPr>
                  <w:rFonts w:ascii="Verdana" w:hAnsi="Verdana" w:cs="Verdana"/>
                  <w:bCs/>
                  <w:sz w:val="20"/>
                </w:rPr>
                <w:instrText>Fiber</w:instrText>
              </w:r>
              <w:r w:rsidR="00F935B1" w:rsidRPr="005E385F">
                <w:rPr>
                  <w:rFonts w:ascii="Verdana" w:hAnsi="Verdana"/>
                  <w:sz w:val="20"/>
                </w:rPr>
                <w:instrText>"</w:instrText>
              </w:r>
              <w:r w:rsidR="00F935B1" w:rsidRPr="005E385F">
                <w:rPr>
                  <w:rFonts w:ascii="Verdana" w:hAnsi="Verdana"/>
                  <w:sz w:val="20"/>
                </w:rPr>
                <w:fldChar w:fldCharType="end"/>
              </w:r>
            </w:hyperlink>
          </w:p>
          <w:p w14:paraId="7ED4D92E" w14:textId="77777777" w:rsidR="00F935B1" w:rsidRPr="005E385F" w:rsidRDefault="00A0395D" w:rsidP="00F935B1">
            <w:pPr>
              <w:pStyle w:val="NormalWeb"/>
              <w:numPr>
                <w:ilvl w:val="0"/>
                <w:numId w:val="17"/>
              </w:numPr>
              <w:spacing w:before="0" w:beforeAutospacing="0" w:after="0"/>
              <w:rPr>
                <w:rFonts w:ascii="Verdana" w:hAnsi="Verdana"/>
                <w:bCs/>
                <w:sz w:val="20"/>
              </w:rPr>
            </w:pPr>
            <w:hyperlink w:anchor="FRAD" w:history="1">
              <w:r w:rsidR="00F935B1" w:rsidRPr="005E385F">
                <w:rPr>
                  <w:rStyle w:val="Hyperlink"/>
                  <w:rFonts w:ascii="Verdana" w:hAnsi="Verdana"/>
                  <w:bCs/>
                  <w:sz w:val="20"/>
                </w:rPr>
                <w:t>FRAD</w:t>
              </w:r>
              <w:r w:rsidR="00F935B1" w:rsidRPr="005E385F">
                <w:rPr>
                  <w:rFonts w:ascii="Verdana" w:hAnsi="Verdana"/>
                  <w:sz w:val="20"/>
                </w:rPr>
                <w:fldChar w:fldCharType="begin"/>
              </w:r>
              <w:r w:rsidR="00F935B1" w:rsidRPr="005E385F">
                <w:rPr>
                  <w:rFonts w:ascii="Verdana" w:hAnsi="Verdana"/>
                  <w:sz w:val="20"/>
                </w:rPr>
                <w:instrText>xe "</w:instrText>
              </w:r>
              <w:r w:rsidR="00F935B1" w:rsidRPr="005E385F">
                <w:rPr>
                  <w:rStyle w:val="Hyperlink"/>
                  <w:rFonts w:ascii="Verdana" w:hAnsi="Verdana"/>
                  <w:bCs/>
                  <w:sz w:val="20"/>
                </w:rPr>
                <w:instrText>FRAD</w:instrText>
              </w:r>
              <w:r w:rsidR="00F935B1" w:rsidRPr="005E385F">
                <w:rPr>
                  <w:rFonts w:ascii="Verdana" w:hAnsi="Verdana"/>
                  <w:sz w:val="20"/>
                </w:rPr>
                <w:instrText>"</w:instrText>
              </w:r>
              <w:r w:rsidR="00F935B1" w:rsidRPr="005E385F">
                <w:rPr>
                  <w:rFonts w:ascii="Verdana" w:hAnsi="Verdana"/>
                  <w:sz w:val="20"/>
                </w:rPr>
                <w:fldChar w:fldCharType="end"/>
              </w:r>
            </w:hyperlink>
          </w:p>
          <w:p w14:paraId="469CC228" w14:textId="77777777" w:rsidR="00F935B1" w:rsidRPr="005E385F" w:rsidRDefault="00A0395D" w:rsidP="00F935B1">
            <w:pPr>
              <w:pStyle w:val="NormalWeb"/>
              <w:numPr>
                <w:ilvl w:val="0"/>
                <w:numId w:val="17"/>
              </w:numPr>
              <w:spacing w:before="0" w:beforeAutospacing="0" w:after="0"/>
              <w:rPr>
                <w:rFonts w:ascii="Verdana" w:hAnsi="Verdana"/>
                <w:bCs/>
                <w:sz w:val="20"/>
              </w:rPr>
            </w:pPr>
            <w:hyperlink w:anchor="Gateway" w:history="1">
              <w:r w:rsidR="00F935B1" w:rsidRPr="005E385F">
                <w:rPr>
                  <w:rStyle w:val="Hyperlink"/>
                  <w:rFonts w:ascii="Verdana" w:hAnsi="Verdana"/>
                  <w:bCs/>
                  <w:sz w:val="20"/>
                </w:rPr>
                <w:t>Gateway</w:t>
              </w:r>
              <w:r w:rsidR="00F935B1" w:rsidRPr="005E385F">
                <w:rPr>
                  <w:rFonts w:ascii="Verdana" w:hAnsi="Verdana"/>
                  <w:sz w:val="20"/>
                </w:rPr>
                <w:fldChar w:fldCharType="begin"/>
              </w:r>
              <w:r w:rsidR="00F935B1" w:rsidRPr="005E385F">
                <w:rPr>
                  <w:rFonts w:ascii="Verdana" w:hAnsi="Verdana"/>
                  <w:sz w:val="20"/>
                </w:rPr>
                <w:instrText>xe "Gateways"</w:instrText>
              </w:r>
              <w:r w:rsidR="00F935B1" w:rsidRPr="005E385F">
                <w:rPr>
                  <w:rFonts w:ascii="Verdana" w:hAnsi="Verdana"/>
                  <w:sz w:val="20"/>
                </w:rPr>
                <w:fldChar w:fldCharType="end"/>
              </w:r>
            </w:hyperlink>
          </w:p>
          <w:p w14:paraId="06D14988" w14:textId="77777777" w:rsidR="00F935B1" w:rsidRPr="005E385F" w:rsidRDefault="00A0395D" w:rsidP="00F935B1">
            <w:pPr>
              <w:pStyle w:val="NormalWeb"/>
              <w:numPr>
                <w:ilvl w:val="0"/>
                <w:numId w:val="17"/>
              </w:numPr>
              <w:spacing w:before="0" w:beforeAutospacing="0" w:after="0"/>
              <w:rPr>
                <w:rFonts w:ascii="Verdana" w:hAnsi="Verdana"/>
                <w:bCs/>
                <w:sz w:val="20"/>
              </w:rPr>
            </w:pPr>
            <w:hyperlink w:anchor="InterfaceEdgeDevice" w:history="1">
              <w:r w:rsidR="00F935B1" w:rsidRPr="005E385F">
                <w:rPr>
                  <w:rStyle w:val="Hyperlink"/>
                  <w:rFonts w:ascii="Verdana" w:hAnsi="Verdana"/>
                  <w:bCs/>
                  <w:sz w:val="20"/>
                </w:rPr>
                <w:t>Interface/Edge Device</w:t>
              </w:r>
              <w:r w:rsidR="00F935B1" w:rsidRPr="005E385F">
                <w:rPr>
                  <w:rFonts w:ascii="Verdana" w:hAnsi="Verdana"/>
                  <w:sz w:val="20"/>
                </w:rPr>
                <w:fldChar w:fldCharType="begin"/>
              </w:r>
              <w:r w:rsidR="00F935B1" w:rsidRPr="005E385F">
                <w:rPr>
                  <w:rFonts w:ascii="Verdana" w:hAnsi="Verdana"/>
                  <w:sz w:val="20"/>
                </w:rPr>
                <w:instrText>xe "</w:instrText>
              </w:r>
              <w:r w:rsidR="00F935B1" w:rsidRPr="005E385F">
                <w:rPr>
                  <w:rStyle w:val="Hyperlink"/>
                  <w:rFonts w:ascii="Verdana" w:hAnsi="Verdana"/>
                  <w:bCs/>
                  <w:sz w:val="20"/>
                </w:rPr>
                <w:instrText>Interface/Edge Device</w:instrText>
              </w:r>
              <w:r w:rsidR="00F935B1" w:rsidRPr="005E385F">
                <w:rPr>
                  <w:rFonts w:ascii="Verdana" w:hAnsi="Verdana"/>
                  <w:sz w:val="20"/>
                </w:rPr>
                <w:instrText>"</w:instrText>
              </w:r>
              <w:r w:rsidR="00F935B1" w:rsidRPr="005E385F">
                <w:rPr>
                  <w:rFonts w:ascii="Verdana" w:hAnsi="Verdana"/>
                  <w:sz w:val="20"/>
                </w:rPr>
                <w:fldChar w:fldCharType="end"/>
              </w:r>
            </w:hyperlink>
          </w:p>
          <w:p w14:paraId="25FEA772" w14:textId="77777777" w:rsidR="00F935B1" w:rsidRPr="005E385F" w:rsidRDefault="00A0395D" w:rsidP="00F935B1">
            <w:pPr>
              <w:pStyle w:val="NormalWeb"/>
              <w:numPr>
                <w:ilvl w:val="0"/>
                <w:numId w:val="17"/>
              </w:numPr>
              <w:spacing w:before="0" w:beforeAutospacing="0" w:after="0"/>
              <w:rPr>
                <w:rFonts w:ascii="Verdana" w:hAnsi="Verdana"/>
                <w:bCs/>
                <w:sz w:val="20"/>
              </w:rPr>
            </w:pPr>
            <w:hyperlink w:anchor="NetworkInterfaceDevice" w:history="1">
              <w:r w:rsidR="00F935B1" w:rsidRPr="005E385F">
                <w:rPr>
                  <w:rStyle w:val="Hyperlink"/>
                  <w:rFonts w:ascii="Verdana" w:hAnsi="Verdana"/>
                  <w:bCs/>
                  <w:sz w:val="20"/>
                </w:rPr>
                <w:t>Network Interface Device</w:t>
              </w:r>
              <w:r w:rsidR="00F935B1" w:rsidRPr="005E385F">
                <w:rPr>
                  <w:rFonts w:ascii="Verdana" w:hAnsi="Verdana"/>
                  <w:sz w:val="20"/>
                </w:rPr>
                <w:fldChar w:fldCharType="begin"/>
              </w:r>
              <w:r w:rsidR="00F935B1" w:rsidRPr="005E385F">
                <w:rPr>
                  <w:rFonts w:ascii="Verdana" w:hAnsi="Verdana"/>
                  <w:sz w:val="20"/>
                </w:rPr>
                <w:instrText>xe "</w:instrText>
              </w:r>
              <w:r w:rsidR="00F935B1" w:rsidRPr="005E385F">
                <w:rPr>
                  <w:rStyle w:val="Hyperlink"/>
                  <w:rFonts w:ascii="Verdana" w:hAnsi="Verdana"/>
                  <w:bCs/>
                  <w:sz w:val="20"/>
                </w:rPr>
                <w:instrText>Network Interface Device</w:instrText>
              </w:r>
              <w:r w:rsidR="00F935B1" w:rsidRPr="005E385F">
                <w:rPr>
                  <w:rFonts w:ascii="Verdana" w:hAnsi="Verdana"/>
                  <w:sz w:val="20"/>
                </w:rPr>
                <w:instrText>"</w:instrText>
              </w:r>
              <w:r w:rsidR="00F935B1" w:rsidRPr="005E385F">
                <w:rPr>
                  <w:rFonts w:ascii="Verdana" w:hAnsi="Verdana"/>
                  <w:sz w:val="20"/>
                </w:rPr>
                <w:fldChar w:fldCharType="end"/>
              </w:r>
            </w:hyperlink>
          </w:p>
          <w:p w14:paraId="356A8D5E" w14:textId="77777777" w:rsidR="00F935B1" w:rsidRPr="005E385F" w:rsidRDefault="00A0395D" w:rsidP="00F935B1">
            <w:pPr>
              <w:pStyle w:val="NormalWeb"/>
              <w:numPr>
                <w:ilvl w:val="0"/>
                <w:numId w:val="17"/>
              </w:numPr>
              <w:spacing w:before="0" w:beforeAutospacing="0" w:after="0"/>
              <w:rPr>
                <w:rFonts w:ascii="Verdana" w:hAnsi="Verdana"/>
                <w:bCs/>
                <w:sz w:val="20"/>
              </w:rPr>
            </w:pPr>
            <w:hyperlink w:anchor="MediaConverter" w:history="1">
              <w:r w:rsidR="00F935B1" w:rsidRPr="005E385F">
                <w:rPr>
                  <w:rStyle w:val="Hyperlink"/>
                  <w:rFonts w:ascii="Verdana" w:hAnsi="Verdana"/>
                  <w:bCs/>
                  <w:sz w:val="20"/>
                </w:rPr>
                <w:t>Media Converter</w:t>
              </w:r>
              <w:r w:rsidR="00F935B1" w:rsidRPr="005E385F">
                <w:rPr>
                  <w:rFonts w:ascii="Verdana" w:hAnsi="Verdana"/>
                  <w:sz w:val="20"/>
                </w:rPr>
                <w:fldChar w:fldCharType="begin"/>
              </w:r>
              <w:r w:rsidR="00F935B1" w:rsidRPr="005E385F">
                <w:rPr>
                  <w:rFonts w:ascii="Verdana" w:hAnsi="Verdana"/>
                  <w:sz w:val="20"/>
                </w:rPr>
                <w:instrText>xe "</w:instrText>
              </w:r>
              <w:r w:rsidR="00F935B1" w:rsidRPr="005E385F">
                <w:rPr>
                  <w:rStyle w:val="Hyperlink"/>
                  <w:rFonts w:ascii="Verdana" w:hAnsi="Verdana"/>
                  <w:bCs/>
                  <w:sz w:val="20"/>
                </w:rPr>
                <w:instrText>Media Converter</w:instrText>
              </w:r>
              <w:r w:rsidR="00F935B1" w:rsidRPr="005E385F">
                <w:rPr>
                  <w:rFonts w:ascii="Verdana" w:hAnsi="Verdana"/>
                  <w:sz w:val="20"/>
                </w:rPr>
                <w:instrText>"</w:instrText>
              </w:r>
              <w:r w:rsidR="00F935B1" w:rsidRPr="005E385F">
                <w:rPr>
                  <w:rFonts w:ascii="Verdana" w:hAnsi="Verdana"/>
                  <w:sz w:val="20"/>
                </w:rPr>
                <w:fldChar w:fldCharType="end"/>
              </w:r>
            </w:hyperlink>
          </w:p>
          <w:p w14:paraId="53BE1787" w14:textId="77777777" w:rsidR="00F935B1" w:rsidRPr="005E385F" w:rsidRDefault="00A0395D" w:rsidP="00F935B1">
            <w:pPr>
              <w:pStyle w:val="NormalWeb"/>
              <w:numPr>
                <w:ilvl w:val="0"/>
                <w:numId w:val="17"/>
              </w:numPr>
              <w:spacing w:before="0" w:beforeAutospacing="0" w:after="0"/>
              <w:rPr>
                <w:rFonts w:ascii="Verdana" w:hAnsi="Verdana"/>
                <w:bCs/>
                <w:sz w:val="20"/>
              </w:rPr>
            </w:pPr>
            <w:hyperlink w:anchor="TerminalAdapter" w:history="1">
              <w:r w:rsidR="00F935B1" w:rsidRPr="005E385F">
                <w:rPr>
                  <w:rStyle w:val="Hyperlink"/>
                  <w:rFonts w:ascii="Verdana" w:hAnsi="Verdana"/>
                  <w:bCs/>
                  <w:sz w:val="20"/>
                </w:rPr>
                <w:t>Terminal Adapter</w:t>
              </w:r>
              <w:r w:rsidR="00F935B1" w:rsidRPr="005E385F">
                <w:rPr>
                  <w:rFonts w:ascii="Verdana" w:hAnsi="Verdana"/>
                  <w:sz w:val="20"/>
                </w:rPr>
                <w:fldChar w:fldCharType="begin"/>
              </w:r>
              <w:r w:rsidR="00F935B1" w:rsidRPr="005E385F">
                <w:rPr>
                  <w:rFonts w:ascii="Verdana" w:hAnsi="Verdana"/>
                  <w:sz w:val="20"/>
                </w:rPr>
                <w:instrText>xe "</w:instrText>
              </w:r>
              <w:r w:rsidR="00F935B1" w:rsidRPr="005E385F">
                <w:rPr>
                  <w:rStyle w:val="Hyperlink"/>
                  <w:rFonts w:ascii="Verdana" w:hAnsi="Verdana"/>
                  <w:bCs/>
                  <w:sz w:val="20"/>
                </w:rPr>
                <w:instrText>Terminal Adapter</w:instrText>
              </w:r>
              <w:r w:rsidR="00F935B1" w:rsidRPr="005E385F">
                <w:rPr>
                  <w:rFonts w:ascii="Verdana" w:hAnsi="Verdana"/>
                  <w:sz w:val="20"/>
                </w:rPr>
                <w:instrText>"</w:instrText>
              </w:r>
              <w:r w:rsidR="00F935B1" w:rsidRPr="005E385F">
                <w:rPr>
                  <w:rFonts w:ascii="Verdana" w:hAnsi="Verdana"/>
                  <w:sz w:val="20"/>
                </w:rPr>
                <w:fldChar w:fldCharType="end"/>
              </w:r>
            </w:hyperlink>
          </w:p>
          <w:p w14:paraId="3E9981B7" w14:textId="77777777" w:rsidR="00F935B1" w:rsidRPr="005E385F" w:rsidRDefault="00A0395D" w:rsidP="00F935B1">
            <w:pPr>
              <w:pStyle w:val="NormalWeb"/>
              <w:numPr>
                <w:ilvl w:val="0"/>
                <w:numId w:val="17"/>
              </w:numPr>
              <w:spacing w:before="0" w:beforeAutospacing="0" w:after="0"/>
              <w:rPr>
                <w:rFonts w:ascii="Verdana" w:hAnsi="Verdana"/>
                <w:bCs/>
                <w:sz w:val="20"/>
              </w:rPr>
            </w:pPr>
            <w:hyperlink w:anchor="Transceiver" w:history="1">
              <w:r w:rsidR="00F935B1" w:rsidRPr="005E385F">
                <w:rPr>
                  <w:rStyle w:val="Hyperlink"/>
                  <w:rFonts w:ascii="Verdana" w:hAnsi="Verdana"/>
                  <w:bCs/>
                  <w:sz w:val="20"/>
                </w:rPr>
                <w:t>Transceiver</w:t>
              </w:r>
              <w:r w:rsidR="00F935B1" w:rsidRPr="005E385F">
                <w:rPr>
                  <w:rFonts w:ascii="Verdana" w:hAnsi="Verdana"/>
                  <w:sz w:val="20"/>
                </w:rPr>
                <w:fldChar w:fldCharType="begin"/>
              </w:r>
              <w:r w:rsidR="00F935B1" w:rsidRPr="005E385F">
                <w:rPr>
                  <w:rFonts w:ascii="Verdana" w:hAnsi="Verdana"/>
                  <w:sz w:val="20"/>
                </w:rPr>
                <w:instrText>xe "</w:instrText>
              </w:r>
              <w:r w:rsidR="00F935B1" w:rsidRPr="005E385F">
                <w:rPr>
                  <w:rStyle w:val="Hyperlink"/>
                  <w:rFonts w:ascii="Verdana" w:hAnsi="Verdana"/>
                  <w:bCs/>
                  <w:sz w:val="20"/>
                </w:rPr>
                <w:instrText>Transceiver</w:instrText>
              </w:r>
              <w:r w:rsidR="00F935B1" w:rsidRPr="005E385F">
                <w:rPr>
                  <w:rFonts w:ascii="Verdana" w:hAnsi="Verdana"/>
                  <w:sz w:val="20"/>
                </w:rPr>
                <w:instrText>"</w:instrText>
              </w:r>
              <w:r w:rsidR="00F935B1" w:rsidRPr="005E385F">
                <w:rPr>
                  <w:rFonts w:ascii="Verdana" w:hAnsi="Verdana"/>
                  <w:sz w:val="20"/>
                </w:rPr>
                <w:fldChar w:fldCharType="end"/>
              </w:r>
            </w:hyperlink>
          </w:p>
          <w:p w14:paraId="221223FF" w14:textId="77777777" w:rsidR="00F935B1" w:rsidRPr="005E385F" w:rsidRDefault="00A0395D" w:rsidP="00F935B1">
            <w:pPr>
              <w:pStyle w:val="NormalWeb"/>
              <w:numPr>
                <w:ilvl w:val="0"/>
                <w:numId w:val="17"/>
              </w:numPr>
              <w:spacing w:before="0" w:beforeAutospacing="0" w:after="0"/>
              <w:rPr>
                <w:rFonts w:ascii="Verdana" w:hAnsi="Verdana"/>
                <w:bCs/>
                <w:sz w:val="20"/>
              </w:rPr>
            </w:pPr>
            <w:hyperlink w:anchor="VoiceFaxNetworkModule" w:history="1">
              <w:r w:rsidR="00F935B1" w:rsidRPr="005E385F">
                <w:rPr>
                  <w:rStyle w:val="Hyperlink"/>
                  <w:rFonts w:ascii="Verdana" w:hAnsi="Verdana"/>
                  <w:bCs/>
                  <w:sz w:val="20"/>
                </w:rPr>
                <w:t>Voice/Fax network module</w:t>
              </w:r>
              <w:r w:rsidR="00F935B1" w:rsidRPr="005E385F">
                <w:rPr>
                  <w:rFonts w:ascii="Verdana" w:hAnsi="Verdana"/>
                  <w:sz w:val="20"/>
                </w:rPr>
                <w:fldChar w:fldCharType="begin"/>
              </w:r>
              <w:r w:rsidR="00F935B1" w:rsidRPr="005E385F">
                <w:rPr>
                  <w:rFonts w:ascii="Verdana" w:hAnsi="Verdana"/>
                  <w:sz w:val="20"/>
                </w:rPr>
                <w:instrText>xe "</w:instrText>
              </w:r>
              <w:r w:rsidR="00F935B1" w:rsidRPr="005E385F">
                <w:rPr>
                  <w:rStyle w:val="Hyperlink"/>
                  <w:rFonts w:ascii="Verdana" w:hAnsi="Verdana"/>
                  <w:bCs/>
                  <w:sz w:val="20"/>
                </w:rPr>
                <w:instrText>Voice/Fax Network Module</w:instrText>
              </w:r>
              <w:r w:rsidR="00F935B1" w:rsidRPr="005E385F">
                <w:rPr>
                  <w:rFonts w:ascii="Verdana" w:hAnsi="Verdana"/>
                  <w:sz w:val="20"/>
                </w:rPr>
                <w:instrText>"</w:instrText>
              </w:r>
              <w:r w:rsidR="00F935B1" w:rsidRPr="005E385F">
                <w:rPr>
                  <w:rFonts w:ascii="Verdana" w:hAnsi="Verdana"/>
                  <w:sz w:val="20"/>
                </w:rPr>
                <w:fldChar w:fldCharType="end"/>
              </w:r>
            </w:hyperlink>
          </w:p>
          <w:p w14:paraId="2CFBB14C" w14:textId="77777777" w:rsidR="00F935B1" w:rsidRPr="005E385F" w:rsidRDefault="00F935B1" w:rsidP="0083602C">
            <w:pPr>
              <w:pStyle w:val="NormalWeb"/>
              <w:spacing w:before="0" w:beforeAutospacing="0" w:after="0"/>
              <w:rPr>
                <w:rFonts w:ascii="Verdana" w:hAnsi="Verdana"/>
                <w:bCs/>
                <w:sz w:val="20"/>
              </w:rPr>
            </w:pPr>
          </w:p>
          <w:p w14:paraId="4ECD8B46" w14:textId="77777777" w:rsidR="00F935B1" w:rsidRPr="005E385F" w:rsidRDefault="00F935B1" w:rsidP="0083602C">
            <w:pPr>
              <w:pStyle w:val="NormalWeb"/>
              <w:spacing w:before="0" w:beforeAutospacing="0" w:after="0"/>
              <w:rPr>
                <w:rFonts w:ascii="Verdana" w:hAnsi="Verdana"/>
                <w:bCs/>
                <w:sz w:val="20"/>
              </w:rPr>
            </w:pPr>
            <w:r w:rsidRPr="005E385F">
              <w:rPr>
                <w:rFonts w:ascii="Verdana" w:hAnsi="Verdana"/>
                <w:bCs/>
                <w:sz w:val="20"/>
                <w:u w:val="single"/>
              </w:rPr>
              <w:t>Eligibility limitations for antennas</w:t>
            </w:r>
          </w:p>
          <w:p w14:paraId="3E64CE07" w14:textId="77777777" w:rsidR="00F935B1" w:rsidRPr="005E385F" w:rsidRDefault="00F935B1" w:rsidP="0083602C">
            <w:pPr>
              <w:pStyle w:val="NormalWeb"/>
              <w:spacing w:before="0" w:beforeAutospacing="0" w:after="0"/>
              <w:rPr>
                <w:rFonts w:ascii="Verdana" w:hAnsi="Verdana"/>
                <w:bCs/>
                <w:sz w:val="20"/>
              </w:rPr>
            </w:pPr>
          </w:p>
          <w:p w14:paraId="3C40B4F7" w14:textId="77777777" w:rsidR="00F935B1" w:rsidRPr="005E385F" w:rsidRDefault="00A0395D" w:rsidP="0083602C">
            <w:pPr>
              <w:pStyle w:val="NormalWeb"/>
              <w:spacing w:before="0" w:beforeAutospacing="0" w:after="0"/>
              <w:rPr>
                <w:rFonts w:ascii="Verdana" w:hAnsi="Verdana"/>
                <w:bCs/>
                <w:sz w:val="20"/>
              </w:rPr>
            </w:pPr>
            <w:hyperlink w:anchor="Antenna" w:history="1">
              <w:r w:rsidR="00F935B1" w:rsidRPr="005E385F">
                <w:rPr>
                  <w:rStyle w:val="Hyperlink"/>
                  <w:rFonts w:ascii="Verdana" w:hAnsi="Verdana"/>
                  <w:bCs/>
                  <w:sz w:val="20"/>
                </w:rPr>
                <w:t>Antennas</w:t>
              </w:r>
              <w:r w:rsidR="00F935B1" w:rsidRPr="005E385F">
                <w:rPr>
                  <w:rFonts w:ascii="Verdana" w:hAnsi="Verdana"/>
                  <w:sz w:val="20"/>
                </w:rPr>
                <w:fldChar w:fldCharType="begin"/>
              </w:r>
              <w:r w:rsidR="00F935B1" w:rsidRPr="005E385F">
                <w:rPr>
                  <w:rFonts w:ascii="Verdana" w:hAnsi="Verdana"/>
                  <w:sz w:val="20"/>
                </w:rPr>
                <w:instrText>xe "</w:instrText>
              </w:r>
              <w:r w:rsidR="00F935B1" w:rsidRPr="005E385F">
                <w:rPr>
                  <w:rStyle w:val="Hyperlink"/>
                  <w:rFonts w:ascii="Verdana" w:hAnsi="Verdana"/>
                  <w:bCs/>
                  <w:sz w:val="20"/>
                </w:rPr>
                <w:instrText>Antennas</w:instrText>
              </w:r>
              <w:r w:rsidR="00F935B1" w:rsidRPr="005E385F">
                <w:rPr>
                  <w:rFonts w:ascii="Verdana" w:hAnsi="Verdana"/>
                  <w:sz w:val="20"/>
                </w:rPr>
                <w:instrText>"</w:instrText>
              </w:r>
              <w:r w:rsidR="00F935B1" w:rsidRPr="005E385F">
                <w:rPr>
                  <w:rFonts w:ascii="Verdana" w:hAnsi="Verdana"/>
                  <w:sz w:val="20"/>
                </w:rPr>
                <w:fldChar w:fldCharType="end"/>
              </w:r>
            </w:hyperlink>
            <w:r w:rsidR="00F935B1" w:rsidRPr="005E385F">
              <w:rPr>
                <w:rFonts w:ascii="Verdana" w:hAnsi="Verdana"/>
                <w:bCs/>
                <w:sz w:val="20"/>
              </w:rPr>
              <w:t xml:space="preserve"> and related components</w:t>
            </w:r>
            <w:r w:rsidR="00F935B1" w:rsidRPr="005E385F">
              <w:rPr>
                <w:rFonts w:ascii="Verdana" w:hAnsi="Verdana"/>
                <w:sz w:val="20"/>
              </w:rPr>
              <w:fldChar w:fldCharType="begin"/>
            </w:r>
            <w:r w:rsidR="00F935B1" w:rsidRPr="005E385F">
              <w:rPr>
                <w:rFonts w:ascii="Verdana" w:hAnsi="Verdana"/>
                <w:sz w:val="20"/>
              </w:rPr>
              <w:instrText>xe "Component</w:instrText>
            </w:r>
            <w:r w:rsidR="00F935B1" w:rsidRPr="005E385F">
              <w:rPr>
                <w:rFonts w:ascii="Verdana" w:hAnsi="Verdana"/>
                <w:bCs/>
                <w:sz w:val="20"/>
              </w:rPr>
              <w:instrText>s</w:instrText>
            </w:r>
            <w:r w:rsidR="00F935B1" w:rsidRPr="005E385F">
              <w:rPr>
                <w:rFonts w:ascii="Verdana" w:hAnsi="Verdana"/>
                <w:sz w:val="20"/>
              </w:rPr>
              <w:instrText>"</w:instrText>
            </w:r>
            <w:r w:rsidR="00F935B1" w:rsidRPr="005E385F">
              <w:rPr>
                <w:rFonts w:ascii="Verdana" w:hAnsi="Verdana"/>
                <w:sz w:val="20"/>
              </w:rPr>
              <w:fldChar w:fldCharType="end"/>
            </w:r>
            <w:r w:rsidR="00F935B1" w:rsidRPr="005E385F">
              <w:rPr>
                <w:rFonts w:ascii="Verdana" w:hAnsi="Verdana"/>
                <w:bCs/>
                <w:sz w:val="20"/>
              </w:rPr>
              <w:t xml:space="preserve">, such as </w:t>
            </w:r>
            <w:hyperlink w:anchor="SatelliteDish" w:history="1">
              <w:r w:rsidR="00F935B1" w:rsidRPr="005E385F">
                <w:rPr>
                  <w:rStyle w:val="Hyperlink"/>
                  <w:rFonts w:ascii="Verdana" w:hAnsi="Verdana"/>
                  <w:bCs/>
                  <w:sz w:val="20"/>
                </w:rPr>
                <w:t>satellite</w:t>
              </w:r>
              <w:r w:rsidR="00F935B1" w:rsidRPr="005E385F">
                <w:rPr>
                  <w:rFonts w:ascii="Verdana" w:hAnsi="Verdana"/>
                  <w:sz w:val="20"/>
                </w:rPr>
                <w:fldChar w:fldCharType="begin"/>
              </w:r>
              <w:r w:rsidR="00F935B1" w:rsidRPr="005E385F">
                <w:rPr>
                  <w:rFonts w:ascii="Verdana" w:hAnsi="Verdana"/>
                  <w:sz w:val="20"/>
                </w:rPr>
                <w:instrText>xe "Satellite"</w:instrText>
              </w:r>
              <w:r w:rsidR="00F935B1" w:rsidRPr="005E385F">
                <w:rPr>
                  <w:rFonts w:ascii="Verdana" w:hAnsi="Verdana"/>
                  <w:sz w:val="20"/>
                </w:rPr>
                <w:fldChar w:fldCharType="end"/>
              </w:r>
            </w:hyperlink>
            <w:r w:rsidR="00F935B1" w:rsidRPr="005E385F">
              <w:rPr>
                <w:rStyle w:val="CommentReference"/>
                <w:rFonts w:ascii="Verdana" w:hAnsi="Verdana"/>
                <w:sz w:val="20"/>
              </w:rPr>
              <w:t xml:space="preserve"> dishes</w:t>
            </w:r>
            <w:r w:rsidR="00F935B1" w:rsidRPr="005E385F">
              <w:rPr>
                <w:rFonts w:ascii="Verdana" w:hAnsi="Verdana"/>
                <w:bCs/>
                <w:sz w:val="20"/>
              </w:rPr>
              <w:t xml:space="preserve"> used for eligible purposes, are eligible for discount if they are priced separately on a contract or are sold separately.  Antennas embedded in ineligible equipment such as computer workstations</w:t>
            </w:r>
            <w:r w:rsidR="00F935B1" w:rsidRPr="005E385F">
              <w:rPr>
                <w:rFonts w:ascii="Verdana" w:hAnsi="Verdana"/>
                <w:sz w:val="20"/>
              </w:rPr>
              <w:fldChar w:fldCharType="begin"/>
            </w:r>
            <w:r w:rsidR="00F935B1" w:rsidRPr="005E385F">
              <w:rPr>
                <w:rFonts w:ascii="Verdana" w:hAnsi="Verdana"/>
                <w:sz w:val="20"/>
              </w:rPr>
              <w:instrText>xe "Workstations"</w:instrText>
            </w:r>
            <w:r w:rsidR="00F935B1" w:rsidRPr="005E385F">
              <w:rPr>
                <w:rFonts w:ascii="Verdana" w:hAnsi="Verdana"/>
                <w:sz w:val="20"/>
              </w:rPr>
              <w:fldChar w:fldCharType="end"/>
            </w:r>
            <w:r w:rsidR="00F935B1" w:rsidRPr="005E385F">
              <w:rPr>
                <w:rFonts w:ascii="Verdana" w:hAnsi="Verdana"/>
                <w:bCs/>
                <w:sz w:val="20"/>
              </w:rPr>
              <w:t xml:space="preserve"> are not eligible. </w:t>
            </w:r>
          </w:p>
          <w:p w14:paraId="196B3A14" w14:textId="77777777" w:rsidR="00F935B1" w:rsidRPr="005E385F" w:rsidRDefault="00F935B1" w:rsidP="0083602C">
            <w:pPr>
              <w:pStyle w:val="NormalWeb"/>
              <w:spacing w:before="0" w:beforeAutospacing="0" w:after="0"/>
              <w:rPr>
                <w:rFonts w:ascii="Verdana" w:hAnsi="Verdana"/>
                <w:bCs/>
                <w:sz w:val="20"/>
              </w:rPr>
            </w:pPr>
          </w:p>
          <w:p w14:paraId="419FDCA5" w14:textId="77777777" w:rsidR="00F935B1" w:rsidRPr="005E385F" w:rsidRDefault="00F935B1" w:rsidP="0083602C">
            <w:pPr>
              <w:pStyle w:val="NormalWeb"/>
              <w:spacing w:before="0" w:beforeAutospacing="0" w:after="0"/>
              <w:rPr>
                <w:rFonts w:ascii="Verdana" w:hAnsi="Verdana"/>
                <w:bCs/>
                <w:sz w:val="20"/>
              </w:rPr>
            </w:pPr>
            <w:r w:rsidRPr="005E385F">
              <w:rPr>
                <w:rFonts w:ascii="Verdana" w:hAnsi="Verdana"/>
                <w:bCs/>
                <w:sz w:val="20"/>
              </w:rPr>
              <w:t>While an antenna</w:t>
            </w:r>
            <w:r w:rsidRPr="005E385F">
              <w:rPr>
                <w:rFonts w:ascii="Verdana" w:hAnsi="Verdana"/>
                <w:sz w:val="20"/>
              </w:rPr>
              <w:fldChar w:fldCharType="begin"/>
            </w:r>
            <w:r w:rsidRPr="005E385F">
              <w:rPr>
                <w:rFonts w:ascii="Verdana" w:hAnsi="Verdana"/>
                <w:sz w:val="20"/>
              </w:rPr>
              <w:instrText>xe "Antennas"</w:instrText>
            </w:r>
            <w:r w:rsidRPr="005E385F">
              <w:rPr>
                <w:rFonts w:ascii="Verdana" w:hAnsi="Verdana"/>
                <w:sz w:val="20"/>
              </w:rPr>
              <w:fldChar w:fldCharType="end"/>
            </w:r>
            <w:r w:rsidRPr="005E385F">
              <w:rPr>
                <w:rFonts w:ascii="Verdana" w:hAnsi="Verdana"/>
                <w:bCs/>
                <w:sz w:val="20"/>
              </w:rPr>
              <w:t xml:space="preserve"> </w:t>
            </w:r>
            <w:hyperlink w:anchor="Mast" w:history="1">
              <w:r w:rsidRPr="005E385F">
                <w:rPr>
                  <w:rStyle w:val="Hyperlink"/>
                  <w:rFonts w:ascii="Verdana" w:hAnsi="Verdana"/>
                  <w:bCs/>
                  <w:sz w:val="20"/>
                </w:rPr>
                <w:t>mast</w:t>
              </w:r>
              <w:r w:rsidRPr="005E385F">
                <w:rPr>
                  <w:rFonts w:ascii="Verdana" w:hAnsi="Verdana"/>
                  <w:sz w:val="20"/>
                </w:rPr>
                <w:fldChar w:fldCharType="begin"/>
              </w:r>
              <w:r w:rsidRPr="005E385F">
                <w:rPr>
                  <w:rFonts w:ascii="Verdana" w:hAnsi="Verdana"/>
                  <w:sz w:val="20"/>
                </w:rPr>
                <w:instrText>xe "M</w:instrText>
              </w:r>
              <w:r w:rsidRPr="005E385F">
                <w:rPr>
                  <w:rStyle w:val="Hyperlink"/>
                  <w:rFonts w:ascii="Verdana" w:hAnsi="Verdana"/>
                  <w:bCs/>
                  <w:sz w:val="20"/>
                </w:rPr>
                <w:instrText>asts</w:instrText>
              </w:r>
              <w:r w:rsidRPr="005E385F">
                <w:rPr>
                  <w:rFonts w:ascii="Verdana" w:hAnsi="Verdana"/>
                  <w:sz w:val="20"/>
                </w:rPr>
                <w:instrText>"</w:instrText>
              </w:r>
              <w:r w:rsidRPr="005E385F">
                <w:rPr>
                  <w:rFonts w:ascii="Verdana" w:hAnsi="Verdana"/>
                  <w:sz w:val="20"/>
                </w:rPr>
                <w:fldChar w:fldCharType="end"/>
              </w:r>
            </w:hyperlink>
            <w:r w:rsidRPr="005E385F">
              <w:rPr>
                <w:rFonts w:ascii="Verdana" w:hAnsi="Verdana"/>
                <w:bCs/>
                <w:sz w:val="20"/>
              </w:rPr>
              <w:t xml:space="preserve"> that supports eligible Internal Connections</w:t>
            </w:r>
            <w:r w:rsidRPr="005E385F">
              <w:rPr>
                <w:rFonts w:ascii="Verdana" w:hAnsi="Verdana"/>
                <w:sz w:val="20"/>
              </w:rPr>
              <w:fldChar w:fldCharType="begin"/>
            </w:r>
            <w:r w:rsidRPr="005E385F">
              <w:rPr>
                <w:rFonts w:ascii="Verdana" w:hAnsi="Verdana"/>
                <w:sz w:val="20"/>
              </w:rPr>
              <w:instrText>xe "</w:instrText>
            </w:r>
            <w:r w:rsidRPr="005E385F">
              <w:rPr>
                <w:rStyle w:val="Hyperlink"/>
                <w:rFonts w:ascii="Verdana" w:hAnsi="Verdana"/>
                <w:sz w:val="20"/>
              </w:rPr>
              <w:instrText>Internal Connections</w:instrText>
            </w:r>
            <w:r w:rsidRPr="005E385F">
              <w:rPr>
                <w:rFonts w:ascii="Verdana" w:hAnsi="Verdana"/>
                <w:sz w:val="20"/>
              </w:rPr>
              <w:instrText>"</w:instrText>
            </w:r>
            <w:r w:rsidRPr="005E385F">
              <w:rPr>
                <w:rFonts w:ascii="Verdana" w:hAnsi="Verdana"/>
                <w:sz w:val="20"/>
              </w:rPr>
              <w:fldChar w:fldCharType="end"/>
            </w:r>
            <w:r w:rsidRPr="005E385F">
              <w:rPr>
                <w:rFonts w:ascii="Verdana" w:hAnsi="Verdana"/>
                <w:bCs/>
                <w:sz w:val="20"/>
              </w:rPr>
              <w:t xml:space="preserve"> is eligible, large antenna towers</w:t>
            </w:r>
            <w:r w:rsidRPr="005E385F">
              <w:rPr>
                <w:rFonts w:ascii="Verdana" w:hAnsi="Verdana"/>
                <w:sz w:val="20"/>
              </w:rPr>
              <w:fldChar w:fldCharType="begin"/>
            </w:r>
            <w:r w:rsidRPr="005E385F">
              <w:rPr>
                <w:rFonts w:ascii="Verdana" w:hAnsi="Verdana"/>
                <w:sz w:val="20"/>
              </w:rPr>
              <w:instrText>xe "T</w:instrText>
            </w:r>
            <w:r w:rsidRPr="005E385F">
              <w:rPr>
                <w:rFonts w:ascii="Verdana" w:hAnsi="Verdana"/>
                <w:bCs/>
                <w:sz w:val="20"/>
              </w:rPr>
              <w:instrText>owers</w:instrText>
            </w:r>
            <w:r w:rsidRPr="005E385F">
              <w:rPr>
                <w:rFonts w:ascii="Verdana" w:hAnsi="Verdana"/>
                <w:sz w:val="20"/>
              </w:rPr>
              <w:instrText>"</w:instrText>
            </w:r>
            <w:r w:rsidRPr="005E385F">
              <w:rPr>
                <w:rFonts w:ascii="Verdana" w:hAnsi="Verdana"/>
                <w:sz w:val="20"/>
              </w:rPr>
              <w:fldChar w:fldCharType="end"/>
            </w:r>
            <w:r w:rsidRPr="005E385F">
              <w:rPr>
                <w:rFonts w:ascii="Verdana" w:hAnsi="Verdana"/>
                <w:bCs/>
                <w:sz w:val="20"/>
              </w:rPr>
              <w:t xml:space="preserve"> are not eligible as Internal Connections.</w:t>
            </w:r>
          </w:p>
        </w:tc>
      </w:tr>
      <w:tr w:rsidR="00F935B1" w:rsidRPr="005E385F" w14:paraId="0CA7A982" w14:textId="77777777" w:rsidTr="0083602C">
        <w:trPr>
          <w:trHeight w:val="159"/>
          <w:tblCellSpacing w:w="15" w:type="dxa"/>
        </w:trPr>
        <w:tc>
          <w:tcPr>
            <w:tcW w:w="1243" w:type="pct"/>
          </w:tcPr>
          <w:p w14:paraId="3A063F2D" w14:textId="77777777" w:rsidR="00F935B1" w:rsidRPr="005E385F" w:rsidRDefault="00F935B1" w:rsidP="0083602C">
            <w:pPr>
              <w:rPr>
                <w:rFonts w:ascii="Verdana" w:hAnsi="Verdana"/>
                <w:sz w:val="20"/>
              </w:rPr>
            </w:pPr>
            <w:r w:rsidRPr="005E385F">
              <w:rPr>
                <w:rFonts w:ascii="Verdana" w:hAnsi="Verdana"/>
                <w:sz w:val="20"/>
              </w:rPr>
              <w:t>Servers</w:t>
            </w:r>
            <w:r w:rsidRPr="005E385F">
              <w:rPr>
                <w:rFonts w:ascii="Verdana" w:hAnsi="Verdana"/>
                <w:sz w:val="20"/>
              </w:rPr>
              <w:fldChar w:fldCharType="begin"/>
            </w:r>
            <w:r w:rsidRPr="005E385F">
              <w:rPr>
                <w:rFonts w:ascii="Verdana" w:hAnsi="Verdana"/>
                <w:sz w:val="20"/>
              </w:rPr>
              <w:instrText>xe "Servers"</w:instrText>
            </w:r>
            <w:r w:rsidRPr="005E385F">
              <w:rPr>
                <w:rFonts w:ascii="Verdana" w:hAnsi="Verdana"/>
                <w:sz w:val="20"/>
              </w:rPr>
              <w:fldChar w:fldCharType="end"/>
            </w:r>
          </w:p>
          <w:p w14:paraId="1CB273FF" w14:textId="77777777" w:rsidR="00F935B1" w:rsidRPr="005E385F" w:rsidRDefault="00F935B1" w:rsidP="0083602C">
            <w:pPr>
              <w:rPr>
                <w:rFonts w:ascii="Verdana" w:hAnsi="Verdana"/>
                <w:sz w:val="20"/>
              </w:rPr>
            </w:pPr>
          </w:p>
          <w:p w14:paraId="0518BE87" w14:textId="77777777" w:rsidR="00F935B1" w:rsidRPr="005E385F" w:rsidRDefault="00F935B1" w:rsidP="0083602C">
            <w:pPr>
              <w:rPr>
                <w:rFonts w:ascii="Verdana" w:hAnsi="Verdana"/>
                <w:sz w:val="20"/>
              </w:rPr>
            </w:pPr>
          </w:p>
        </w:tc>
        <w:tc>
          <w:tcPr>
            <w:tcW w:w="3709" w:type="pct"/>
          </w:tcPr>
          <w:p w14:paraId="2152000F" w14:textId="77777777" w:rsidR="00F935B1" w:rsidRPr="005E385F" w:rsidRDefault="00F935B1" w:rsidP="0083602C">
            <w:pPr>
              <w:pStyle w:val="NormalWeb"/>
              <w:spacing w:before="0" w:beforeAutospacing="0" w:after="0"/>
              <w:rPr>
                <w:rFonts w:ascii="Verdana" w:hAnsi="Verdana"/>
                <w:bCs/>
                <w:sz w:val="20"/>
              </w:rPr>
            </w:pPr>
            <w:r w:rsidRPr="005E385F">
              <w:rPr>
                <w:rFonts w:ascii="Verdana" w:hAnsi="Verdana"/>
                <w:bCs/>
                <w:sz w:val="20"/>
              </w:rPr>
              <w:t xml:space="preserve">Computers used as </w:t>
            </w:r>
            <w:hyperlink w:anchor="Server" w:history="1">
              <w:r w:rsidRPr="005E385F">
                <w:rPr>
                  <w:rStyle w:val="Hyperlink"/>
                  <w:rFonts w:ascii="Verdana" w:hAnsi="Verdana"/>
                  <w:bCs/>
                  <w:sz w:val="20"/>
                </w:rPr>
                <w:t>servers</w:t>
              </w:r>
              <w:r w:rsidRPr="005E385F">
                <w:rPr>
                  <w:rFonts w:ascii="Verdana" w:hAnsi="Verdana"/>
                  <w:sz w:val="20"/>
                </w:rPr>
                <w:fldChar w:fldCharType="begin"/>
              </w:r>
              <w:r w:rsidRPr="005E385F">
                <w:rPr>
                  <w:rFonts w:ascii="Verdana" w:hAnsi="Verdana"/>
                  <w:sz w:val="20"/>
                </w:rPr>
                <w:instrText>xe "</w:instrText>
              </w:r>
              <w:r w:rsidRPr="005E385F">
                <w:rPr>
                  <w:rStyle w:val="Hyperlink"/>
                  <w:rFonts w:ascii="Verdana" w:hAnsi="Verdana"/>
                  <w:bCs/>
                  <w:sz w:val="20"/>
                </w:rPr>
                <w:instrText>Servers</w:instrText>
              </w:r>
              <w:r w:rsidRPr="005E385F">
                <w:rPr>
                  <w:rFonts w:ascii="Verdana" w:hAnsi="Verdana"/>
                  <w:sz w:val="20"/>
                </w:rPr>
                <w:instrText>"</w:instrText>
              </w:r>
              <w:r w:rsidRPr="005E385F">
                <w:rPr>
                  <w:rFonts w:ascii="Verdana" w:hAnsi="Verdana"/>
                  <w:sz w:val="20"/>
                </w:rPr>
                <w:fldChar w:fldCharType="end"/>
              </w:r>
            </w:hyperlink>
            <w:r w:rsidRPr="005E385F">
              <w:rPr>
                <w:rFonts w:ascii="Verdana" w:hAnsi="Verdana"/>
                <w:bCs/>
                <w:sz w:val="20"/>
              </w:rPr>
              <w:t xml:space="preserve"> or similar centralized functions are eligible if the use is necessary to transport information to the individual classrooms or public areas of a library.</w:t>
            </w:r>
          </w:p>
          <w:p w14:paraId="61D91012" w14:textId="77777777" w:rsidR="00F935B1" w:rsidRPr="005E385F" w:rsidRDefault="00F935B1" w:rsidP="0083602C">
            <w:pPr>
              <w:pStyle w:val="NormalWeb"/>
              <w:spacing w:before="0" w:beforeAutospacing="0" w:after="0"/>
              <w:rPr>
                <w:rFonts w:ascii="Verdana" w:hAnsi="Verdana"/>
                <w:bCs/>
                <w:sz w:val="20"/>
              </w:rPr>
            </w:pPr>
          </w:p>
          <w:p w14:paraId="5F4A6D76" w14:textId="77777777" w:rsidR="00F935B1" w:rsidRPr="005E385F" w:rsidRDefault="00F935B1" w:rsidP="0083602C">
            <w:pPr>
              <w:pStyle w:val="NormalWeb"/>
              <w:spacing w:before="0" w:beforeAutospacing="0" w:after="0"/>
              <w:rPr>
                <w:rFonts w:ascii="Verdana" w:hAnsi="Verdana"/>
                <w:bCs/>
                <w:sz w:val="20"/>
              </w:rPr>
            </w:pPr>
            <w:r w:rsidRPr="005E385F">
              <w:rPr>
                <w:rFonts w:ascii="Verdana" w:hAnsi="Verdana"/>
                <w:bCs/>
                <w:sz w:val="20"/>
              </w:rPr>
              <w:t>A server</w:t>
            </w:r>
            <w:r w:rsidRPr="005E385F">
              <w:rPr>
                <w:rFonts w:ascii="Verdana" w:hAnsi="Verdana"/>
                <w:sz w:val="20"/>
              </w:rPr>
              <w:fldChar w:fldCharType="begin"/>
            </w:r>
            <w:r w:rsidRPr="005E385F">
              <w:rPr>
                <w:rFonts w:ascii="Verdana" w:hAnsi="Verdana"/>
                <w:sz w:val="20"/>
              </w:rPr>
              <w:instrText>xe "Servers"</w:instrText>
            </w:r>
            <w:r w:rsidRPr="005E385F">
              <w:rPr>
                <w:rFonts w:ascii="Verdana" w:hAnsi="Verdana"/>
                <w:sz w:val="20"/>
              </w:rPr>
              <w:fldChar w:fldCharType="end"/>
            </w:r>
            <w:r w:rsidRPr="005E385F">
              <w:rPr>
                <w:rFonts w:ascii="Verdana" w:hAnsi="Verdana"/>
                <w:bCs/>
                <w:sz w:val="20"/>
              </w:rPr>
              <w:t xml:space="preserve"> may be eligible depending on how it is used.  An eligible server must serve as a conduit for information rather than as a source for content</w:t>
            </w:r>
            <w:r w:rsidRPr="005E385F">
              <w:rPr>
                <w:rFonts w:ascii="Verdana" w:hAnsi="Verdana"/>
                <w:sz w:val="20"/>
              </w:rPr>
              <w:fldChar w:fldCharType="begin"/>
            </w:r>
            <w:r w:rsidRPr="005E385F">
              <w:rPr>
                <w:rFonts w:ascii="Verdana" w:hAnsi="Verdana"/>
                <w:sz w:val="20"/>
              </w:rPr>
              <w:instrText>xe "Content"</w:instrText>
            </w:r>
            <w:r w:rsidRPr="005E385F">
              <w:rPr>
                <w:rFonts w:ascii="Verdana" w:hAnsi="Verdana"/>
                <w:sz w:val="20"/>
              </w:rPr>
              <w:fldChar w:fldCharType="end"/>
            </w:r>
            <w:r w:rsidRPr="005E385F">
              <w:rPr>
                <w:rFonts w:ascii="Verdana" w:hAnsi="Verdana"/>
                <w:bCs/>
                <w:sz w:val="20"/>
              </w:rPr>
              <w:t>.  Servers</w:t>
            </w:r>
            <w:r w:rsidRPr="005E385F">
              <w:rPr>
                <w:rFonts w:ascii="Verdana" w:hAnsi="Verdana"/>
                <w:sz w:val="20"/>
              </w:rPr>
              <w:fldChar w:fldCharType="begin"/>
            </w:r>
            <w:r w:rsidRPr="005E385F">
              <w:rPr>
                <w:rFonts w:ascii="Verdana" w:hAnsi="Verdana"/>
                <w:sz w:val="20"/>
              </w:rPr>
              <w:instrText>xe "Servers"</w:instrText>
            </w:r>
            <w:r w:rsidRPr="005E385F">
              <w:rPr>
                <w:rFonts w:ascii="Verdana" w:hAnsi="Verdana"/>
                <w:sz w:val="20"/>
              </w:rPr>
              <w:fldChar w:fldCharType="end"/>
            </w:r>
            <w:r w:rsidRPr="005E385F">
              <w:rPr>
                <w:rFonts w:ascii="Verdana" w:hAnsi="Verdana"/>
                <w:bCs/>
                <w:sz w:val="20"/>
              </w:rPr>
              <w:t xml:space="preserve"> typically provide multiple functions.  If servers</w:t>
            </w:r>
            <w:r w:rsidRPr="005E385F">
              <w:rPr>
                <w:rFonts w:ascii="Verdana" w:hAnsi="Verdana"/>
                <w:sz w:val="20"/>
              </w:rPr>
              <w:fldChar w:fldCharType="begin"/>
            </w:r>
            <w:r w:rsidRPr="005E385F">
              <w:rPr>
                <w:rFonts w:ascii="Verdana" w:hAnsi="Verdana"/>
                <w:sz w:val="20"/>
              </w:rPr>
              <w:instrText>xe "</w:instrText>
            </w:r>
            <w:r w:rsidRPr="005E385F">
              <w:rPr>
                <w:rStyle w:val="Hyperlink"/>
                <w:rFonts w:ascii="Verdana" w:hAnsi="Verdana"/>
                <w:bCs/>
                <w:sz w:val="20"/>
              </w:rPr>
              <w:instrText>Servers</w:instrText>
            </w:r>
            <w:r w:rsidRPr="005E385F">
              <w:rPr>
                <w:rFonts w:ascii="Verdana" w:hAnsi="Verdana"/>
                <w:sz w:val="20"/>
              </w:rPr>
              <w:instrText>"</w:instrText>
            </w:r>
            <w:r w:rsidRPr="005E385F">
              <w:rPr>
                <w:rFonts w:ascii="Verdana" w:hAnsi="Verdana"/>
                <w:sz w:val="20"/>
              </w:rPr>
              <w:fldChar w:fldCharType="end"/>
            </w:r>
            <w:r w:rsidRPr="005E385F">
              <w:rPr>
                <w:rFonts w:ascii="Verdana" w:hAnsi="Verdana"/>
                <w:bCs/>
                <w:sz w:val="20"/>
              </w:rPr>
              <w:t xml:space="preserve"> are used for both eligible and ineligible purposes, the cost of the ineligible portion must be removed by cost allocation.  The following servers are eligible:</w:t>
            </w:r>
          </w:p>
          <w:p w14:paraId="4556296C" w14:textId="77777777" w:rsidR="00F935B1" w:rsidRPr="005E385F" w:rsidRDefault="00F935B1" w:rsidP="0083602C">
            <w:pPr>
              <w:pStyle w:val="NormalWeb"/>
              <w:spacing w:before="0" w:beforeAutospacing="0" w:after="0"/>
              <w:ind w:left="567" w:hanging="270"/>
              <w:rPr>
                <w:rFonts w:ascii="Verdana" w:hAnsi="Verdana"/>
                <w:bCs/>
                <w:sz w:val="20"/>
              </w:rPr>
            </w:pPr>
          </w:p>
          <w:p w14:paraId="1580011C" w14:textId="77777777" w:rsidR="00F935B1" w:rsidRPr="005E385F" w:rsidRDefault="00A0395D" w:rsidP="00F935B1">
            <w:pPr>
              <w:pStyle w:val="NormalWeb"/>
              <w:numPr>
                <w:ilvl w:val="0"/>
                <w:numId w:val="18"/>
              </w:numPr>
              <w:spacing w:before="0" w:beforeAutospacing="0" w:after="0"/>
              <w:rPr>
                <w:rFonts w:ascii="Verdana" w:hAnsi="Verdana"/>
                <w:bCs/>
                <w:sz w:val="20"/>
              </w:rPr>
            </w:pPr>
            <w:hyperlink w:anchor="DHCP" w:history="1">
              <w:r w:rsidR="00F935B1" w:rsidRPr="005E385F">
                <w:rPr>
                  <w:rStyle w:val="Hyperlink"/>
                  <w:rFonts w:ascii="Verdana" w:hAnsi="Verdana"/>
                  <w:bCs/>
                  <w:sz w:val="20"/>
                </w:rPr>
                <w:t>Dynamic Host Configuration</w:t>
              </w:r>
              <w:r w:rsidR="00F935B1" w:rsidRPr="005E385F">
                <w:rPr>
                  <w:rFonts w:ascii="Verdana" w:hAnsi="Verdana"/>
                  <w:sz w:val="20"/>
                </w:rPr>
                <w:fldChar w:fldCharType="begin"/>
              </w:r>
              <w:r w:rsidR="00F935B1" w:rsidRPr="005E385F">
                <w:rPr>
                  <w:rFonts w:ascii="Verdana" w:hAnsi="Verdana"/>
                  <w:sz w:val="20"/>
                </w:rPr>
                <w:instrText>xe "Configuration"</w:instrText>
              </w:r>
              <w:r w:rsidR="00F935B1" w:rsidRPr="005E385F">
                <w:rPr>
                  <w:rFonts w:ascii="Verdana" w:hAnsi="Verdana"/>
                  <w:sz w:val="20"/>
                </w:rPr>
                <w:fldChar w:fldCharType="end"/>
              </w:r>
            </w:hyperlink>
            <w:r w:rsidR="00F935B1" w:rsidRPr="005E385F">
              <w:rPr>
                <w:rFonts w:ascii="Verdana" w:hAnsi="Verdana"/>
                <w:sz w:val="20"/>
              </w:rPr>
              <w:t xml:space="preserve"> Protocol (DHCP)</w:t>
            </w:r>
          </w:p>
          <w:p w14:paraId="6AB73FB9" w14:textId="77777777" w:rsidR="00F935B1" w:rsidRPr="005E385F" w:rsidRDefault="00A0395D" w:rsidP="00F935B1">
            <w:pPr>
              <w:pStyle w:val="NormalWeb"/>
              <w:numPr>
                <w:ilvl w:val="0"/>
                <w:numId w:val="18"/>
              </w:numPr>
              <w:spacing w:before="0" w:beforeAutospacing="0" w:after="0"/>
              <w:rPr>
                <w:rFonts w:ascii="Verdana" w:hAnsi="Verdana"/>
                <w:bCs/>
                <w:sz w:val="20"/>
              </w:rPr>
            </w:pPr>
            <w:hyperlink w:anchor="DNS" w:history="1">
              <w:r w:rsidR="00F935B1" w:rsidRPr="005E385F">
                <w:rPr>
                  <w:rStyle w:val="Hyperlink"/>
                  <w:rFonts w:ascii="Verdana" w:hAnsi="Verdana"/>
                  <w:bCs/>
                  <w:sz w:val="20"/>
                </w:rPr>
                <w:t>Domain Name</w:t>
              </w:r>
              <w:r w:rsidR="00F935B1" w:rsidRPr="005E385F">
                <w:rPr>
                  <w:rFonts w:ascii="Verdana" w:hAnsi="Verdana"/>
                  <w:sz w:val="20"/>
                </w:rPr>
                <w:fldChar w:fldCharType="begin"/>
              </w:r>
              <w:r w:rsidR="00F935B1" w:rsidRPr="005E385F">
                <w:rPr>
                  <w:rFonts w:ascii="Verdana" w:hAnsi="Verdana"/>
                  <w:sz w:val="20"/>
                </w:rPr>
                <w:instrText>xe "Domain Name"</w:instrText>
              </w:r>
              <w:r w:rsidR="00F935B1" w:rsidRPr="005E385F">
                <w:rPr>
                  <w:rFonts w:ascii="Verdana" w:hAnsi="Verdana"/>
                  <w:sz w:val="20"/>
                </w:rPr>
                <w:fldChar w:fldCharType="end"/>
              </w:r>
            </w:hyperlink>
            <w:r w:rsidR="00F935B1" w:rsidRPr="005E385F">
              <w:rPr>
                <w:rFonts w:ascii="Verdana" w:hAnsi="Verdana"/>
                <w:sz w:val="20"/>
              </w:rPr>
              <w:t xml:space="preserve"> Service (DNS)</w:t>
            </w:r>
          </w:p>
          <w:p w14:paraId="13149106" w14:textId="77777777" w:rsidR="00F935B1" w:rsidRPr="005E385F" w:rsidRDefault="00A0395D" w:rsidP="00F935B1">
            <w:pPr>
              <w:pStyle w:val="NormalWeb"/>
              <w:numPr>
                <w:ilvl w:val="0"/>
                <w:numId w:val="18"/>
              </w:numPr>
              <w:spacing w:before="0" w:beforeAutospacing="0" w:after="0"/>
              <w:rPr>
                <w:rFonts w:ascii="Verdana" w:hAnsi="Verdana"/>
                <w:bCs/>
                <w:sz w:val="20"/>
              </w:rPr>
            </w:pPr>
            <w:hyperlink w:anchor="EmailSoftware" w:history="1">
              <w:r w:rsidR="00F935B1" w:rsidRPr="005E385F">
                <w:rPr>
                  <w:rStyle w:val="Hyperlink"/>
                  <w:rFonts w:ascii="Verdana" w:hAnsi="Verdana"/>
                  <w:bCs/>
                  <w:sz w:val="20"/>
                </w:rPr>
                <w:t>E-mail</w:t>
              </w:r>
              <w:r w:rsidR="00F935B1" w:rsidRPr="005E385F">
                <w:rPr>
                  <w:rFonts w:ascii="Verdana" w:hAnsi="Verdana"/>
                  <w:sz w:val="20"/>
                </w:rPr>
                <w:fldChar w:fldCharType="begin"/>
              </w:r>
              <w:r w:rsidR="00F935B1" w:rsidRPr="005E385F">
                <w:rPr>
                  <w:rFonts w:ascii="Verdana" w:hAnsi="Verdana"/>
                  <w:sz w:val="20"/>
                </w:rPr>
                <w:instrText>xe "E-Mail"</w:instrText>
              </w:r>
              <w:r w:rsidR="00F935B1" w:rsidRPr="005E385F">
                <w:rPr>
                  <w:rFonts w:ascii="Verdana" w:hAnsi="Verdana"/>
                  <w:sz w:val="20"/>
                </w:rPr>
                <w:fldChar w:fldCharType="end"/>
              </w:r>
            </w:hyperlink>
          </w:p>
          <w:p w14:paraId="170C4D7A" w14:textId="77777777" w:rsidR="00F935B1" w:rsidRPr="005E385F" w:rsidRDefault="00A0395D" w:rsidP="00F935B1">
            <w:pPr>
              <w:pStyle w:val="NormalWeb"/>
              <w:numPr>
                <w:ilvl w:val="0"/>
                <w:numId w:val="18"/>
              </w:numPr>
              <w:spacing w:before="0" w:beforeAutospacing="0" w:after="0"/>
              <w:rPr>
                <w:rFonts w:ascii="Verdana" w:hAnsi="Verdana"/>
                <w:bCs/>
                <w:sz w:val="20"/>
              </w:rPr>
            </w:pPr>
            <w:hyperlink w:anchor="Firewall" w:history="1">
              <w:r w:rsidR="00F935B1" w:rsidRPr="005E385F">
                <w:rPr>
                  <w:rStyle w:val="Hyperlink"/>
                  <w:rFonts w:ascii="Verdana" w:hAnsi="Verdana"/>
                  <w:bCs/>
                  <w:sz w:val="20"/>
                </w:rPr>
                <w:t>Firewall</w:t>
              </w:r>
              <w:r w:rsidR="00F935B1" w:rsidRPr="005E385F">
                <w:rPr>
                  <w:rFonts w:ascii="Verdana" w:hAnsi="Verdana"/>
                  <w:sz w:val="20"/>
                </w:rPr>
                <w:fldChar w:fldCharType="begin"/>
              </w:r>
              <w:r w:rsidR="00F935B1" w:rsidRPr="005E385F">
                <w:rPr>
                  <w:rFonts w:ascii="Verdana" w:hAnsi="Verdana"/>
                  <w:sz w:val="20"/>
                </w:rPr>
                <w:instrText>xe "</w:instrText>
              </w:r>
              <w:r w:rsidR="00F935B1" w:rsidRPr="005E385F">
                <w:rPr>
                  <w:rStyle w:val="Hyperlink"/>
                  <w:rFonts w:ascii="Verdana" w:hAnsi="Verdana"/>
                  <w:bCs/>
                  <w:sz w:val="20"/>
                </w:rPr>
                <w:instrText>Firewall</w:instrText>
              </w:r>
              <w:r w:rsidR="00F935B1" w:rsidRPr="005E385F">
                <w:rPr>
                  <w:rFonts w:ascii="Verdana" w:hAnsi="Verdana"/>
                  <w:sz w:val="20"/>
                </w:rPr>
                <w:instrText>"</w:instrText>
              </w:r>
              <w:r w:rsidR="00F935B1" w:rsidRPr="005E385F">
                <w:rPr>
                  <w:rFonts w:ascii="Verdana" w:hAnsi="Verdana"/>
                  <w:sz w:val="20"/>
                </w:rPr>
                <w:fldChar w:fldCharType="end"/>
              </w:r>
            </w:hyperlink>
            <w:r w:rsidR="00F935B1" w:rsidRPr="005E385F">
              <w:rPr>
                <w:rFonts w:ascii="Verdana" w:hAnsi="Verdana"/>
                <w:sz w:val="20"/>
              </w:rPr>
              <w:t xml:space="preserve">, </w:t>
            </w:r>
            <w:r w:rsidR="00F935B1" w:rsidRPr="005E385F">
              <w:rPr>
                <w:rFonts w:ascii="Verdana" w:hAnsi="Verdana"/>
                <w:bCs/>
                <w:sz w:val="20"/>
              </w:rPr>
              <w:t xml:space="preserve">or </w:t>
            </w:r>
            <w:hyperlink w:anchor="ProxyServer" w:history="1">
              <w:r w:rsidR="00F935B1" w:rsidRPr="005E385F">
                <w:rPr>
                  <w:rStyle w:val="Hyperlink"/>
                  <w:rFonts w:ascii="Verdana" w:hAnsi="Verdana"/>
                  <w:bCs/>
                  <w:sz w:val="20"/>
                </w:rPr>
                <w:t>Proxy Server</w:t>
              </w:r>
              <w:r w:rsidR="00F935B1" w:rsidRPr="005E385F">
                <w:rPr>
                  <w:rFonts w:ascii="Verdana" w:hAnsi="Verdana"/>
                  <w:sz w:val="20"/>
                </w:rPr>
                <w:fldChar w:fldCharType="begin"/>
              </w:r>
              <w:r w:rsidR="00F935B1" w:rsidRPr="005E385F">
                <w:rPr>
                  <w:rFonts w:ascii="Verdana" w:hAnsi="Verdana"/>
                  <w:sz w:val="20"/>
                </w:rPr>
                <w:instrText>xe "</w:instrText>
              </w:r>
              <w:r w:rsidR="00F935B1" w:rsidRPr="005E385F">
                <w:rPr>
                  <w:rStyle w:val="Hyperlink"/>
                  <w:rFonts w:ascii="Verdana" w:hAnsi="Verdana"/>
                  <w:bCs/>
                  <w:sz w:val="20"/>
                </w:rPr>
                <w:instrText>Proxy Server</w:instrText>
              </w:r>
              <w:r w:rsidR="00F935B1" w:rsidRPr="005E385F">
                <w:rPr>
                  <w:rFonts w:ascii="Verdana" w:hAnsi="Verdana"/>
                  <w:sz w:val="20"/>
                </w:rPr>
                <w:instrText>"</w:instrText>
              </w:r>
              <w:r w:rsidR="00F935B1" w:rsidRPr="005E385F">
                <w:rPr>
                  <w:rFonts w:ascii="Verdana" w:hAnsi="Verdana"/>
                  <w:sz w:val="20"/>
                </w:rPr>
                <w:fldChar w:fldCharType="end"/>
              </w:r>
            </w:hyperlink>
          </w:p>
          <w:p w14:paraId="4E0500EF" w14:textId="77777777" w:rsidR="00F935B1" w:rsidRPr="005E385F" w:rsidRDefault="00F935B1" w:rsidP="0083602C">
            <w:pPr>
              <w:pStyle w:val="NormalWeb"/>
              <w:spacing w:before="0" w:beforeAutospacing="0" w:after="0"/>
              <w:rPr>
                <w:rFonts w:ascii="Verdana" w:hAnsi="Verdana"/>
                <w:bCs/>
                <w:sz w:val="20"/>
              </w:rPr>
            </w:pPr>
          </w:p>
          <w:p w14:paraId="3101B2D5" w14:textId="77777777" w:rsidR="00F935B1" w:rsidRPr="005E385F" w:rsidRDefault="00F935B1" w:rsidP="0083602C">
            <w:pPr>
              <w:pStyle w:val="NormalWeb"/>
              <w:spacing w:before="0" w:beforeAutospacing="0" w:after="0"/>
              <w:rPr>
                <w:rFonts w:ascii="Verdana" w:hAnsi="Verdana"/>
                <w:bCs/>
                <w:sz w:val="20"/>
              </w:rPr>
            </w:pPr>
            <w:r w:rsidRPr="005E385F">
              <w:rPr>
                <w:rFonts w:ascii="Verdana" w:hAnsi="Verdana"/>
                <w:bCs/>
                <w:sz w:val="20"/>
              </w:rPr>
              <w:t>The following servers</w:t>
            </w:r>
            <w:r w:rsidRPr="005E385F">
              <w:rPr>
                <w:rFonts w:ascii="Verdana" w:hAnsi="Verdana"/>
                <w:sz w:val="20"/>
              </w:rPr>
              <w:fldChar w:fldCharType="begin"/>
            </w:r>
            <w:r w:rsidRPr="005E385F">
              <w:rPr>
                <w:rFonts w:ascii="Verdana" w:hAnsi="Verdana"/>
                <w:sz w:val="20"/>
              </w:rPr>
              <w:instrText>xe "S</w:instrText>
            </w:r>
            <w:r w:rsidRPr="005E385F">
              <w:rPr>
                <w:rStyle w:val="Hyperlink"/>
                <w:rFonts w:ascii="Verdana" w:hAnsi="Verdana"/>
                <w:bCs/>
                <w:sz w:val="20"/>
              </w:rPr>
              <w:instrText>ervers</w:instrText>
            </w:r>
            <w:r w:rsidRPr="005E385F">
              <w:rPr>
                <w:rFonts w:ascii="Verdana" w:hAnsi="Verdana"/>
                <w:sz w:val="20"/>
              </w:rPr>
              <w:instrText>"</w:instrText>
            </w:r>
            <w:r w:rsidRPr="005E385F">
              <w:rPr>
                <w:rFonts w:ascii="Verdana" w:hAnsi="Verdana"/>
                <w:sz w:val="20"/>
              </w:rPr>
              <w:fldChar w:fldCharType="end"/>
            </w:r>
            <w:r w:rsidRPr="005E385F">
              <w:rPr>
                <w:rFonts w:ascii="Verdana" w:hAnsi="Verdana"/>
                <w:bCs/>
                <w:sz w:val="20"/>
              </w:rPr>
              <w:t xml:space="preserve"> are eligible only in certain cases:</w:t>
            </w:r>
          </w:p>
          <w:p w14:paraId="29365F56" w14:textId="77777777" w:rsidR="00F935B1" w:rsidRPr="005E385F" w:rsidRDefault="00F935B1" w:rsidP="0083602C">
            <w:pPr>
              <w:pStyle w:val="NormalWeb"/>
              <w:spacing w:before="0" w:beforeAutospacing="0" w:after="0"/>
              <w:ind w:firstLine="297"/>
              <w:rPr>
                <w:rFonts w:ascii="Verdana" w:hAnsi="Verdana"/>
                <w:bCs/>
                <w:sz w:val="20"/>
              </w:rPr>
            </w:pPr>
          </w:p>
          <w:p w14:paraId="25F4246F" w14:textId="77777777" w:rsidR="00F935B1" w:rsidRPr="005E385F" w:rsidRDefault="00A0395D" w:rsidP="0083602C">
            <w:pPr>
              <w:pStyle w:val="NormalWeb"/>
              <w:spacing w:before="0" w:beforeAutospacing="0" w:after="0"/>
              <w:ind w:left="567" w:hanging="270"/>
              <w:rPr>
                <w:rFonts w:ascii="Verdana" w:hAnsi="Verdana"/>
                <w:bCs/>
                <w:sz w:val="20"/>
              </w:rPr>
            </w:pPr>
            <w:hyperlink w:anchor="RemoteAccessComponents" w:history="1">
              <w:r w:rsidR="00F935B1" w:rsidRPr="005E385F">
                <w:rPr>
                  <w:rStyle w:val="Hyperlink"/>
                  <w:rFonts w:ascii="Verdana" w:hAnsi="Verdana"/>
                  <w:bCs/>
                  <w:sz w:val="20"/>
                </w:rPr>
                <w:t>Remote Access Components</w:t>
              </w:r>
              <w:r w:rsidR="00F935B1" w:rsidRPr="005E385F">
                <w:rPr>
                  <w:rFonts w:ascii="Verdana" w:hAnsi="Verdana"/>
                  <w:sz w:val="20"/>
                </w:rPr>
                <w:fldChar w:fldCharType="begin"/>
              </w:r>
              <w:r w:rsidR="00F935B1" w:rsidRPr="005E385F">
                <w:rPr>
                  <w:rFonts w:ascii="Verdana" w:hAnsi="Verdana"/>
                  <w:sz w:val="20"/>
                </w:rPr>
                <w:instrText>xe "</w:instrText>
              </w:r>
              <w:r w:rsidR="00F935B1" w:rsidRPr="005E385F">
                <w:rPr>
                  <w:rStyle w:val="Hyperlink"/>
                  <w:rFonts w:ascii="Verdana" w:hAnsi="Verdana"/>
                  <w:bCs/>
                  <w:sz w:val="20"/>
                </w:rPr>
                <w:instrText>Remote Access Components</w:instrText>
              </w:r>
              <w:r w:rsidR="00F935B1" w:rsidRPr="005E385F">
                <w:rPr>
                  <w:rFonts w:ascii="Verdana" w:hAnsi="Verdana"/>
                  <w:sz w:val="20"/>
                </w:rPr>
                <w:instrText>"</w:instrText>
              </w:r>
              <w:r w:rsidR="00F935B1" w:rsidRPr="005E385F">
                <w:rPr>
                  <w:rFonts w:ascii="Verdana" w:hAnsi="Verdana"/>
                  <w:sz w:val="20"/>
                </w:rPr>
                <w:fldChar w:fldCharType="end"/>
              </w:r>
            </w:hyperlink>
            <w:r w:rsidR="00F935B1" w:rsidRPr="005E385F">
              <w:rPr>
                <w:rFonts w:ascii="Verdana" w:hAnsi="Verdana"/>
                <w:bCs/>
                <w:sz w:val="20"/>
              </w:rPr>
              <w:t>— E</w:t>
            </w:r>
            <w:r w:rsidR="00F935B1" w:rsidRPr="005E385F">
              <w:rPr>
                <w:rFonts w:ascii="Verdana" w:hAnsi="Verdana"/>
                <w:sz w:val="20"/>
              </w:rPr>
              <w:t>ligible if steps are taken to ensure that remote</w:t>
            </w:r>
            <w:r w:rsidR="00F935B1" w:rsidRPr="005E385F">
              <w:rPr>
                <w:rFonts w:ascii="Verdana" w:hAnsi="Verdana"/>
                <w:sz w:val="20"/>
              </w:rPr>
              <w:fldChar w:fldCharType="begin"/>
            </w:r>
            <w:r w:rsidR="00F935B1" w:rsidRPr="005E385F">
              <w:rPr>
                <w:rFonts w:ascii="Verdana" w:hAnsi="Verdana"/>
                <w:sz w:val="20"/>
              </w:rPr>
              <w:instrText>xe "R</w:instrText>
            </w:r>
            <w:r w:rsidR="00F935B1" w:rsidRPr="005E385F">
              <w:rPr>
                <w:rFonts w:ascii="Verdana" w:hAnsi="Verdana"/>
                <w:bCs/>
                <w:sz w:val="20"/>
              </w:rPr>
              <w:instrText>emote Access</w:instrText>
            </w:r>
            <w:r w:rsidR="00F935B1" w:rsidRPr="005E385F">
              <w:rPr>
                <w:rFonts w:ascii="Verdana" w:hAnsi="Verdana"/>
                <w:sz w:val="20"/>
              </w:rPr>
              <w:instrText>"</w:instrText>
            </w:r>
            <w:r w:rsidR="00F935B1" w:rsidRPr="005E385F">
              <w:rPr>
                <w:rFonts w:ascii="Verdana" w:hAnsi="Verdana"/>
                <w:sz w:val="20"/>
              </w:rPr>
              <w:fldChar w:fldCharType="end"/>
            </w:r>
            <w:r w:rsidR="00F935B1" w:rsidRPr="005E385F">
              <w:rPr>
                <w:rFonts w:ascii="Verdana" w:hAnsi="Verdana"/>
                <w:sz w:val="20"/>
              </w:rPr>
              <w:t xml:space="preserve"> access is limited to connections from eligible locations.  Remote access</w:t>
            </w:r>
            <w:r w:rsidR="00F935B1" w:rsidRPr="005E385F">
              <w:rPr>
                <w:rFonts w:ascii="Verdana" w:hAnsi="Verdana"/>
                <w:sz w:val="20"/>
              </w:rPr>
              <w:fldChar w:fldCharType="begin"/>
            </w:r>
            <w:r w:rsidR="00F935B1" w:rsidRPr="005E385F">
              <w:rPr>
                <w:rFonts w:ascii="Verdana" w:hAnsi="Verdana"/>
                <w:sz w:val="20"/>
              </w:rPr>
              <w:instrText>xe "Remote Access"</w:instrText>
            </w:r>
            <w:r w:rsidR="00F935B1" w:rsidRPr="005E385F">
              <w:rPr>
                <w:rFonts w:ascii="Verdana" w:hAnsi="Verdana"/>
                <w:sz w:val="20"/>
              </w:rPr>
              <w:fldChar w:fldCharType="end"/>
            </w:r>
            <w:r w:rsidR="00F935B1" w:rsidRPr="005E385F">
              <w:rPr>
                <w:rFonts w:ascii="Verdana" w:hAnsi="Verdana"/>
                <w:sz w:val="20"/>
              </w:rPr>
              <w:t xml:space="preserve"> cannot be provided to homes or other non-school or non-library sites, other than eligible school-based residences and dorms. </w:t>
            </w:r>
          </w:p>
          <w:p w14:paraId="22268706" w14:textId="77777777" w:rsidR="00F935B1" w:rsidRPr="005E385F" w:rsidRDefault="00A0395D" w:rsidP="0083602C">
            <w:pPr>
              <w:pStyle w:val="NormalWeb"/>
              <w:spacing w:before="0" w:beforeAutospacing="0" w:after="0"/>
              <w:ind w:left="567" w:hanging="270"/>
              <w:rPr>
                <w:rFonts w:ascii="Verdana" w:hAnsi="Verdana"/>
                <w:bCs/>
                <w:sz w:val="20"/>
              </w:rPr>
            </w:pPr>
            <w:hyperlink w:anchor="TerminalServer" w:history="1">
              <w:r w:rsidR="00F935B1" w:rsidRPr="005E385F">
                <w:rPr>
                  <w:rStyle w:val="Hyperlink"/>
                  <w:rFonts w:ascii="Verdana" w:hAnsi="Verdana"/>
                  <w:bCs/>
                  <w:sz w:val="20"/>
                </w:rPr>
                <w:t>Terminal Server</w:t>
              </w:r>
              <w:r w:rsidR="00F935B1" w:rsidRPr="005E385F">
                <w:rPr>
                  <w:rFonts w:ascii="Verdana" w:hAnsi="Verdana"/>
                  <w:sz w:val="20"/>
                </w:rPr>
                <w:fldChar w:fldCharType="begin"/>
              </w:r>
              <w:r w:rsidR="00F935B1" w:rsidRPr="005E385F">
                <w:rPr>
                  <w:rFonts w:ascii="Verdana" w:hAnsi="Verdana"/>
                  <w:sz w:val="20"/>
                </w:rPr>
                <w:instrText>xe "</w:instrText>
              </w:r>
              <w:r w:rsidR="00F935B1" w:rsidRPr="005E385F">
                <w:rPr>
                  <w:rStyle w:val="Hyperlink"/>
                  <w:rFonts w:ascii="Verdana" w:hAnsi="Verdana"/>
                  <w:bCs/>
                  <w:sz w:val="20"/>
                </w:rPr>
                <w:instrText>Terminal Server</w:instrText>
              </w:r>
              <w:r w:rsidR="00F935B1" w:rsidRPr="005E385F">
                <w:rPr>
                  <w:rFonts w:ascii="Verdana" w:hAnsi="Verdana"/>
                  <w:sz w:val="20"/>
                </w:rPr>
                <w:instrText>"</w:instrText>
              </w:r>
              <w:r w:rsidR="00F935B1" w:rsidRPr="005E385F">
                <w:rPr>
                  <w:rFonts w:ascii="Verdana" w:hAnsi="Verdana"/>
                  <w:sz w:val="20"/>
                </w:rPr>
                <w:fldChar w:fldCharType="end"/>
              </w:r>
            </w:hyperlink>
            <w:r w:rsidR="00F935B1" w:rsidRPr="005E385F">
              <w:rPr>
                <w:rFonts w:ascii="Verdana" w:hAnsi="Verdana"/>
                <w:bCs/>
                <w:sz w:val="20"/>
              </w:rPr>
              <w:t>— Eligible to the extent that the use meets the other eligible server</w:t>
            </w:r>
            <w:r w:rsidR="00F935B1" w:rsidRPr="005E385F">
              <w:rPr>
                <w:rFonts w:ascii="Verdana" w:hAnsi="Verdana"/>
                <w:sz w:val="20"/>
              </w:rPr>
              <w:fldChar w:fldCharType="begin"/>
            </w:r>
            <w:r w:rsidR="00F935B1" w:rsidRPr="005E385F">
              <w:rPr>
                <w:rFonts w:ascii="Verdana" w:hAnsi="Verdana"/>
                <w:sz w:val="20"/>
              </w:rPr>
              <w:instrText>xe "Servers"</w:instrText>
            </w:r>
            <w:r w:rsidR="00F935B1" w:rsidRPr="005E385F">
              <w:rPr>
                <w:rFonts w:ascii="Verdana" w:hAnsi="Verdana"/>
                <w:sz w:val="20"/>
              </w:rPr>
              <w:fldChar w:fldCharType="end"/>
            </w:r>
            <w:r w:rsidR="00F935B1" w:rsidRPr="005E385F">
              <w:rPr>
                <w:rFonts w:ascii="Verdana" w:hAnsi="Verdana"/>
                <w:bCs/>
                <w:sz w:val="20"/>
              </w:rPr>
              <w:t xml:space="preserve"> types indicated in this section, but not eligible as a source for ineligible software</w:t>
            </w:r>
            <w:r w:rsidR="00F935B1" w:rsidRPr="005E385F">
              <w:rPr>
                <w:rFonts w:ascii="Verdana" w:hAnsi="Verdana"/>
                <w:sz w:val="20"/>
              </w:rPr>
              <w:fldChar w:fldCharType="begin"/>
            </w:r>
            <w:r w:rsidR="00F935B1" w:rsidRPr="005E385F">
              <w:rPr>
                <w:rFonts w:ascii="Verdana" w:hAnsi="Verdana"/>
                <w:sz w:val="20"/>
              </w:rPr>
              <w:instrText>xe "Software"</w:instrText>
            </w:r>
            <w:r w:rsidR="00F935B1" w:rsidRPr="005E385F">
              <w:rPr>
                <w:rFonts w:ascii="Verdana" w:hAnsi="Verdana"/>
                <w:sz w:val="20"/>
              </w:rPr>
              <w:fldChar w:fldCharType="end"/>
            </w:r>
            <w:r w:rsidR="00F935B1" w:rsidRPr="005E385F">
              <w:rPr>
                <w:rFonts w:ascii="Verdana" w:hAnsi="Verdana"/>
                <w:bCs/>
                <w:sz w:val="20"/>
              </w:rPr>
              <w:t xml:space="preserve"> applications</w:t>
            </w:r>
            <w:r w:rsidR="00F935B1" w:rsidRPr="005E385F">
              <w:rPr>
                <w:rFonts w:ascii="Verdana" w:hAnsi="Verdana"/>
                <w:sz w:val="20"/>
              </w:rPr>
              <w:fldChar w:fldCharType="begin"/>
            </w:r>
            <w:r w:rsidR="00F935B1" w:rsidRPr="005E385F">
              <w:rPr>
                <w:rFonts w:ascii="Verdana" w:hAnsi="Verdana"/>
                <w:sz w:val="20"/>
              </w:rPr>
              <w:instrText>xe "Software</w:instrText>
            </w:r>
            <w:r w:rsidR="00F935B1" w:rsidRPr="005E385F">
              <w:rPr>
                <w:rFonts w:ascii="Verdana" w:hAnsi="Verdana"/>
                <w:bCs/>
                <w:sz w:val="20"/>
              </w:rPr>
              <w:instrText xml:space="preserve"> Applications</w:instrText>
            </w:r>
            <w:r w:rsidR="00F935B1" w:rsidRPr="005E385F">
              <w:rPr>
                <w:rFonts w:ascii="Verdana" w:hAnsi="Verdana"/>
                <w:sz w:val="20"/>
              </w:rPr>
              <w:instrText>"</w:instrText>
            </w:r>
            <w:r w:rsidR="00F935B1" w:rsidRPr="005E385F">
              <w:rPr>
                <w:rFonts w:ascii="Verdana" w:hAnsi="Verdana"/>
                <w:sz w:val="20"/>
              </w:rPr>
              <w:fldChar w:fldCharType="end"/>
            </w:r>
            <w:r w:rsidR="00F935B1" w:rsidRPr="005E385F">
              <w:rPr>
                <w:rFonts w:ascii="Verdana" w:hAnsi="Verdana"/>
                <w:bCs/>
                <w:sz w:val="20"/>
              </w:rPr>
              <w:t xml:space="preserve"> or other ineligible uses.</w:t>
            </w:r>
          </w:p>
          <w:p w14:paraId="3B16BCB5" w14:textId="77777777" w:rsidR="00F935B1" w:rsidRPr="005E385F" w:rsidRDefault="00A0395D" w:rsidP="0083602C">
            <w:pPr>
              <w:pStyle w:val="NormalWeb"/>
              <w:spacing w:before="0" w:beforeAutospacing="0" w:after="0"/>
              <w:ind w:left="567" w:hanging="270"/>
              <w:rPr>
                <w:rFonts w:ascii="Verdana" w:hAnsi="Verdana"/>
                <w:bCs/>
                <w:sz w:val="20"/>
              </w:rPr>
            </w:pPr>
            <w:hyperlink w:anchor="WebServer" w:history="1">
              <w:r w:rsidR="00F935B1" w:rsidRPr="005E385F">
                <w:rPr>
                  <w:rStyle w:val="Hyperlink"/>
                  <w:rFonts w:ascii="Verdana" w:hAnsi="Verdana"/>
                  <w:bCs/>
                  <w:sz w:val="20"/>
                </w:rPr>
                <w:t>Web Server</w:t>
              </w:r>
              <w:r w:rsidR="00F935B1" w:rsidRPr="005E385F">
                <w:rPr>
                  <w:rFonts w:ascii="Verdana" w:hAnsi="Verdana"/>
                  <w:sz w:val="20"/>
                </w:rPr>
                <w:fldChar w:fldCharType="begin"/>
              </w:r>
              <w:r w:rsidR="00F935B1" w:rsidRPr="005E385F">
                <w:rPr>
                  <w:rFonts w:ascii="Verdana" w:hAnsi="Verdana"/>
                  <w:sz w:val="20"/>
                </w:rPr>
                <w:instrText>xe "</w:instrText>
              </w:r>
              <w:r w:rsidR="00F935B1" w:rsidRPr="005E385F">
                <w:rPr>
                  <w:rStyle w:val="Hyperlink"/>
                  <w:rFonts w:ascii="Verdana" w:hAnsi="Verdana"/>
                  <w:bCs/>
                  <w:sz w:val="20"/>
                </w:rPr>
                <w:instrText>Web Server</w:instrText>
              </w:r>
              <w:r w:rsidR="00F935B1" w:rsidRPr="005E385F">
                <w:rPr>
                  <w:rFonts w:ascii="Verdana" w:hAnsi="Verdana"/>
                  <w:sz w:val="20"/>
                </w:rPr>
                <w:instrText>"</w:instrText>
              </w:r>
              <w:r w:rsidR="00F935B1" w:rsidRPr="005E385F">
                <w:rPr>
                  <w:rFonts w:ascii="Verdana" w:hAnsi="Verdana"/>
                  <w:sz w:val="20"/>
                </w:rPr>
                <w:fldChar w:fldCharType="end"/>
              </w:r>
            </w:hyperlink>
            <w:r w:rsidR="00F935B1" w:rsidRPr="005E385F">
              <w:rPr>
                <w:rFonts w:ascii="Verdana" w:hAnsi="Verdana"/>
                <w:bCs/>
                <w:sz w:val="20"/>
              </w:rPr>
              <w:t>— Eligible if used to display content</w:t>
            </w:r>
            <w:r w:rsidR="00F935B1" w:rsidRPr="005E385F">
              <w:rPr>
                <w:rFonts w:ascii="Verdana" w:hAnsi="Verdana"/>
                <w:sz w:val="20"/>
              </w:rPr>
              <w:fldChar w:fldCharType="begin"/>
            </w:r>
            <w:r w:rsidR="00F935B1" w:rsidRPr="005E385F">
              <w:rPr>
                <w:rFonts w:ascii="Verdana" w:hAnsi="Verdana"/>
                <w:sz w:val="20"/>
              </w:rPr>
              <w:instrText>xe "Content"</w:instrText>
            </w:r>
            <w:r w:rsidR="00F935B1" w:rsidRPr="005E385F">
              <w:rPr>
                <w:rFonts w:ascii="Verdana" w:hAnsi="Verdana"/>
                <w:sz w:val="20"/>
              </w:rPr>
              <w:fldChar w:fldCharType="end"/>
            </w:r>
            <w:r w:rsidR="00F935B1" w:rsidRPr="005E385F">
              <w:rPr>
                <w:rFonts w:ascii="Verdana" w:hAnsi="Verdana"/>
                <w:bCs/>
                <w:sz w:val="20"/>
              </w:rPr>
              <w:t xml:space="preserve"> to users of the Internet,</w:t>
            </w:r>
            <w:r w:rsidR="00F935B1" w:rsidRPr="005E385F">
              <w:rPr>
                <w:rFonts w:ascii="Verdana" w:hAnsi="Verdana"/>
                <w:sz w:val="20"/>
              </w:rPr>
              <w:fldChar w:fldCharType="begin"/>
            </w:r>
            <w:r w:rsidR="00F935B1" w:rsidRPr="005E385F">
              <w:rPr>
                <w:rFonts w:ascii="Verdana" w:hAnsi="Verdana"/>
                <w:sz w:val="20"/>
              </w:rPr>
              <w:instrText>xe "Internet"</w:instrText>
            </w:r>
            <w:r w:rsidR="00F935B1" w:rsidRPr="005E385F">
              <w:rPr>
                <w:rFonts w:ascii="Verdana" w:hAnsi="Verdana"/>
                <w:sz w:val="20"/>
              </w:rPr>
              <w:fldChar w:fldCharType="end"/>
            </w:r>
            <w:r w:rsidR="00F935B1" w:rsidRPr="005E385F">
              <w:rPr>
                <w:rFonts w:ascii="Verdana" w:hAnsi="Verdana"/>
                <w:bCs/>
                <w:sz w:val="20"/>
              </w:rPr>
              <w:t xml:space="preserve"> but not eligible as a source for software</w:t>
            </w:r>
            <w:r w:rsidR="00F935B1" w:rsidRPr="005E385F">
              <w:rPr>
                <w:rFonts w:ascii="Verdana" w:hAnsi="Verdana"/>
                <w:sz w:val="20"/>
              </w:rPr>
              <w:fldChar w:fldCharType="begin"/>
            </w:r>
            <w:r w:rsidR="00F935B1" w:rsidRPr="005E385F">
              <w:rPr>
                <w:rFonts w:ascii="Verdana" w:hAnsi="Verdana"/>
                <w:sz w:val="20"/>
              </w:rPr>
              <w:instrText>xe "Software"</w:instrText>
            </w:r>
            <w:r w:rsidR="00F935B1" w:rsidRPr="005E385F">
              <w:rPr>
                <w:rFonts w:ascii="Verdana" w:hAnsi="Verdana"/>
                <w:sz w:val="20"/>
              </w:rPr>
              <w:fldChar w:fldCharType="end"/>
            </w:r>
            <w:r w:rsidR="00F935B1" w:rsidRPr="005E385F">
              <w:rPr>
                <w:rFonts w:ascii="Verdana" w:hAnsi="Verdana"/>
                <w:bCs/>
                <w:sz w:val="20"/>
              </w:rPr>
              <w:t xml:space="preserve"> applications</w:t>
            </w:r>
            <w:r w:rsidR="00F935B1" w:rsidRPr="005E385F">
              <w:rPr>
                <w:rFonts w:ascii="Verdana" w:hAnsi="Verdana"/>
                <w:sz w:val="20"/>
              </w:rPr>
              <w:fldChar w:fldCharType="begin"/>
            </w:r>
            <w:r w:rsidR="00F935B1" w:rsidRPr="005E385F">
              <w:rPr>
                <w:rFonts w:ascii="Verdana" w:hAnsi="Verdana"/>
                <w:sz w:val="20"/>
              </w:rPr>
              <w:instrText>xe "S</w:instrText>
            </w:r>
            <w:r w:rsidR="00F935B1" w:rsidRPr="005E385F">
              <w:rPr>
                <w:rFonts w:ascii="Verdana" w:hAnsi="Verdana"/>
                <w:bCs/>
                <w:sz w:val="20"/>
              </w:rPr>
              <w:instrText>oftware Applications</w:instrText>
            </w:r>
            <w:r w:rsidR="00F935B1" w:rsidRPr="005E385F">
              <w:rPr>
                <w:rFonts w:ascii="Verdana" w:hAnsi="Verdana"/>
                <w:sz w:val="20"/>
              </w:rPr>
              <w:instrText>"</w:instrText>
            </w:r>
            <w:r w:rsidR="00F935B1" w:rsidRPr="005E385F">
              <w:rPr>
                <w:rFonts w:ascii="Verdana" w:hAnsi="Verdana"/>
                <w:sz w:val="20"/>
              </w:rPr>
              <w:fldChar w:fldCharType="end"/>
            </w:r>
            <w:r w:rsidR="00F935B1" w:rsidRPr="005E385F">
              <w:rPr>
                <w:rFonts w:ascii="Verdana" w:hAnsi="Verdana"/>
                <w:bCs/>
                <w:sz w:val="20"/>
              </w:rPr>
              <w:t>, database functions, or storage</w:t>
            </w:r>
            <w:r w:rsidR="00F935B1" w:rsidRPr="005E385F">
              <w:rPr>
                <w:rFonts w:ascii="Verdana" w:hAnsi="Verdana"/>
                <w:sz w:val="20"/>
              </w:rPr>
              <w:fldChar w:fldCharType="begin"/>
            </w:r>
            <w:r w:rsidR="00F935B1" w:rsidRPr="005E385F">
              <w:rPr>
                <w:rFonts w:ascii="Verdana" w:hAnsi="Verdana"/>
                <w:sz w:val="20"/>
              </w:rPr>
              <w:instrText>xe "Storage"</w:instrText>
            </w:r>
            <w:r w:rsidR="00F935B1" w:rsidRPr="005E385F">
              <w:rPr>
                <w:rFonts w:ascii="Verdana" w:hAnsi="Verdana"/>
                <w:sz w:val="20"/>
              </w:rPr>
              <w:fldChar w:fldCharType="end"/>
            </w:r>
            <w:r w:rsidR="00F935B1" w:rsidRPr="005E385F">
              <w:rPr>
                <w:rFonts w:ascii="Verdana" w:hAnsi="Verdana"/>
                <w:bCs/>
                <w:sz w:val="20"/>
              </w:rPr>
              <w:t xml:space="preserve"> of end-user files.</w:t>
            </w:r>
          </w:p>
          <w:p w14:paraId="72524930" w14:textId="77777777" w:rsidR="00F935B1" w:rsidRPr="005E385F" w:rsidRDefault="00F935B1" w:rsidP="0083602C">
            <w:pPr>
              <w:pStyle w:val="NormalWeb"/>
              <w:spacing w:before="0" w:beforeAutospacing="0" w:after="0"/>
              <w:rPr>
                <w:rFonts w:ascii="Verdana" w:hAnsi="Verdana"/>
                <w:bCs/>
                <w:sz w:val="20"/>
              </w:rPr>
            </w:pPr>
          </w:p>
          <w:p w14:paraId="59CEA3AF" w14:textId="77777777" w:rsidR="00F935B1" w:rsidRPr="005E385F" w:rsidRDefault="00F935B1" w:rsidP="0083602C">
            <w:pPr>
              <w:pStyle w:val="NormalWeb"/>
              <w:spacing w:before="0" w:beforeAutospacing="0" w:after="0"/>
              <w:rPr>
                <w:rFonts w:ascii="Verdana" w:hAnsi="Verdana"/>
                <w:bCs/>
                <w:sz w:val="20"/>
              </w:rPr>
            </w:pPr>
            <w:r w:rsidRPr="005E385F">
              <w:rPr>
                <w:rFonts w:ascii="Verdana" w:hAnsi="Verdana"/>
                <w:bCs/>
                <w:sz w:val="20"/>
              </w:rPr>
              <w:t xml:space="preserve">One </w:t>
            </w:r>
            <w:hyperlink w:anchor="Monitor" w:history="1">
              <w:r w:rsidRPr="005E385F">
                <w:rPr>
                  <w:rStyle w:val="Hyperlink"/>
                  <w:rFonts w:ascii="Verdana" w:hAnsi="Verdana"/>
                  <w:bCs/>
                  <w:sz w:val="20"/>
                </w:rPr>
                <w:t>monitor</w:t>
              </w:r>
              <w:r w:rsidRPr="005E385F">
                <w:rPr>
                  <w:rFonts w:ascii="Verdana" w:hAnsi="Verdana"/>
                  <w:sz w:val="20"/>
                </w:rPr>
                <w:fldChar w:fldCharType="begin"/>
              </w:r>
              <w:r w:rsidRPr="005E385F">
                <w:rPr>
                  <w:rFonts w:ascii="Verdana" w:hAnsi="Verdana"/>
                  <w:sz w:val="20"/>
                </w:rPr>
                <w:instrText>xe "M</w:instrText>
              </w:r>
              <w:r w:rsidRPr="005E385F">
                <w:rPr>
                  <w:rStyle w:val="Hyperlink"/>
                  <w:rFonts w:ascii="Verdana" w:hAnsi="Verdana"/>
                  <w:bCs/>
                  <w:sz w:val="20"/>
                </w:rPr>
                <w:instrText>onitor</w:instrText>
              </w:r>
              <w:r w:rsidRPr="005E385F">
                <w:rPr>
                  <w:rFonts w:ascii="Verdana" w:hAnsi="Verdana"/>
                  <w:sz w:val="20"/>
                </w:rPr>
                <w:instrText>"</w:instrText>
              </w:r>
              <w:r w:rsidRPr="005E385F">
                <w:rPr>
                  <w:rFonts w:ascii="Verdana" w:hAnsi="Verdana"/>
                  <w:sz w:val="20"/>
                </w:rPr>
                <w:fldChar w:fldCharType="end"/>
              </w:r>
            </w:hyperlink>
            <w:r w:rsidRPr="005E385F">
              <w:rPr>
                <w:rFonts w:ascii="Verdana" w:hAnsi="Verdana"/>
                <w:bCs/>
                <w:sz w:val="20"/>
              </w:rPr>
              <w:t xml:space="preserve"> per eligible server</w:t>
            </w:r>
            <w:r w:rsidRPr="005E385F">
              <w:rPr>
                <w:rFonts w:ascii="Verdana" w:hAnsi="Verdana"/>
                <w:sz w:val="20"/>
              </w:rPr>
              <w:fldChar w:fldCharType="begin"/>
            </w:r>
            <w:r w:rsidRPr="005E385F">
              <w:rPr>
                <w:rFonts w:ascii="Verdana" w:hAnsi="Verdana"/>
                <w:sz w:val="20"/>
              </w:rPr>
              <w:instrText>xe "Servers"</w:instrText>
            </w:r>
            <w:r w:rsidRPr="005E385F">
              <w:rPr>
                <w:rFonts w:ascii="Verdana" w:hAnsi="Verdana"/>
                <w:sz w:val="20"/>
              </w:rPr>
              <w:fldChar w:fldCharType="end"/>
            </w:r>
            <w:r w:rsidRPr="005E385F">
              <w:rPr>
                <w:rFonts w:ascii="Verdana" w:hAnsi="Verdana"/>
                <w:bCs/>
                <w:sz w:val="20"/>
              </w:rPr>
              <w:t xml:space="preserve"> or other eligible component requiring a visual display is eligible for discount.  However, special-purpose devices, such as large screen monitors, are not eligible. </w:t>
            </w:r>
          </w:p>
          <w:p w14:paraId="676A43F8" w14:textId="77777777" w:rsidR="00F935B1" w:rsidRPr="005E385F" w:rsidRDefault="00F935B1" w:rsidP="0083602C">
            <w:pPr>
              <w:pStyle w:val="NormalWeb"/>
              <w:spacing w:before="0" w:beforeAutospacing="0" w:after="0"/>
              <w:rPr>
                <w:rFonts w:ascii="Verdana" w:hAnsi="Verdana"/>
                <w:bCs/>
                <w:sz w:val="20"/>
              </w:rPr>
            </w:pPr>
          </w:p>
          <w:p w14:paraId="72BE614D" w14:textId="77777777" w:rsidR="00F935B1" w:rsidRPr="005E385F" w:rsidRDefault="00F935B1" w:rsidP="0083602C">
            <w:pPr>
              <w:pStyle w:val="NormalWeb"/>
              <w:spacing w:before="0" w:beforeAutospacing="0" w:after="0"/>
              <w:rPr>
                <w:rFonts w:ascii="Verdana" w:hAnsi="Verdana"/>
                <w:bCs/>
                <w:sz w:val="20"/>
              </w:rPr>
            </w:pPr>
            <w:r w:rsidRPr="005E385F">
              <w:rPr>
                <w:rFonts w:ascii="Verdana" w:hAnsi="Verdana"/>
                <w:bCs/>
                <w:sz w:val="20"/>
              </w:rPr>
              <w:t xml:space="preserve">A </w:t>
            </w:r>
            <w:hyperlink w:anchor="KVMSwitch" w:history="1">
              <w:r w:rsidRPr="005E385F">
                <w:rPr>
                  <w:rStyle w:val="Hyperlink"/>
                  <w:rFonts w:ascii="Verdana" w:hAnsi="Verdana"/>
                  <w:bCs/>
                  <w:sz w:val="20"/>
                </w:rPr>
                <w:t>KVM switch</w:t>
              </w:r>
              <w:r w:rsidRPr="005E385F">
                <w:rPr>
                  <w:rFonts w:ascii="Verdana" w:hAnsi="Verdana"/>
                  <w:sz w:val="20"/>
                </w:rPr>
                <w:fldChar w:fldCharType="begin"/>
              </w:r>
              <w:r w:rsidRPr="005E385F">
                <w:rPr>
                  <w:rFonts w:ascii="Verdana" w:hAnsi="Verdana"/>
                  <w:sz w:val="20"/>
                </w:rPr>
                <w:instrText>xe "</w:instrText>
              </w:r>
              <w:r w:rsidRPr="005E385F">
                <w:rPr>
                  <w:rStyle w:val="Hyperlink"/>
                  <w:rFonts w:ascii="Verdana" w:hAnsi="Verdana"/>
                  <w:bCs/>
                  <w:sz w:val="20"/>
                </w:rPr>
                <w:instrText>KVM Switch</w:instrText>
              </w:r>
              <w:r w:rsidRPr="005E385F">
                <w:rPr>
                  <w:rFonts w:ascii="Verdana" w:hAnsi="Verdana"/>
                  <w:sz w:val="20"/>
                </w:rPr>
                <w:instrText>"</w:instrText>
              </w:r>
              <w:r w:rsidRPr="005E385F">
                <w:rPr>
                  <w:rFonts w:ascii="Verdana" w:hAnsi="Verdana"/>
                  <w:sz w:val="20"/>
                </w:rPr>
                <w:fldChar w:fldCharType="end"/>
              </w:r>
            </w:hyperlink>
            <w:r w:rsidRPr="005E385F">
              <w:rPr>
                <w:rFonts w:ascii="Verdana" w:hAnsi="Verdana"/>
                <w:bCs/>
                <w:sz w:val="20"/>
              </w:rPr>
              <w:t xml:space="preserve"> (“keyboard</w:t>
            </w:r>
            <w:r w:rsidRPr="005E385F">
              <w:rPr>
                <w:rFonts w:ascii="Verdana" w:hAnsi="Verdana"/>
                <w:sz w:val="20"/>
              </w:rPr>
              <w:fldChar w:fldCharType="begin"/>
            </w:r>
            <w:r w:rsidRPr="005E385F">
              <w:rPr>
                <w:rFonts w:ascii="Verdana" w:hAnsi="Verdana"/>
                <w:sz w:val="20"/>
              </w:rPr>
              <w:instrText>xe "K</w:instrText>
            </w:r>
            <w:r w:rsidRPr="005E385F">
              <w:rPr>
                <w:rFonts w:ascii="Verdana" w:hAnsi="Verdana"/>
                <w:bCs/>
                <w:sz w:val="20"/>
              </w:rPr>
              <w:instrText>eyboard</w:instrText>
            </w:r>
            <w:r w:rsidRPr="005E385F">
              <w:rPr>
                <w:rFonts w:ascii="Verdana" w:hAnsi="Verdana"/>
                <w:sz w:val="20"/>
              </w:rPr>
              <w:instrText>"</w:instrText>
            </w:r>
            <w:r w:rsidRPr="005E385F">
              <w:rPr>
                <w:rFonts w:ascii="Verdana" w:hAnsi="Verdana"/>
                <w:sz w:val="20"/>
              </w:rPr>
              <w:fldChar w:fldCharType="end"/>
            </w:r>
            <w:r w:rsidRPr="005E385F">
              <w:rPr>
                <w:rFonts w:ascii="Verdana" w:hAnsi="Verdana"/>
                <w:bCs/>
                <w:sz w:val="20"/>
              </w:rPr>
              <w:t>-video</w:t>
            </w:r>
            <w:r w:rsidRPr="005E385F">
              <w:rPr>
                <w:rFonts w:ascii="Verdana" w:hAnsi="Verdana"/>
                <w:sz w:val="20"/>
              </w:rPr>
              <w:fldChar w:fldCharType="begin"/>
            </w:r>
            <w:r w:rsidRPr="005E385F">
              <w:rPr>
                <w:rFonts w:ascii="Verdana" w:hAnsi="Verdana"/>
                <w:sz w:val="20"/>
              </w:rPr>
              <w:instrText>xe "V</w:instrText>
            </w:r>
            <w:r w:rsidRPr="005E385F">
              <w:rPr>
                <w:rFonts w:ascii="Verdana" w:hAnsi="Verdana"/>
                <w:bCs/>
                <w:sz w:val="20"/>
              </w:rPr>
              <w:instrText>ideo</w:instrText>
            </w:r>
            <w:r w:rsidRPr="005E385F">
              <w:rPr>
                <w:rFonts w:ascii="Verdana" w:hAnsi="Verdana"/>
                <w:sz w:val="20"/>
              </w:rPr>
              <w:instrText>"</w:instrText>
            </w:r>
            <w:r w:rsidRPr="005E385F">
              <w:rPr>
                <w:rFonts w:ascii="Verdana" w:hAnsi="Verdana"/>
                <w:sz w:val="20"/>
              </w:rPr>
              <w:fldChar w:fldCharType="end"/>
            </w:r>
            <w:r w:rsidRPr="005E385F">
              <w:rPr>
                <w:rFonts w:ascii="Verdana" w:hAnsi="Verdana"/>
                <w:bCs/>
                <w:sz w:val="20"/>
              </w:rPr>
              <w:t>-mouse” switch</w:t>
            </w:r>
            <w:r w:rsidRPr="005E385F">
              <w:rPr>
                <w:rFonts w:ascii="Verdana" w:hAnsi="Verdana"/>
                <w:sz w:val="20"/>
              </w:rPr>
              <w:fldChar w:fldCharType="begin"/>
            </w:r>
            <w:r w:rsidRPr="005E385F">
              <w:rPr>
                <w:rFonts w:ascii="Verdana" w:hAnsi="Verdana"/>
                <w:sz w:val="20"/>
              </w:rPr>
              <w:instrText>xe "Switch"</w:instrText>
            </w:r>
            <w:r w:rsidRPr="005E385F">
              <w:rPr>
                <w:rFonts w:ascii="Verdana" w:hAnsi="Verdana"/>
                <w:sz w:val="20"/>
              </w:rPr>
              <w:fldChar w:fldCharType="end"/>
            </w:r>
            <w:r w:rsidRPr="005E385F">
              <w:rPr>
                <w:rFonts w:ascii="Verdana" w:hAnsi="Verdana"/>
                <w:bCs/>
                <w:sz w:val="20"/>
              </w:rPr>
              <w:t>) is eligible if cost-effective</w:t>
            </w:r>
            <w:r w:rsidRPr="005E385F">
              <w:rPr>
                <w:rFonts w:ascii="Verdana" w:hAnsi="Verdana"/>
                <w:sz w:val="20"/>
              </w:rPr>
              <w:fldChar w:fldCharType="begin"/>
            </w:r>
            <w:r w:rsidRPr="005E385F">
              <w:rPr>
                <w:rFonts w:ascii="Verdana" w:hAnsi="Verdana"/>
                <w:sz w:val="20"/>
              </w:rPr>
              <w:instrText>xe "Cost-Effective"</w:instrText>
            </w:r>
            <w:r w:rsidRPr="005E385F">
              <w:rPr>
                <w:rFonts w:ascii="Verdana" w:hAnsi="Verdana"/>
                <w:sz w:val="20"/>
              </w:rPr>
              <w:fldChar w:fldCharType="end"/>
            </w:r>
            <w:r w:rsidRPr="005E385F">
              <w:rPr>
                <w:rFonts w:ascii="Verdana" w:hAnsi="Verdana"/>
                <w:bCs/>
                <w:sz w:val="20"/>
              </w:rPr>
              <w:t xml:space="preserve"> in comparison to the individual components necessary.</w:t>
            </w:r>
          </w:p>
        </w:tc>
      </w:tr>
      <w:tr w:rsidR="00F935B1" w:rsidRPr="005E385F" w14:paraId="02C8B104" w14:textId="77777777" w:rsidTr="0083602C">
        <w:trPr>
          <w:trHeight w:val="159"/>
          <w:tblCellSpacing w:w="15" w:type="dxa"/>
        </w:trPr>
        <w:tc>
          <w:tcPr>
            <w:tcW w:w="1243" w:type="pct"/>
          </w:tcPr>
          <w:p w14:paraId="171E8E4F" w14:textId="77777777" w:rsidR="00F935B1" w:rsidRPr="005E385F" w:rsidRDefault="00F935B1" w:rsidP="0083602C">
            <w:pPr>
              <w:rPr>
                <w:rFonts w:ascii="Verdana" w:hAnsi="Verdana"/>
                <w:sz w:val="20"/>
              </w:rPr>
            </w:pPr>
            <w:r w:rsidRPr="005E385F">
              <w:rPr>
                <w:rFonts w:ascii="Verdana" w:hAnsi="Verdana"/>
                <w:sz w:val="20"/>
              </w:rPr>
              <w:lastRenderedPageBreak/>
              <w:t>Software</w:t>
            </w:r>
          </w:p>
          <w:p w14:paraId="0A463B61" w14:textId="77777777" w:rsidR="00F935B1" w:rsidRPr="005E385F" w:rsidRDefault="00F935B1" w:rsidP="0083602C">
            <w:pPr>
              <w:rPr>
                <w:rFonts w:ascii="Verdana" w:hAnsi="Verdana"/>
                <w:sz w:val="20"/>
              </w:rPr>
            </w:pPr>
          </w:p>
          <w:p w14:paraId="4360A113" w14:textId="77777777" w:rsidR="00F935B1" w:rsidRPr="005E385F" w:rsidRDefault="00F935B1" w:rsidP="0083602C">
            <w:pPr>
              <w:rPr>
                <w:rFonts w:ascii="Verdana" w:hAnsi="Verdana"/>
                <w:sz w:val="20"/>
              </w:rPr>
            </w:pPr>
          </w:p>
        </w:tc>
        <w:tc>
          <w:tcPr>
            <w:tcW w:w="3709" w:type="pct"/>
          </w:tcPr>
          <w:p w14:paraId="6D102F84" w14:textId="77777777" w:rsidR="00F935B1" w:rsidRPr="005E385F" w:rsidRDefault="00F935B1" w:rsidP="0083602C">
            <w:pPr>
              <w:pStyle w:val="NormalWeb"/>
              <w:spacing w:before="0" w:beforeAutospacing="0" w:after="0"/>
              <w:rPr>
                <w:rFonts w:ascii="Verdana" w:hAnsi="Verdana"/>
                <w:bCs/>
                <w:sz w:val="20"/>
              </w:rPr>
            </w:pPr>
            <w:r w:rsidRPr="005E385F">
              <w:rPr>
                <w:rFonts w:ascii="Verdana" w:hAnsi="Verdana"/>
                <w:bCs/>
                <w:sz w:val="20"/>
              </w:rPr>
              <w:t xml:space="preserve">Specific types of computer </w:t>
            </w:r>
            <w:hyperlink w:anchor="Software" w:history="1">
              <w:r w:rsidRPr="005E385F">
                <w:rPr>
                  <w:rStyle w:val="Hyperlink"/>
                  <w:rFonts w:ascii="Verdana" w:hAnsi="Verdana"/>
                  <w:bCs/>
                  <w:sz w:val="20"/>
                </w:rPr>
                <w:t>software</w:t>
              </w:r>
            </w:hyperlink>
            <w:r w:rsidRPr="005E385F">
              <w:rPr>
                <w:rFonts w:ascii="Verdana" w:hAnsi="Verdana"/>
                <w:bCs/>
                <w:sz w:val="20"/>
              </w:rPr>
              <w:t xml:space="preserve"> are eligible for discount.</w:t>
            </w:r>
          </w:p>
          <w:p w14:paraId="20FBBE16" w14:textId="77777777" w:rsidR="00F935B1" w:rsidRPr="005E385F" w:rsidRDefault="00F935B1" w:rsidP="0083602C">
            <w:pPr>
              <w:pStyle w:val="NormalWeb"/>
              <w:spacing w:before="0" w:beforeAutospacing="0" w:after="0"/>
              <w:rPr>
                <w:rFonts w:ascii="Verdana" w:hAnsi="Verdana"/>
                <w:bCs/>
                <w:sz w:val="20"/>
              </w:rPr>
            </w:pPr>
          </w:p>
          <w:p w14:paraId="74B81174" w14:textId="77777777" w:rsidR="00F935B1" w:rsidRPr="005E385F" w:rsidRDefault="00A0395D" w:rsidP="0083602C">
            <w:pPr>
              <w:pStyle w:val="NormalWeb"/>
              <w:spacing w:before="0" w:beforeAutospacing="0" w:after="0"/>
              <w:rPr>
                <w:rFonts w:ascii="Verdana" w:hAnsi="Verdana"/>
                <w:bCs/>
                <w:sz w:val="20"/>
              </w:rPr>
            </w:pPr>
            <w:hyperlink w:anchor="OperatingSystemSoftware" w:history="1">
              <w:r w:rsidR="00F935B1" w:rsidRPr="005E385F">
                <w:rPr>
                  <w:rStyle w:val="Hyperlink"/>
                  <w:rFonts w:ascii="Verdana" w:hAnsi="Verdana"/>
                  <w:bCs/>
                  <w:sz w:val="20"/>
                </w:rPr>
                <w:t>Operating system software</w:t>
              </w:r>
              <w:r w:rsidR="00F935B1" w:rsidRPr="005E385F">
                <w:rPr>
                  <w:rFonts w:ascii="Verdana" w:hAnsi="Verdana"/>
                  <w:sz w:val="20"/>
                </w:rPr>
                <w:fldChar w:fldCharType="begin"/>
              </w:r>
              <w:r w:rsidR="00F935B1" w:rsidRPr="005E385F">
                <w:rPr>
                  <w:rFonts w:ascii="Verdana" w:hAnsi="Verdana"/>
                  <w:sz w:val="20"/>
                </w:rPr>
                <w:instrText>xe "S</w:instrText>
              </w:r>
              <w:r w:rsidR="00F935B1" w:rsidRPr="005E385F">
                <w:rPr>
                  <w:rFonts w:ascii="Verdana" w:hAnsi="Verdana"/>
                  <w:bCs/>
                  <w:sz w:val="20"/>
                </w:rPr>
                <w:instrText>oftware</w:instrText>
              </w:r>
              <w:r w:rsidR="00F935B1" w:rsidRPr="005E385F">
                <w:rPr>
                  <w:rFonts w:ascii="Verdana" w:hAnsi="Verdana"/>
                  <w:sz w:val="20"/>
                </w:rPr>
                <w:instrText>"</w:instrText>
              </w:r>
              <w:r w:rsidR="00F935B1" w:rsidRPr="005E385F">
                <w:rPr>
                  <w:rFonts w:ascii="Verdana" w:hAnsi="Verdana"/>
                  <w:sz w:val="20"/>
                </w:rPr>
                <w:fldChar w:fldCharType="end"/>
              </w:r>
            </w:hyperlink>
            <w:r w:rsidR="00F935B1" w:rsidRPr="005E385F">
              <w:rPr>
                <w:rFonts w:ascii="Verdana" w:hAnsi="Verdana"/>
                <w:bCs/>
                <w:sz w:val="20"/>
              </w:rPr>
              <w:t>, such as network operating system software required to obtain operation of an eligible component, is eligible, including functionality provided with the core operating system</w:t>
            </w:r>
            <w:r w:rsidR="00F935B1" w:rsidRPr="005E385F">
              <w:rPr>
                <w:rFonts w:ascii="Verdana" w:hAnsi="Verdana"/>
                <w:sz w:val="20"/>
              </w:rPr>
              <w:fldChar w:fldCharType="begin"/>
            </w:r>
            <w:r w:rsidR="00F935B1" w:rsidRPr="005E385F">
              <w:rPr>
                <w:rFonts w:ascii="Verdana" w:hAnsi="Verdana"/>
                <w:sz w:val="20"/>
              </w:rPr>
              <w:instrText>xe "Operating System"</w:instrText>
            </w:r>
            <w:r w:rsidR="00F935B1" w:rsidRPr="005E385F">
              <w:rPr>
                <w:rFonts w:ascii="Verdana" w:hAnsi="Verdana"/>
                <w:sz w:val="20"/>
              </w:rPr>
              <w:fldChar w:fldCharType="end"/>
            </w:r>
            <w:r w:rsidR="00F935B1" w:rsidRPr="005E385F">
              <w:rPr>
                <w:rFonts w:ascii="Verdana" w:hAnsi="Verdana"/>
                <w:bCs/>
                <w:sz w:val="20"/>
              </w:rPr>
              <w:t xml:space="preserve"> at no cost.  Additional s</w:t>
            </w:r>
            <w:r w:rsidR="00F935B1" w:rsidRPr="005E385F">
              <w:rPr>
                <w:rFonts w:ascii="Verdana" w:hAnsi="Verdana"/>
                <w:sz w:val="20"/>
              </w:rPr>
              <w:t>oftware products available separately that provide optional operational features are not eligible for discount.</w:t>
            </w:r>
          </w:p>
          <w:p w14:paraId="54828993" w14:textId="77777777" w:rsidR="00F935B1" w:rsidRPr="005E385F" w:rsidRDefault="00F935B1" w:rsidP="0083602C">
            <w:pPr>
              <w:pStyle w:val="NormalWeb"/>
              <w:spacing w:before="0" w:beforeAutospacing="0" w:after="0"/>
              <w:rPr>
                <w:rFonts w:ascii="Verdana" w:hAnsi="Verdana"/>
                <w:bCs/>
                <w:sz w:val="20"/>
              </w:rPr>
            </w:pPr>
          </w:p>
          <w:p w14:paraId="2EE49E9A" w14:textId="77777777" w:rsidR="00F935B1" w:rsidRPr="005E385F" w:rsidRDefault="00A0395D" w:rsidP="0083602C">
            <w:pPr>
              <w:pStyle w:val="NormalWeb"/>
              <w:spacing w:before="0" w:beforeAutospacing="0" w:after="0"/>
              <w:rPr>
                <w:rFonts w:ascii="Verdana" w:hAnsi="Verdana"/>
                <w:bCs/>
                <w:sz w:val="20"/>
              </w:rPr>
            </w:pPr>
            <w:hyperlink w:anchor="EmailSoftware" w:history="1">
              <w:r w:rsidR="00F935B1" w:rsidRPr="005E385F">
                <w:rPr>
                  <w:rStyle w:val="Hyperlink"/>
                  <w:rFonts w:ascii="Verdana" w:hAnsi="Verdana"/>
                  <w:bCs/>
                  <w:sz w:val="20"/>
                </w:rPr>
                <w:t>E-mail</w:t>
              </w:r>
              <w:r w:rsidR="00F935B1" w:rsidRPr="005E385F">
                <w:rPr>
                  <w:rFonts w:ascii="Verdana" w:hAnsi="Verdana"/>
                  <w:sz w:val="20"/>
                </w:rPr>
                <w:fldChar w:fldCharType="begin"/>
              </w:r>
              <w:r w:rsidR="00F935B1" w:rsidRPr="005E385F">
                <w:rPr>
                  <w:rFonts w:ascii="Verdana" w:hAnsi="Verdana"/>
                  <w:sz w:val="20"/>
                </w:rPr>
                <w:instrText>xe "E-Mail"</w:instrText>
              </w:r>
              <w:r w:rsidR="00F935B1" w:rsidRPr="005E385F">
                <w:rPr>
                  <w:rFonts w:ascii="Verdana" w:hAnsi="Verdana"/>
                  <w:sz w:val="20"/>
                </w:rPr>
                <w:fldChar w:fldCharType="end"/>
              </w:r>
            </w:hyperlink>
            <w:r w:rsidR="00F935B1" w:rsidRPr="005E385F">
              <w:rPr>
                <w:rFonts w:ascii="Verdana" w:hAnsi="Verdana"/>
                <w:bCs/>
                <w:sz w:val="20"/>
              </w:rPr>
              <w:t xml:space="preserve"> software that is a server</w:t>
            </w:r>
            <w:r w:rsidR="00F935B1" w:rsidRPr="005E385F">
              <w:rPr>
                <w:rFonts w:ascii="Verdana" w:hAnsi="Verdana"/>
                <w:sz w:val="20"/>
              </w:rPr>
              <w:fldChar w:fldCharType="begin"/>
            </w:r>
            <w:r w:rsidR="00F935B1" w:rsidRPr="005E385F">
              <w:rPr>
                <w:rFonts w:ascii="Verdana" w:hAnsi="Verdana"/>
                <w:sz w:val="20"/>
              </w:rPr>
              <w:instrText>xe "Servers"</w:instrText>
            </w:r>
            <w:r w:rsidR="00F935B1" w:rsidRPr="005E385F">
              <w:rPr>
                <w:rFonts w:ascii="Verdana" w:hAnsi="Verdana"/>
                <w:sz w:val="20"/>
              </w:rPr>
              <w:fldChar w:fldCharType="end"/>
            </w:r>
            <w:r w:rsidR="00F935B1" w:rsidRPr="005E385F">
              <w:rPr>
                <w:rFonts w:ascii="Verdana" w:hAnsi="Verdana"/>
                <w:bCs/>
                <w:sz w:val="20"/>
              </w:rPr>
              <w:t xml:space="preserve">-based, shared product is eligible.  If such a software product provides substantial additional functionality that is not eligible, such as </w:t>
            </w:r>
            <w:hyperlink w:anchor="emailarchiving" w:history="1">
              <w:r w:rsidR="00F935B1" w:rsidRPr="005E385F">
                <w:rPr>
                  <w:rStyle w:val="Hyperlink"/>
                  <w:rFonts w:ascii="Verdana" w:hAnsi="Verdana"/>
                  <w:bCs/>
                  <w:sz w:val="20"/>
                </w:rPr>
                <w:t>archiving</w:t>
              </w:r>
            </w:hyperlink>
            <w:r w:rsidR="00F935B1" w:rsidRPr="005E385F">
              <w:rPr>
                <w:rFonts w:ascii="Verdana" w:hAnsi="Verdana"/>
                <w:sz w:val="20"/>
              </w:rPr>
              <w:fldChar w:fldCharType="begin"/>
            </w:r>
            <w:r w:rsidR="00F935B1" w:rsidRPr="005E385F">
              <w:rPr>
                <w:rFonts w:ascii="Verdana" w:hAnsi="Verdana"/>
                <w:sz w:val="20"/>
              </w:rPr>
              <w:instrText>xe "</w:instrText>
            </w:r>
            <w:r w:rsidR="00F935B1" w:rsidRPr="005E385F">
              <w:rPr>
                <w:rFonts w:ascii="Verdana" w:hAnsi="Verdana"/>
                <w:bCs/>
                <w:sz w:val="20"/>
              </w:rPr>
              <w:instrText>Archiving</w:instrText>
            </w:r>
            <w:r w:rsidR="00F935B1" w:rsidRPr="005E385F">
              <w:rPr>
                <w:rFonts w:ascii="Verdana" w:hAnsi="Verdana"/>
                <w:sz w:val="20"/>
              </w:rPr>
              <w:instrText>"</w:instrText>
            </w:r>
            <w:r w:rsidR="00F935B1" w:rsidRPr="005E385F">
              <w:rPr>
                <w:rFonts w:ascii="Verdana" w:hAnsi="Verdana"/>
                <w:sz w:val="20"/>
              </w:rPr>
              <w:fldChar w:fldCharType="end"/>
            </w:r>
            <w:r w:rsidR="00F935B1" w:rsidRPr="005E385F">
              <w:rPr>
                <w:rFonts w:ascii="Verdana" w:hAnsi="Verdana"/>
                <w:bCs/>
                <w:sz w:val="20"/>
              </w:rPr>
              <w:t>, database, workflow, or groupware features, only the e-mail</w:t>
            </w:r>
            <w:r w:rsidR="00F935B1" w:rsidRPr="005E385F">
              <w:rPr>
                <w:rFonts w:ascii="Verdana" w:hAnsi="Verdana"/>
                <w:sz w:val="20"/>
              </w:rPr>
              <w:fldChar w:fldCharType="begin"/>
            </w:r>
            <w:r w:rsidR="00F935B1" w:rsidRPr="005E385F">
              <w:rPr>
                <w:rFonts w:ascii="Verdana" w:hAnsi="Verdana"/>
                <w:sz w:val="20"/>
              </w:rPr>
              <w:instrText>xe "E-Mail"</w:instrText>
            </w:r>
            <w:r w:rsidR="00F935B1" w:rsidRPr="005E385F">
              <w:rPr>
                <w:rFonts w:ascii="Verdana" w:hAnsi="Verdana"/>
                <w:sz w:val="20"/>
              </w:rPr>
              <w:fldChar w:fldCharType="end"/>
            </w:r>
            <w:r w:rsidR="00F935B1" w:rsidRPr="005E385F">
              <w:rPr>
                <w:rFonts w:ascii="Verdana" w:hAnsi="Verdana"/>
                <w:bCs/>
                <w:sz w:val="20"/>
              </w:rPr>
              <w:t xml:space="preserve"> </w:t>
            </w:r>
            <w:r w:rsidR="00F935B1" w:rsidRPr="005E385F">
              <w:rPr>
                <w:rFonts w:ascii="Verdana" w:hAnsi="Verdana"/>
                <w:bCs/>
                <w:sz w:val="20"/>
              </w:rPr>
              <w:lastRenderedPageBreak/>
              <w:t xml:space="preserve">portion of the product is eligible and the cost of the ineligible portion must be </w:t>
            </w:r>
            <w:hyperlink w:anchor="xxAddlRefInfoCostAlloc" w:history="1">
              <w:r w:rsidR="00F935B1" w:rsidRPr="005E385F">
                <w:rPr>
                  <w:rStyle w:val="Hyperlink"/>
                  <w:rFonts w:ascii="Verdana" w:hAnsi="Verdana"/>
                  <w:bCs/>
                  <w:sz w:val="20"/>
                </w:rPr>
                <w:t>cost allocated</w:t>
              </w:r>
              <w:r w:rsidR="00F935B1" w:rsidRPr="005E385F">
                <w:rPr>
                  <w:rFonts w:ascii="Verdana" w:hAnsi="Verdana"/>
                  <w:sz w:val="20"/>
                </w:rPr>
                <w:fldChar w:fldCharType="begin"/>
              </w:r>
              <w:r w:rsidR="00F935B1" w:rsidRPr="005E385F">
                <w:rPr>
                  <w:rFonts w:ascii="Verdana" w:hAnsi="Verdana"/>
                  <w:sz w:val="20"/>
                </w:rPr>
                <w:instrText>xe "Cost Allocation"</w:instrText>
              </w:r>
              <w:r w:rsidR="00F935B1" w:rsidRPr="005E385F">
                <w:rPr>
                  <w:rFonts w:ascii="Verdana" w:hAnsi="Verdana"/>
                  <w:sz w:val="20"/>
                </w:rPr>
                <w:fldChar w:fldCharType="end"/>
              </w:r>
            </w:hyperlink>
            <w:r w:rsidR="00F935B1" w:rsidRPr="005E385F">
              <w:rPr>
                <w:rFonts w:ascii="Verdana" w:hAnsi="Verdana"/>
                <w:bCs/>
                <w:sz w:val="20"/>
              </w:rPr>
              <w:t>.</w:t>
            </w:r>
          </w:p>
          <w:p w14:paraId="13A53764" w14:textId="77777777" w:rsidR="00F935B1" w:rsidRPr="005E385F" w:rsidRDefault="00F935B1" w:rsidP="0083602C">
            <w:pPr>
              <w:pStyle w:val="NormalWeb"/>
              <w:spacing w:before="0" w:beforeAutospacing="0" w:after="0"/>
              <w:rPr>
                <w:rFonts w:ascii="Verdana" w:hAnsi="Verdana"/>
                <w:bCs/>
                <w:sz w:val="20"/>
              </w:rPr>
            </w:pPr>
          </w:p>
          <w:p w14:paraId="444AA8B5" w14:textId="77777777" w:rsidR="00F935B1" w:rsidRPr="005E385F" w:rsidRDefault="00F935B1" w:rsidP="0083602C">
            <w:pPr>
              <w:pStyle w:val="NormalWeb"/>
              <w:spacing w:before="0" w:beforeAutospacing="0" w:after="0"/>
              <w:rPr>
                <w:rFonts w:ascii="Verdana" w:hAnsi="Verdana"/>
                <w:bCs/>
                <w:sz w:val="20"/>
              </w:rPr>
            </w:pPr>
            <w:r w:rsidRPr="005E385F">
              <w:rPr>
                <w:rFonts w:ascii="Verdana" w:hAnsi="Verdana"/>
                <w:bCs/>
                <w:sz w:val="20"/>
              </w:rPr>
              <w:t>E-mail</w:t>
            </w:r>
            <w:r w:rsidRPr="005E385F">
              <w:rPr>
                <w:rFonts w:ascii="Verdana" w:hAnsi="Verdana"/>
                <w:sz w:val="20"/>
              </w:rPr>
              <w:fldChar w:fldCharType="begin"/>
            </w:r>
            <w:r w:rsidRPr="005E385F">
              <w:rPr>
                <w:rFonts w:ascii="Verdana" w:hAnsi="Verdana"/>
                <w:sz w:val="20"/>
              </w:rPr>
              <w:instrText>xe "E-Mail"</w:instrText>
            </w:r>
            <w:r w:rsidRPr="005E385F">
              <w:rPr>
                <w:rFonts w:ascii="Verdana" w:hAnsi="Verdana"/>
                <w:sz w:val="20"/>
              </w:rPr>
              <w:fldChar w:fldCharType="end"/>
            </w:r>
            <w:r w:rsidRPr="005E385F">
              <w:rPr>
                <w:rFonts w:ascii="Verdana" w:hAnsi="Verdana"/>
                <w:bCs/>
                <w:sz w:val="20"/>
              </w:rPr>
              <w:t xml:space="preserve"> software</w:t>
            </w:r>
            <w:r w:rsidRPr="005E385F">
              <w:rPr>
                <w:rFonts w:ascii="Verdana" w:hAnsi="Verdana"/>
                <w:sz w:val="20"/>
              </w:rPr>
              <w:fldChar w:fldCharType="begin"/>
            </w:r>
            <w:r w:rsidRPr="005E385F">
              <w:rPr>
                <w:rFonts w:ascii="Verdana" w:hAnsi="Verdana"/>
                <w:sz w:val="20"/>
              </w:rPr>
              <w:instrText>xe "S</w:instrText>
            </w:r>
            <w:r w:rsidRPr="005E385F">
              <w:rPr>
                <w:rFonts w:ascii="Verdana" w:hAnsi="Verdana"/>
                <w:bCs/>
                <w:sz w:val="20"/>
              </w:rPr>
              <w:instrText>oftware</w:instrText>
            </w:r>
            <w:r w:rsidRPr="005E385F">
              <w:rPr>
                <w:rFonts w:ascii="Verdana" w:hAnsi="Verdana"/>
                <w:sz w:val="20"/>
              </w:rPr>
              <w:instrText>"</w:instrText>
            </w:r>
            <w:r w:rsidRPr="005E385F">
              <w:rPr>
                <w:rFonts w:ascii="Verdana" w:hAnsi="Verdana"/>
                <w:sz w:val="20"/>
              </w:rPr>
              <w:fldChar w:fldCharType="end"/>
            </w:r>
            <w:r w:rsidRPr="005E385F">
              <w:rPr>
                <w:rFonts w:ascii="Verdana" w:hAnsi="Verdana"/>
                <w:bCs/>
                <w:sz w:val="20"/>
              </w:rPr>
              <w:t xml:space="preserve"> or other eligible components that include content</w:t>
            </w:r>
            <w:r w:rsidRPr="005E385F">
              <w:rPr>
                <w:rFonts w:ascii="Verdana" w:hAnsi="Verdana"/>
                <w:sz w:val="20"/>
              </w:rPr>
              <w:fldChar w:fldCharType="begin"/>
            </w:r>
            <w:r w:rsidRPr="005E385F">
              <w:rPr>
                <w:rFonts w:ascii="Verdana" w:hAnsi="Verdana"/>
                <w:sz w:val="20"/>
              </w:rPr>
              <w:instrText>xe "Content"</w:instrText>
            </w:r>
            <w:r w:rsidRPr="005E385F">
              <w:rPr>
                <w:rFonts w:ascii="Verdana" w:hAnsi="Verdana"/>
                <w:sz w:val="20"/>
              </w:rPr>
              <w:fldChar w:fldCharType="end"/>
            </w:r>
            <w:r w:rsidRPr="005E385F">
              <w:rPr>
                <w:rFonts w:ascii="Verdana" w:hAnsi="Verdana"/>
                <w:bCs/>
                <w:sz w:val="20"/>
              </w:rPr>
              <w:t xml:space="preserve"> filtering</w:t>
            </w:r>
            <w:r w:rsidRPr="005E385F">
              <w:rPr>
                <w:rFonts w:ascii="Verdana" w:hAnsi="Verdana"/>
                <w:sz w:val="20"/>
              </w:rPr>
              <w:fldChar w:fldCharType="begin"/>
            </w:r>
            <w:r w:rsidRPr="005E385F">
              <w:rPr>
                <w:rFonts w:ascii="Verdana" w:hAnsi="Verdana"/>
                <w:sz w:val="20"/>
              </w:rPr>
              <w:instrText>xe "Content Filtering"</w:instrText>
            </w:r>
            <w:r w:rsidRPr="005E385F">
              <w:rPr>
                <w:rFonts w:ascii="Verdana" w:hAnsi="Verdana"/>
                <w:sz w:val="20"/>
              </w:rPr>
              <w:fldChar w:fldCharType="end"/>
            </w:r>
            <w:r w:rsidRPr="005E385F">
              <w:rPr>
                <w:rFonts w:ascii="Verdana" w:hAnsi="Verdana"/>
                <w:bCs/>
                <w:sz w:val="20"/>
              </w:rPr>
              <w:t xml:space="preserve"> as an integral component part are eligible, but a separately priced content filtering module</w:t>
            </w:r>
            <w:r w:rsidRPr="005E385F">
              <w:rPr>
                <w:rFonts w:ascii="Verdana" w:hAnsi="Verdana"/>
                <w:sz w:val="20"/>
              </w:rPr>
              <w:fldChar w:fldCharType="begin"/>
            </w:r>
            <w:r w:rsidRPr="005E385F">
              <w:rPr>
                <w:rFonts w:ascii="Verdana" w:hAnsi="Verdana"/>
                <w:sz w:val="20"/>
              </w:rPr>
              <w:instrText>xe "Module"</w:instrText>
            </w:r>
            <w:r w:rsidRPr="005E385F">
              <w:rPr>
                <w:rFonts w:ascii="Verdana" w:hAnsi="Verdana"/>
                <w:sz w:val="20"/>
              </w:rPr>
              <w:fldChar w:fldCharType="end"/>
            </w:r>
            <w:r w:rsidRPr="005E385F">
              <w:rPr>
                <w:rFonts w:ascii="Verdana" w:hAnsi="Verdana"/>
                <w:bCs/>
                <w:sz w:val="20"/>
              </w:rPr>
              <w:t xml:space="preserve"> or product is not eligible.</w:t>
            </w:r>
          </w:p>
          <w:p w14:paraId="7F36F620" w14:textId="77777777" w:rsidR="00F935B1" w:rsidRPr="005E385F" w:rsidRDefault="00F935B1" w:rsidP="0083602C">
            <w:pPr>
              <w:pStyle w:val="NormalWeb"/>
              <w:spacing w:before="0" w:beforeAutospacing="0" w:after="0"/>
              <w:rPr>
                <w:rFonts w:ascii="Verdana" w:hAnsi="Verdana"/>
                <w:bCs/>
                <w:sz w:val="20"/>
              </w:rPr>
            </w:pPr>
          </w:p>
          <w:p w14:paraId="7A8D29AD" w14:textId="77777777" w:rsidR="00F935B1" w:rsidRPr="005E385F" w:rsidRDefault="00F935B1" w:rsidP="0083602C">
            <w:pPr>
              <w:pStyle w:val="NormalWeb"/>
              <w:spacing w:before="0" w:beforeAutospacing="0" w:after="0"/>
              <w:rPr>
                <w:rFonts w:ascii="Verdana" w:hAnsi="Verdana"/>
                <w:bCs/>
                <w:sz w:val="20"/>
              </w:rPr>
            </w:pPr>
            <w:r w:rsidRPr="005E385F">
              <w:rPr>
                <w:rFonts w:ascii="Verdana" w:hAnsi="Verdana"/>
                <w:bCs/>
                <w:sz w:val="20"/>
              </w:rPr>
              <w:t>Software for a server</w:t>
            </w:r>
            <w:r w:rsidRPr="005E385F">
              <w:rPr>
                <w:rFonts w:ascii="Verdana" w:hAnsi="Verdana"/>
                <w:sz w:val="20"/>
              </w:rPr>
              <w:fldChar w:fldCharType="begin"/>
            </w:r>
            <w:r w:rsidRPr="005E385F">
              <w:rPr>
                <w:rFonts w:ascii="Verdana" w:hAnsi="Verdana"/>
                <w:sz w:val="20"/>
              </w:rPr>
              <w:instrText>xe "Servers"</w:instrText>
            </w:r>
            <w:r w:rsidRPr="005E385F">
              <w:rPr>
                <w:rFonts w:ascii="Verdana" w:hAnsi="Verdana"/>
                <w:sz w:val="20"/>
              </w:rPr>
              <w:fldChar w:fldCharType="end"/>
            </w:r>
            <w:r w:rsidRPr="005E385F">
              <w:rPr>
                <w:rFonts w:ascii="Verdana" w:hAnsi="Verdana"/>
                <w:bCs/>
                <w:sz w:val="20"/>
              </w:rPr>
              <w:t xml:space="preserve">-based, shared </w:t>
            </w:r>
            <w:hyperlink w:anchor="VoiceMailComponents" w:history="1">
              <w:r w:rsidRPr="005E385F">
                <w:rPr>
                  <w:rStyle w:val="Hyperlink"/>
                  <w:rFonts w:ascii="Verdana" w:hAnsi="Verdana"/>
                  <w:bCs/>
                  <w:sz w:val="20"/>
                </w:rPr>
                <w:t>voice mail</w:t>
              </w:r>
              <w:r w:rsidRPr="005E385F">
                <w:rPr>
                  <w:rFonts w:ascii="Verdana" w:hAnsi="Verdana"/>
                  <w:sz w:val="20"/>
                </w:rPr>
                <w:fldChar w:fldCharType="begin"/>
              </w:r>
              <w:r w:rsidRPr="005E385F">
                <w:rPr>
                  <w:rFonts w:ascii="Verdana" w:hAnsi="Verdana"/>
                  <w:sz w:val="20"/>
                </w:rPr>
                <w:instrText>xe "Voice Mail Components"</w:instrText>
              </w:r>
              <w:r w:rsidRPr="005E385F">
                <w:rPr>
                  <w:rFonts w:ascii="Verdana" w:hAnsi="Verdana"/>
                  <w:sz w:val="20"/>
                </w:rPr>
                <w:fldChar w:fldCharType="end"/>
              </w:r>
            </w:hyperlink>
            <w:r w:rsidRPr="005E385F">
              <w:rPr>
                <w:rFonts w:ascii="Verdana" w:hAnsi="Verdana"/>
                <w:bCs/>
                <w:sz w:val="20"/>
              </w:rPr>
              <w:t xml:space="preserve"> system is eligible.</w:t>
            </w:r>
          </w:p>
          <w:p w14:paraId="1484BC06" w14:textId="77777777" w:rsidR="00F935B1" w:rsidRPr="005E385F" w:rsidRDefault="00F935B1" w:rsidP="0083602C">
            <w:pPr>
              <w:pStyle w:val="NormalWeb"/>
              <w:spacing w:before="0" w:beforeAutospacing="0" w:after="0"/>
              <w:rPr>
                <w:rFonts w:ascii="Verdana" w:hAnsi="Verdana"/>
                <w:bCs/>
                <w:sz w:val="20"/>
              </w:rPr>
            </w:pPr>
          </w:p>
          <w:p w14:paraId="432DF47E" w14:textId="77777777" w:rsidR="00F935B1" w:rsidRPr="005E385F" w:rsidRDefault="00F935B1" w:rsidP="0083602C">
            <w:pPr>
              <w:pStyle w:val="NormalWeb"/>
              <w:spacing w:before="0" w:beforeAutospacing="0" w:after="0"/>
              <w:rPr>
                <w:rFonts w:ascii="Verdana" w:hAnsi="Verdana"/>
                <w:bCs/>
                <w:sz w:val="20"/>
              </w:rPr>
            </w:pPr>
            <w:r w:rsidRPr="005E385F">
              <w:rPr>
                <w:rFonts w:ascii="Verdana" w:hAnsi="Verdana"/>
                <w:bCs/>
                <w:sz w:val="20"/>
              </w:rPr>
              <w:t>Software for server based, VoIP user licenses are eligible.</w:t>
            </w:r>
          </w:p>
          <w:p w14:paraId="55095618" w14:textId="77777777" w:rsidR="00F935B1" w:rsidRPr="005E385F" w:rsidRDefault="00F935B1" w:rsidP="0083602C">
            <w:pPr>
              <w:pStyle w:val="NormalWeb"/>
              <w:spacing w:before="0" w:beforeAutospacing="0" w:after="0"/>
              <w:rPr>
                <w:rFonts w:ascii="Verdana" w:hAnsi="Verdana"/>
                <w:bCs/>
                <w:sz w:val="20"/>
              </w:rPr>
            </w:pPr>
          </w:p>
          <w:p w14:paraId="6238CC21" w14:textId="77777777" w:rsidR="00F935B1" w:rsidRPr="005E385F" w:rsidRDefault="00A0395D" w:rsidP="0083602C">
            <w:pPr>
              <w:pStyle w:val="NormalWeb"/>
              <w:spacing w:before="0" w:beforeAutospacing="0" w:after="0"/>
              <w:rPr>
                <w:rFonts w:ascii="Verdana" w:hAnsi="Verdana"/>
                <w:bCs/>
                <w:sz w:val="20"/>
              </w:rPr>
            </w:pPr>
            <w:hyperlink w:anchor="ClientAccessLicense" w:history="1">
              <w:r w:rsidR="00F935B1" w:rsidRPr="005E385F">
                <w:rPr>
                  <w:rStyle w:val="Hyperlink"/>
                  <w:rFonts w:ascii="Verdana" w:hAnsi="Verdana"/>
                  <w:bCs/>
                  <w:sz w:val="20"/>
                </w:rPr>
                <w:t>Client Access Licenses</w:t>
              </w:r>
              <w:r w:rsidR="00F935B1" w:rsidRPr="005E385F">
                <w:rPr>
                  <w:rFonts w:ascii="Verdana" w:hAnsi="Verdana"/>
                  <w:sz w:val="20"/>
                </w:rPr>
                <w:fldChar w:fldCharType="begin"/>
              </w:r>
              <w:r w:rsidR="00F935B1" w:rsidRPr="005E385F">
                <w:rPr>
                  <w:rFonts w:ascii="Verdana" w:hAnsi="Verdana"/>
                  <w:sz w:val="20"/>
                </w:rPr>
                <w:instrText>xe "Client Access Licenses"</w:instrText>
              </w:r>
              <w:r w:rsidR="00F935B1" w:rsidRPr="005E385F">
                <w:rPr>
                  <w:rFonts w:ascii="Verdana" w:hAnsi="Verdana"/>
                  <w:sz w:val="20"/>
                </w:rPr>
                <w:fldChar w:fldCharType="end"/>
              </w:r>
            </w:hyperlink>
            <w:r w:rsidR="00F935B1" w:rsidRPr="005E385F">
              <w:rPr>
                <w:rFonts w:ascii="Verdana" w:hAnsi="Verdana"/>
                <w:bCs/>
                <w:sz w:val="20"/>
              </w:rPr>
              <w:t xml:space="preserve"> for eligible software</w:t>
            </w:r>
            <w:r w:rsidR="00F935B1" w:rsidRPr="005E385F">
              <w:rPr>
                <w:rFonts w:ascii="Verdana" w:hAnsi="Verdana"/>
                <w:sz w:val="20"/>
              </w:rPr>
              <w:fldChar w:fldCharType="begin"/>
            </w:r>
            <w:r w:rsidR="00F935B1" w:rsidRPr="005E385F">
              <w:rPr>
                <w:rFonts w:ascii="Verdana" w:hAnsi="Verdana"/>
                <w:sz w:val="20"/>
              </w:rPr>
              <w:instrText>xe "</w:instrText>
            </w:r>
            <w:r w:rsidR="00F935B1" w:rsidRPr="005E385F">
              <w:rPr>
                <w:rFonts w:ascii="Verdana" w:hAnsi="Verdana"/>
                <w:bCs/>
                <w:sz w:val="20"/>
              </w:rPr>
              <w:instrText>Software</w:instrText>
            </w:r>
            <w:r w:rsidR="00F935B1" w:rsidRPr="005E385F">
              <w:rPr>
                <w:rFonts w:ascii="Verdana" w:hAnsi="Verdana"/>
                <w:sz w:val="20"/>
              </w:rPr>
              <w:instrText>"</w:instrText>
            </w:r>
            <w:r w:rsidR="00F935B1" w:rsidRPr="005E385F">
              <w:rPr>
                <w:rFonts w:ascii="Verdana" w:hAnsi="Verdana"/>
                <w:sz w:val="20"/>
              </w:rPr>
              <w:fldChar w:fldCharType="end"/>
            </w:r>
            <w:r w:rsidR="00F935B1" w:rsidRPr="005E385F">
              <w:rPr>
                <w:rFonts w:ascii="Verdana" w:hAnsi="Verdana"/>
                <w:bCs/>
                <w:sz w:val="20"/>
              </w:rPr>
              <w:t xml:space="preserve"> products are eligible </w:t>
            </w:r>
          </w:p>
          <w:p w14:paraId="37FC0008" w14:textId="77777777" w:rsidR="00F935B1" w:rsidRPr="005E385F" w:rsidRDefault="00F935B1" w:rsidP="0083602C">
            <w:pPr>
              <w:pStyle w:val="NormalWeb"/>
              <w:spacing w:before="0" w:beforeAutospacing="0" w:after="0"/>
              <w:rPr>
                <w:rFonts w:ascii="Verdana" w:hAnsi="Verdana"/>
                <w:bCs/>
                <w:sz w:val="20"/>
              </w:rPr>
            </w:pPr>
          </w:p>
          <w:p w14:paraId="5999F7EA" w14:textId="77777777" w:rsidR="00F935B1" w:rsidRPr="005E385F" w:rsidRDefault="00A0395D" w:rsidP="0083602C">
            <w:pPr>
              <w:pStyle w:val="NormalWeb"/>
              <w:spacing w:before="0" w:beforeAutospacing="0" w:after="0"/>
              <w:rPr>
                <w:rFonts w:ascii="Verdana" w:hAnsi="Verdana"/>
                <w:bCs/>
                <w:sz w:val="20"/>
              </w:rPr>
            </w:pPr>
            <w:hyperlink w:anchor="Virtualizationsoftware" w:history="1">
              <w:r w:rsidR="00F935B1" w:rsidRPr="005E385F">
                <w:rPr>
                  <w:rStyle w:val="Hyperlink"/>
                  <w:rFonts w:ascii="Verdana" w:hAnsi="Verdana"/>
                  <w:bCs/>
                  <w:sz w:val="20"/>
                </w:rPr>
                <w:t>Virtualization software</w:t>
              </w:r>
              <w:r w:rsidR="00F935B1" w:rsidRPr="005E385F">
                <w:rPr>
                  <w:rFonts w:ascii="Verdana" w:hAnsi="Verdana"/>
                  <w:sz w:val="20"/>
                </w:rPr>
                <w:fldChar w:fldCharType="begin"/>
              </w:r>
              <w:r w:rsidR="00F935B1" w:rsidRPr="005E385F">
                <w:rPr>
                  <w:rFonts w:ascii="Verdana" w:hAnsi="Verdana"/>
                  <w:sz w:val="20"/>
                </w:rPr>
                <w:instrText>xe "</w:instrText>
              </w:r>
              <w:r w:rsidR="00F935B1" w:rsidRPr="005E385F">
                <w:rPr>
                  <w:rStyle w:val="Hyperlink"/>
                  <w:rFonts w:ascii="Verdana" w:hAnsi="Verdana"/>
                  <w:bCs/>
                  <w:sz w:val="20"/>
                </w:rPr>
                <w:instrText>Virtualization Software</w:instrText>
              </w:r>
              <w:r w:rsidR="00F935B1" w:rsidRPr="005E385F">
                <w:rPr>
                  <w:rFonts w:ascii="Verdana" w:hAnsi="Verdana"/>
                  <w:sz w:val="20"/>
                </w:rPr>
                <w:instrText>"</w:instrText>
              </w:r>
              <w:r w:rsidR="00F935B1" w:rsidRPr="005E385F">
                <w:rPr>
                  <w:rFonts w:ascii="Verdana" w:hAnsi="Verdana"/>
                  <w:sz w:val="20"/>
                </w:rPr>
                <w:fldChar w:fldCharType="end"/>
              </w:r>
            </w:hyperlink>
            <w:r w:rsidR="00F935B1" w:rsidRPr="005E385F">
              <w:rPr>
                <w:rFonts w:ascii="Verdana" w:hAnsi="Verdana"/>
                <w:bCs/>
                <w:sz w:val="20"/>
              </w:rPr>
              <w:t xml:space="preserve"> that is a server based, shared product is eligible if used for an eligible server function.  If such a software product is used for or provides substantial functionality that is ineligible, such as archiving</w:t>
            </w:r>
            <w:r w:rsidR="00F935B1" w:rsidRPr="005E385F">
              <w:rPr>
                <w:rFonts w:ascii="Verdana" w:hAnsi="Verdana"/>
                <w:sz w:val="20"/>
              </w:rPr>
              <w:fldChar w:fldCharType="begin"/>
            </w:r>
            <w:r w:rsidR="00F935B1" w:rsidRPr="005E385F">
              <w:rPr>
                <w:rFonts w:ascii="Verdana" w:hAnsi="Verdana"/>
                <w:sz w:val="20"/>
              </w:rPr>
              <w:instrText>xe "</w:instrText>
            </w:r>
            <w:r w:rsidR="00F935B1" w:rsidRPr="005E385F">
              <w:rPr>
                <w:rFonts w:ascii="Verdana" w:hAnsi="Verdana"/>
                <w:bCs/>
                <w:sz w:val="20"/>
              </w:rPr>
              <w:instrText>Archiving</w:instrText>
            </w:r>
            <w:r w:rsidR="00F935B1" w:rsidRPr="005E385F">
              <w:rPr>
                <w:rFonts w:ascii="Verdana" w:hAnsi="Verdana"/>
                <w:sz w:val="20"/>
              </w:rPr>
              <w:instrText>"</w:instrText>
            </w:r>
            <w:r w:rsidR="00F935B1" w:rsidRPr="005E385F">
              <w:rPr>
                <w:rFonts w:ascii="Verdana" w:hAnsi="Verdana"/>
                <w:sz w:val="20"/>
              </w:rPr>
              <w:fldChar w:fldCharType="end"/>
            </w:r>
            <w:r w:rsidR="00F935B1" w:rsidRPr="005E385F">
              <w:rPr>
                <w:rFonts w:ascii="Verdana" w:hAnsi="Verdana"/>
                <w:bCs/>
                <w:sz w:val="20"/>
              </w:rPr>
              <w:t>, applications, network management, a cost allocation</w:t>
            </w:r>
            <w:r w:rsidR="00F935B1" w:rsidRPr="005E385F">
              <w:rPr>
                <w:rFonts w:ascii="Verdana" w:hAnsi="Verdana"/>
                <w:sz w:val="20"/>
              </w:rPr>
              <w:fldChar w:fldCharType="begin"/>
            </w:r>
            <w:r w:rsidR="00F935B1" w:rsidRPr="005E385F">
              <w:rPr>
                <w:rFonts w:ascii="Verdana" w:hAnsi="Verdana"/>
                <w:sz w:val="20"/>
              </w:rPr>
              <w:instrText>xe "</w:instrText>
            </w:r>
            <w:r w:rsidR="00F935B1" w:rsidRPr="005E385F">
              <w:rPr>
                <w:rFonts w:ascii="Verdana" w:hAnsi="Verdana"/>
                <w:bCs/>
                <w:sz w:val="20"/>
              </w:rPr>
              <w:instrText>Cost Allocation</w:instrText>
            </w:r>
            <w:r w:rsidR="00F935B1" w:rsidRPr="005E385F">
              <w:rPr>
                <w:rFonts w:ascii="Verdana" w:hAnsi="Verdana"/>
                <w:sz w:val="20"/>
              </w:rPr>
              <w:instrText>"</w:instrText>
            </w:r>
            <w:r w:rsidR="00F935B1" w:rsidRPr="005E385F">
              <w:rPr>
                <w:rFonts w:ascii="Verdana" w:hAnsi="Verdana"/>
                <w:sz w:val="20"/>
              </w:rPr>
              <w:fldChar w:fldCharType="end"/>
            </w:r>
            <w:r w:rsidR="00F935B1" w:rsidRPr="005E385F">
              <w:rPr>
                <w:rFonts w:ascii="Verdana" w:hAnsi="Verdana"/>
                <w:bCs/>
                <w:sz w:val="20"/>
              </w:rPr>
              <w:t xml:space="preserve"> to remove the ineligible functionalities is required.</w:t>
            </w:r>
          </w:p>
        </w:tc>
      </w:tr>
      <w:tr w:rsidR="00F935B1" w:rsidRPr="005E385F" w14:paraId="5BE4C003" w14:textId="77777777" w:rsidTr="0083602C">
        <w:trPr>
          <w:trHeight w:val="159"/>
          <w:tblCellSpacing w:w="15" w:type="dxa"/>
        </w:trPr>
        <w:tc>
          <w:tcPr>
            <w:tcW w:w="1243" w:type="pct"/>
          </w:tcPr>
          <w:p w14:paraId="683B943B" w14:textId="77777777" w:rsidR="00F935B1" w:rsidRPr="005E385F" w:rsidRDefault="00F935B1" w:rsidP="0083602C">
            <w:pPr>
              <w:rPr>
                <w:rFonts w:ascii="Verdana" w:hAnsi="Verdana"/>
                <w:sz w:val="20"/>
              </w:rPr>
            </w:pPr>
            <w:r w:rsidRPr="005E385F">
              <w:rPr>
                <w:rFonts w:ascii="Verdana" w:hAnsi="Verdana"/>
                <w:sz w:val="20"/>
              </w:rPr>
              <w:lastRenderedPageBreak/>
              <w:t>Storage Devices</w:t>
            </w:r>
          </w:p>
          <w:p w14:paraId="50B29AF7" w14:textId="77777777" w:rsidR="00F935B1" w:rsidRPr="005E385F" w:rsidRDefault="00F935B1" w:rsidP="0083602C">
            <w:pPr>
              <w:rPr>
                <w:rFonts w:ascii="Verdana" w:hAnsi="Verdana"/>
                <w:sz w:val="20"/>
              </w:rPr>
            </w:pPr>
          </w:p>
        </w:tc>
        <w:tc>
          <w:tcPr>
            <w:tcW w:w="3709" w:type="pct"/>
          </w:tcPr>
          <w:p w14:paraId="6EEFC60D" w14:textId="77777777" w:rsidR="00F935B1" w:rsidRPr="005E385F" w:rsidRDefault="00F935B1" w:rsidP="0083602C">
            <w:pPr>
              <w:pStyle w:val="NormalWeb"/>
              <w:spacing w:before="0" w:beforeAutospacing="0" w:after="0"/>
              <w:rPr>
                <w:rFonts w:ascii="Verdana" w:hAnsi="Verdana"/>
                <w:bCs/>
                <w:sz w:val="20"/>
              </w:rPr>
            </w:pPr>
            <w:r w:rsidRPr="005E385F">
              <w:rPr>
                <w:rFonts w:ascii="Verdana" w:hAnsi="Verdana"/>
                <w:bCs/>
                <w:sz w:val="20"/>
              </w:rPr>
              <w:t>Storage devices provide electronic data storage</w:t>
            </w:r>
            <w:r w:rsidRPr="005E385F">
              <w:rPr>
                <w:rFonts w:ascii="Verdana" w:hAnsi="Verdana"/>
                <w:sz w:val="20"/>
              </w:rPr>
              <w:fldChar w:fldCharType="begin"/>
            </w:r>
            <w:r w:rsidRPr="005E385F">
              <w:rPr>
                <w:rFonts w:ascii="Verdana" w:hAnsi="Verdana"/>
                <w:sz w:val="20"/>
              </w:rPr>
              <w:instrText>xe "Storage"</w:instrText>
            </w:r>
            <w:r w:rsidRPr="005E385F">
              <w:rPr>
                <w:rFonts w:ascii="Verdana" w:hAnsi="Verdana"/>
                <w:sz w:val="20"/>
              </w:rPr>
              <w:fldChar w:fldCharType="end"/>
            </w:r>
            <w:r w:rsidRPr="005E385F">
              <w:rPr>
                <w:rFonts w:ascii="Verdana" w:hAnsi="Verdana"/>
                <w:bCs/>
                <w:sz w:val="20"/>
              </w:rPr>
              <w:t xml:space="preserve"> on magnetic or other media. Devices include </w:t>
            </w:r>
            <w:hyperlink w:anchor="HardDiskDrive" w:history="1">
              <w:r w:rsidRPr="005E385F">
                <w:rPr>
                  <w:rStyle w:val="Hyperlink"/>
                  <w:rFonts w:ascii="Verdana" w:hAnsi="Verdana"/>
                  <w:bCs/>
                  <w:sz w:val="20"/>
                </w:rPr>
                <w:t>hard disk drives</w:t>
              </w:r>
            </w:hyperlink>
            <w:r w:rsidRPr="005E385F">
              <w:rPr>
                <w:rFonts w:ascii="Verdana" w:hAnsi="Verdana"/>
                <w:bCs/>
                <w:sz w:val="20"/>
              </w:rPr>
              <w:t>,</w:t>
            </w:r>
            <w:r w:rsidRPr="005E385F">
              <w:rPr>
                <w:rFonts w:ascii="Verdana" w:hAnsi="Verdana"/>
                <w:sz w:val="20"/>
              </w:rPr>
              <w:fldChar w:fldCharType="begin"/>
            </w:r>
            <w:r w:rsidRPr="005E385F">
              <w:rPr>
                <w:rFonts w:ascii="Verdana" w:hAnsi="Verdana"/>
                <w:sz w:val="20"/>
              </w:rPr>
              <w:instrText>xe "</w:instrText>
            </w:r>
            <w:r w:rsidRPr="005E385F">
              <w:rPr>
                <w:rFonts w:ascii="Verdana" w:hAnsi="Verdana"/>
                <w:bCs/>
                <w:sz w:val="20"/>
              </w:rPr>
              <w:instrText>Hard Disk Drive</w:instrText>
            </w:r>
            <w:r w:rsidRPr="005E385F">
              <w:rPr>
                <w:rFonts w:ascii="Verdana" w:hAnsi="Verdana"/>
                <w:sz w:val="20"/>
              </w:rPr>
              <w:instrText>"</w:instrText>
            </w:r>
            <w:r w:rsidRPr="005E385F">
              <w:rPr>
                <w:rFonts w:ascii="Verdana" w:hAnsi="Verdana"/>
                <w:sz w:val="20"/>
              </w:rPr>
              <w:fldChar w:fldCharType="end"/>
            </w:r>
            <w:r w:rsidRPr="005E385F">
              <w:rPr>
                <w:rFonts w:ascii="Verdana" w:hAnsi="Verdana"/>
                <w:bCs/>
                <w:sz w:val="20"/>
              </w:rPr>
              <w:t xml:space="preserve"> CD ROM drives, DVD</w:t>
            </w:r>
            <w:r w:rsidRPr="005E385F">
              <w:rPr>
                <w:rFonts w:ascii="Verdana" w:hAnsi="Verdana"/>
                <w:sz w:val="20"/>
              </w:rPr>
              <w:fldChar w:fldCharType="begin"/>
            </w:r>
            <w:r w:rsidRPr="005E385F">
              <w:rPr>
                <w:rFonts w:ascii="Verdana" w:hAnsi="Verdana"/>
                <w:sz w:val="20"/>
              </w:rPr>
              <w:instrText>xe "DVD"</w:instrText>
            </w:r>
            <w:r w:rsidRPr="005E385F">
              <w:rPr>
                <w:rFonts w:ascii="Verdana" w:hAnsi="Verdana"/>
                <w:sz w:val="20"/>
              </w:rPr>
              <w:fldChar w:fldCharType="end"/>
            </w:r>
            <w:r w:rsidRPr="005E385F">
              <w:rPr>
                <w:rFonts w:ascii="Verdana" w:hAnsi="Verdana"/>
                <w:bCs/>
                <w:sz w:val="20"/>
              </w:rPr>
              <w:t xml:space="preserve"> drives, and floppy disk drives</w:t>
            </w:r>
            <w:r w:rsidRPr="005E385F">
              <w:rPr>
                <w:rFonts w:ascii="Verdana" w:hAnsi="Verdana"/>
                <w:sz w:val="20"/>
              </w:rPr>
              <w:fldChar w:fldCharType="begin"/>
            </w:r>
            <w:r w:rsidRPr="005E385F">
              <w:rPr>
                <w:rFonts w:ascii="Verdana" w:hAnsi="Verdana"/>
                <w:sz w:val="20"/>
              </w:rPr>
              <w:instrText>xe "</w:instrText>
            </w:r>
            <w:r w:rsidRPr="005E385F">
              <w:rPr>
                <w:rFonts w:ascii="Verdana" w:hAnsi="Verdana"/>
                <w:bCs/>
                <w:sz w:val="20"/>
              </w:rPr>
              <w:instrText>Floppy Disk Drive</w:instrText>
            </w:r>
            <w:r w:rsidRPr="005E385F">
              <w:rPr>
                <w:rFonts w:ascii="Verdana" w:hAnsi="Verdana"/>
                <w:sz w:val="20"/>
              </w:rPr>
              <w:instrText>"</w:instrText>
            </w:r>
            <w:r w:rsidRPr="005E385F">
              <w:rPr>
                <w:rFonts w:ascii="Verdana" w:hAnsi="Verdana"/>
                <w:sz w:val="20"/>
              </w:rPr>
              <w:fldChar w:fldCharType="end"/>
            </w:r>
            <w:r w:rsidRPr="005E385F">
              <w:rPr>
                <w:rFonts w:ascii="Verdana" w:hAnsi="Verdana"/>
                <w:bCs/>
                <w:sz w:val="20"/>
              </w:rPr>
              <w:t xml:space="preserve">. </w:t>
            </w:r>
          </w:p>
          <w:p w14:paraId="7F8DD622" w14:textId="77777777" w:rsidR="00F935B1" w:rsidRPr="005E385F" w:rsidRDefault="00F935B1" w:rsidP="0083602C">
            <w:pPr>
              <w:pStyle w:val="NormalWeb"/>
              <w:spacing w:before="0" w:beforeAutospacing="0" w:after="0"/>
              <w:rPr>
                <w:rFonts w:ascii="Verdana" w:hAnsi="Verdana"/>
                <w:bCs/>
                <w:sz w:val="20"/>
              </w:rPr>
            </w:pPr>
          </w:p>
          <w:p w14:paraId="7F5CC877" w14:textId="77777777" w:rsidR="00F935B1" w:rsidRPr="005E385F" w:rsidRDefault="00F935B1" w:rsidP="0083602C">
            <w:pPr>
              <w:pStyle w:val="NormalWeb"/>
              <w:spacing w:before="0" w:beforeAutospacing="0" w:after="0"/>
              <w:rPr>
                <w:rFonts w:ascii="Verdana" w:hAnsi="Verdana"/>
                <w:bCs/>
                <w:sz w:val="20"/>
              </w:rPr>
            </w:pPr>
            <w:r w:rsidRPr="005E385F">
              <w:rPr>
                <w:rFonts w:ascii="Verdana" w:hAnsi="Verdana"/>
                <w:bCs/>
                <w:sz w:val="20"/>
              </w:rPr>
              <w:t>Storage products may be used to store the operating system</w:t>
            </w:r>
            <w:r w:rsidRPr="005E385F">
              <w:rPr>
                <w:rFonts w:ascii="Verdana" w:hAnsi="Verdana"/>
                <w:sz w:val="20"/>
              </w:rPr>
              <w:fldChar w:fldCharType="begin"/>
            </w:r>
            <w:r w:rsidRPr="005E385F">
              <w:rPr>
                <w:rFonts w:ascii="Verdana" w:hAnsi="Verdana"/>
                <w:sz w:val="20"/>
              </w:rPr>
              <w:instrText>xe "Operating System"</w:instrText>
            </w:r>
            <w:r w:rsidRPr="005E385F">
              <w:rPr>
                <w:rFonts w:ascii="Verdana" w:hAnsi="Verdana"/>
                <w:sz w:val="20"/>
              </w:rPr>
              <w:fldChar w:fldCharType="end"/>
            </w:r>
            <w:r w:rsidRPr="005E385F">
              <w:rPr>
                <w:rFonts w:ascii="Verdana" w:hAnsi="Verdana"/>
                <w:bCs/>
                <w:sz w:val="20"/>
              </w:rPr>
              <w:t xml:space="preserve"> of an eligible product, such as a network server</w:t>
            </w:r>
            <w:r w:rsidRPr="005E385F">
              <w:rPr>
                <w:rFonts w:ascii="Verdana" w:hAnsi="Verdana"/>
                <w:sz w:val="20"/>
              </w:rPr>
              <w:fldChar w:fldCharType="begin"/>
            </w:r>
            <w:r w:rsidRPr="005E385F">
              <w:rPr>
                <w:rFonts w:ascii="Verdana" w:hAnsi="Verdana"/>
                <w:sz w:val="20"/>
              </w:rPr>
              <w:instrText>xe "Servers"</w:instrText>
            </w:r>
            <w:r w:rsidRPr="005E385F">
              <w:rPr>
                <w:rFonts w:ascii="Verdana" w:hAnsi="Verdana"/>
                <w:sz w:val="20"/>
              </w:rPr>
              <w:fldChar w:fldCharType="end"/>
            </w:r>
            <w:r w:rsidRPr="005E385F">
              <w:rPr>
                <w:rFonts w:ascii="Verdana" w:hAnsi="Verdana"/>
                <w:bCs/>
                <w:sz w:val="20"/>
              </w:rPr>
              <w:t xml:space="preserve"> used for an eligible purpose.  (See the entry for </w:t>
            </w:r>
            <w:hyperlink w:anchor="aaServers" w:history="1">
              <w:r w:rsidRPr="005E385F">
                <w:rPr>
                  <w:rStyle w:val="Hyperlink"/>
                  <w:rFonts w:ascii="Verdana" w:hAnsi="Verdana"/>
                  <w:bCs/>
                  <w:sz w:val="20"/>
                </w:rPr>
                <w:t>Servers</w:t>
              </w:r>
              <w:r w:rsidRPr="005E385F">
                <w:rPr>
                  <w:rFonts w:ascii="Verdana" w:hAnsi="Verdana"/>
                  <w:sz w:val="20"/>
                </w:rPr>
                <w:fldChar w:fldCharType="begin"/>
              </w:r>
              <w:r w:rsidRPr="005E385F">
                <w:rPr>
                  <w:rFonts w:ascii="Verdana" w:hAnsi="Verdana"/>
                  <w:sz w:val="20"/>
                </w:rPr>
                <w:instrText>xe "Servers"</w:instrText>
              </w:r>
              <w:r w:rsidRPr="005E385F">
                <w:rPr>
                  <w:rFonts w:ascii="Verdana" w:hAnsi="Verdana"/>
                  <w:sz w:val="20"/>
                </w:rPr>
                <w:fldChar w:fldCharType="end"/>
              </w:r>
            </w:hyperlink>
            <w:r w:rsidRPr="005E385F">
              <w:rPr>
                <w:rFonts w:ascii="Verdana" w:hAnsi="Verdana"/>
                <w:bCs/>
                <w:sz w:val="20"/>
              </w:rPr>
              <w:t xml:space="preserve"> for further information.)  In addition, storage</w:t>
            </w:r>
            <w:r w:rsidRPr="005E385F">
              <w:rPr>
                <w:rFonts w:ascii="Verdana" w:hAnsi="Verdana"/>
                <w:sz w:val="20"/>
              </w:rPr>
              <w:fldChar w:fldCharType="begin"/>
            </w:r>
            <w:r w:rsidRPr="005E385F">
              <w:rPr>
                <w:rFonts w:ascii="Verdana" w:hAnsi="Verdana"/>
                <w:sz w:val="20"/>
              </w:rPr>
              <w:instrText>xe "Storage"</w:instrText>
            </w:r>
            <w:r w:rsidRPr="005E385F">
              <w:rPr>
                <w:rFonts w:ascii="Verdana" w:hAnsi="Verdana"/>
                <w:sz w:val="20"/>
              </w:rPr>
              <w:fldChar w:fldCharType="end"/>
            </w:r>
            <w:r w:rsidRPr="005E385F">
              <w:rPr>
                <w:rFonts w:ascii="Verdana" w:hAnsi="Verdana"/>
                <w:bCs/>
                <w:sz w:val="20"/>
              </w:rPr>
              <w:t xml:space="preserve"> products may be used for eligible e-mail</w:t>
            </w:r>
            <w:r w:rsidRPr="005E385F">
              <w:rPr>
                <w:rFonts w:ascii="Verdana" w:hAnsi="Verdana"/>
                <w:sz w:val="20"/>
              </w:rPr>
              <w:fldChar w:fldCharType="begin"/>
            </w:r>
            <w:r w:rsidRPr="005E385F">
              <w:rPr>
                <w:rFonts w:ascii="Verdana" w:hAnsi="Verdana"/>
                <w:sz w:val="20"/>
              </w:rPr>
              <w:instrText>xe "E-Mail"</w:instrText>
            </w:r>
            <w:r w:rsidRPr="005E385F">
              <w:rPr>
                <w:rFonts w:ascii="Verdana" w:hAnsi="Verdana"/>
                <w:sz w:val="20"/>
              </w:rPr>
              <w:fldChar w:fldCharType="end"/>
            </w:r>
            <w:r w:rsidRPr="005E385F">
              <w:rPr>
                <w:rFonts w:ascii="Verdana" w:hAnsi="Verdana"/>
                <w:bCs/>
                <w:sz w:val="20"/>
              </w:rPr>
              <w:t xml:space="preserve"> files but not for </w:t>
            </w:r>
            <w:hyperlink w:anchor="emailarchiving" w:history="1">
              <w:r w:rsidRPr="005E385F">
                <w:rPr>
                  <w:rStyle w:val="Hyperlink"/>
                  <w:rFonts w:ascii="Verdana" w:hAnsi="Verdana"/>
                  <w:bCs/>
                  <w:sz w:val="20"/>
                </w:rPr>
                <w:t>e-mail archiving</w:t>
              </w:r>
            </w:hyperlink>
            <w:r w:rsidRPr="005E385F">
              <w:rPr>
                <w:rFonts w:ascii="Verdana" w:hAnsi="Verdana"/>
                <w:sz w:val="20"/>
              </w:rPr>
              <w:fldChar w:fldCharType="begin"/>
            </w:r>
            <w:r w:rsidRPr="005E385F">
              <w:rPr>
                <w:rFonts w:ascii="Verdana" w:hAnsi="Verdana"/>
                <w:sz w:val="20"/>
              </w:rPr>
              <w:instrText>xe "</w:instrText>
            </w:r>
            <w:r w:rsidRPr="005E385F">
              <w:rPr>
                <w:rFonts w:ascii="Verdana" w:hAnsi="Verdana"/>
                <w:bCs/>
                <w:sz w:val="20"/>
              </w:rPr>
              <w:instrText>Archiving</w:instrText>
            </w:r>
            <w:r w:rsidRPr="005E385F">
              <w:rPr>
                <w:rFonts w:ascii="Verdana" w:hAnsi="Verdana"/>
                <w:sz w:val="20"/>
              </w:rPr>
              <w:instrText>"</w:instrText>
            </w:r>
            <w:r w:rsidRPr="005E385F">
              <w:rPr>
                <w:rFonts w:ascii="Verdana" w:hAnsi="Verdana"/>
                <w:sz w:val="20"/>
              </w:rPr>
              <w:fldChar w:fldCharType="end"/>
            </w:r>
            <w:r w:rsidRPr="005E385F">
              <w:rPr>
                <w:rFonts w:ascii="Verdana" w:hAnsi="Verdana"/>
                <w:bCs/>
                <w:sz w:val="20"/>
              </w:rPr>
              <w:t xml:space="preserve">. </w:t>
            </w:r>
          </w:p>
          <w:p w14:paraId="25836FA6" w14:textId="77777777" w:rsidR="00F935B1" w:rsidRPr="005E385F" w:rsidRDefault="00F935B1" w:rsidP="0083602C">
            <w:pPr>
              <w:pStyle w:val="NormalWeb"/>
              <w:spacing w:before="0" w:beforeAutospacing="0" w:after="0"/>
              <w:rPr>
                <w:rFonts w:ascii="Verdana" w:hAnsi="Verdana"/>
                <w:bCs/>
                <w:sz w:val="20"/>
              </w:rPr>
            </w:pPr>
          </w:p>
          <w:p w14:paraId="3E5EF4DE" w14:textId="77777777" w:rsidR="00F935B1" w:rsidRPr="005E385F" w:rsidRDefault="00F935B1" w:rsidP="0083602C">
            <w:pPr>
              <w:pStyle w:val="NormalWeb"/>
              <w:spacing w:before="0" w:beforeAutospacing="0" w:after="0"/>
              <w:rPr>
                <w:rFonts w:ascii="Verdana" w:hAnsi="Verdana"/>
                <w:bCs/>
                <w:sz w:val="20"/>
              </w:rPr>
            </w:pPr>
            <w:r w:rsidRPr="005E385F">
              <w:rPr>
                <w:rFonts w:ascii="Verdana" w:hAnsi="Verdana"/>
                <w:bCs/>
                <w:sz w:val="20"/>
              </w:rPr>
              <w:t>An eligible server</w:t>
            </w:r>
            <w:r w:rsidRPr="005E385F">
              <w:rPr>
                <w:rFonts w:ascii="Verdana" w:hAnsi="Verdana"/>
                <w:sz w:val="20"/>
              </w:rPr>
              <w:fldChar w:fldCharType="begin"/>
            </w:r>
            <w:r w:rsidRPr="005E385F">
              <w:rPr>
                <w:rFonts w:ascii="Verdana" w:hAnsi="Verdana"/>
                <w:sz w:val="20"/>
              </w:rPr>
              <w:instrText>xe "Servers"</w:instrText>
            </w:r>
            <w:r w:rsidRPr="005E385F">
              <w:rPr>
                <w:rFonts w:ascii="Verdana" w:hAnsi="Verdana"/>
                <w:sz w:val="20"/>
              </w:rPr>
              <w:fldChar w:fldCharType="end"/>
            </w:r>
            <w:r w:rsidRPr="005E385F">
              <w:rPr>
                <w:rFonts w:ascii="Verdana" w:hAnsi="Verdana"/>
                <w:bCs/>
                <w:sz w:val="20"/>
              </w:rPr>
              <w:t xml:space="preserve"> or other eligible component that provides a storage</w:t>
            </w:r>
            <w:r w:rsidRPr="005E385F">
              <w:rPr>
                <w:rFonts w:ascii="Verdana" w:hAnsi="Verdana"/>
                <w:sz w:val="20"/>
              </w:rPr>
              <w:fldChar w:fldCharType="begin"/>
            </w:r>
            <w:r w:rsidRPr="005E385F">
              <w:rPr>
                <w:rFonts w:ascii="Verdana" w:hAnsi="Verdana"/>
                <w:sz w:val="20"/>
              </w:rPr>
              <w:instrText>xe "Storage"</w:instrText>
            </w:r>
            <w:r w:rsidRPr="005E385F">
              <w:rPr>
                <w:rFonts w:ascii="Verdana" w:hAnsi="Verdana"/>
                <w:sz w:val="20"/>
              </w:rPr>
              <w:fldChar w:fldCharType="end"/>
            </w:r>
            <w:r w:rsidRPr="005E385F">
              <w:rPr>
                <w:rFonts w:ascii="Verdana" w:hAnsi="Verdana"/>
                <w:bCs/>
                <w:sz w:val="20"/>
              </w:rPr>
              <w:t xml:space="preserve"> product, such as a DVD</w:t>
            </w:r>
            <w:r w:rsidRPr="005E385F">
              <w:rPr>
                <w:rFonts w:ascii="Verdana" w:hAnsi="Verdana"/>
                <w:sz w:val="20"/>
              </w:rPr>
              <w:fldChar w:fldCharType="begin"/>
            </w:r>
            <w:r w:rsidRPr="005E385F">
              <w:rPr>
                <w:rFonts w:ascii="Verdana" w:hAnsi="Verdana"/>
                <w:sz w:val="20"/>
              </w:rPr>
              <w:instrText>xe "DVD"</w:instrText>
            </w:r>
            <w:r w:rsidRPr="005E385F">
              <w:rPr>
                <w:rFonts w:ascii="Verdana" w:hAnsi="Verdana"/>
                <w:sz w:val="20"/>
              </w:rPr>
              <w:fldChar w:fldCharType="end"/>
            </w:r>
            <w:r w:rsidRPr="005E385F">
              <w:rPr>
                <w:rFonts w:ascii="Verdana" w:hAnsi="Verdana"/>
                <w:bCs/>
                <w:sz w:val="20"/>
              </w:rPr>
              <w:t xml:space="preserve"> drive, as an integral component part, at no additional cost, is eligible.</w:t>
            </w:r>
          </w:p>
        </w:tc>
      </w:tr>
      <w:tr w:rsidR="00F935B1" w:rsidRPr="005E385F" w14:paraId="32F2F85C" w14:textId="77777777" w:rsidTr="0083602C">
        <w:trPr>
          <w:trHeight w:val="159"/>
          <w:tblCellSpacing w:w="15" w:type="dxa"/>
        </w:trPr>
        <w:tc>
          <w:tcPr>
            <w:tcW w:w="1243" w:type="pct"/>
          </w:tcPr>
          <w:p w14:paraId="71A72B59" w14:textId="77777777" w:rsidR="00F935B1" w:rsidRPr="005E385F" w:rsidRDefault="00F935B1" w:rsidP="0083602C">
            <w:pPr>
              <w:rPr>
                <w:rFonts w:ascii="Verdana" w:hAnsi="Verdana"/>
                <w:sz w:val="20"/>
              </w:rPr>
            </w:pPr>
            <w:r w:rsidRPr="005E385F">
              <w:rPr>
                <w:rFonts w:ascii="Verdana" w:hAnsi="Verdana"/>
                <w:sz w:val="20"/>
              </w:rPr>
              <w:t>Telephone</w:t>
            </w:r>
            <w:r w:rsidRPr="005E385F">
              <w:rPr>
                <w:rFonts w:ascii="Verdana" w:hAnsi="Verdana"/>
                <w:sz w:val="20"/>
              </w:rPr>
              <w:fldChar w:fldCharType="begin"/>
            </w:r>
            <w:r w:rsidRPr="005E385F">
              <w:rPr>
                <w:rFonts w:ascii="Verdana" w:hAnsi="Verdana"/>
                <w:sz w:val="20"/>
              </w:rPr>
              <w:instrText>xe "Telephone"</w:instrText>
            </w:r>
            <w:r w:rsidRPr="005E385F">
              <w:rPr>
                <w:rFonts w:ascii="Verdana" w:hAnsi="Verdana"/>
                <w:sz w:val="20"/>
              </w:rPr>
              <w:fldChar w:fldCharType="end"/>
            </w:r>
            <w:r w:rsidRPr="005E385F">
              <w:rPr>
                <w:rFonts w:ascii="Verdana" w:hAnsi="Verdana"/>
                <w:sz w:val="20"/>
              </w:rPr>
              <w:t xml:space="preserve"> Components</w:t>
            </w:r>
            <w:r w:rsidRPr="005E385F">
              <w:rPr>
                <w:rFonts w:ascii="Verdana" w:hAnsi="Verdana"/>
                <w:sz w:val="20"/>
              </w:rPr>
              <w:fldChar w:fldCharType="begin"/>
            </w:r>
            <w:r w:rsidRPr="005E385F">
              <w:rPr>
                <w:rFonts w:ascii="Verdana" w:hAnsi="Verdana"/>
                <w:sz w:val="20"/>
              </w:rPr>
              <w:instrText>xe "Telephone Components"</w:instrText>
            </w:r>
            <w:r w:rsidRPr="005E385F">
              <w:rPr>
                <w:rFonts w:ascii="Verdana" w:hAnsi="Verdana"/>
                <w:sz w:val="20"/>
              </w:rPr>
              <w:fldChar w:fldCharType="end"/>
            </w:r>
          </w:p>
          <w:p w14:paraId="3536E3A1" w14:textId="77777777" w:rsidR="00F935B1" w:rsidRPr="005E385F" w:rsidRDefault="00F935B1" w:rsidP="0083602C">
            <w:pPr>
              <w:rPr>
                <w:rFonts w:ascii="Verdana" w:hAnsi="Verdana"/>
                <w:sz w:val="20"/>
              </w:rPr>
            </w:pPr>
          </w:p>
          <w:p w14:paraId="15C7595A" w14:textId="77777777" w:rsidR="00F935B1" w:rsidRPr="005E385F" w:rsidRDefault="00F935B1" w:rsidP="0083602C">
            <w:pPr>
              <w:rPr>
                <w:rFonts w:ascii="Verdana" w:hAnsi="Verdana"/>
                <w:sz w:val="20"/>
              </w:rPr>
            </w:pPr>
          </w:p>
        </w:tc>
        <w:tc>
          <w:tcPr>
            <w:tcW w:w="3709" w:type="pct"/>
          </w:tcPr>
          <w:p w14:paraId="1BBB9E93" w14:textId="77777777" w:rsidR="00F935B1" w:rsidRPr="005E385F" w:rsidRDefault="00F935B1" w:rsidP="0083602C">
            <w:pPr>
              <w:pStyle w:val="NormalWeb"/>
              <w:spacing w:before="0" w:beforeAutospacing="0" w:after="0"/>
              <w:rPr>
                <w:rFonts w:ascii="Verdana" w:hAnsi="Verdana"/>
                <w:bCs/>
                <w:sz w:val="20"/>
              </w:rPr>
            </w:pPr>
            <w:r w:rsidRPr="005E385F">
              <w:rPr>
                <w:rFonts w:ascii="Verdana" w:hAnsi="Verdana"/>
                <w:bCs/>
                <w:sz w:val="20"/>
              </w:rPr>
              <w:t>Centralized components that are an essential element in the transport of telephone services within a school or library are eligible. This includes:</w:t>
            </w:r>
          </w:p>
          <w:p w14:paraId="07BF2ED2" w14:textId="77777777" w:rsidR="00F935B1" w:rsidRPr="005E385F" w:rsidRDefault="00F935B1" w:rsidP="0083602C">
            <w:pPr>
              <w:pStyle w:val="NormalWeb"/>
              <w:spacing w:before="0" w:beforeAutospacing="0" w:after="0"/>
              <w:rPr>
                <w:rFonts w:ascii="Verdana" w:hAnsi="Verdana"/>
                <w:bCs/>
                <w:sz w:val="20"/>
              </w:rPr>
            </w:pPr>
          </w:p>
          <w:p w14:paraId="4C73D15B" w14:textId="77777777" w:rsidR="00F935B1" w:rsidRPr="005E385F" w:rsidRDefault="00A0395D" w:rsidP="00F935B1">
            <w:pPr>
              <w:pStyle w:val="NormalWeb"/>
              <w:numPr>
                <w:ilvl w:val="0"/>
                <w:numId w:val="20"/>
              </w:numPr>
              <w:spacing w:before="0" w:beforeAutospacing="0" w:after="0"/>
              <w:rPr>
                <w:rFonts w:ascii="Verdana" w:hAnsi="Verdana"/>
                <w:bCs/>
                <w:sz w:val="20"/>
              </w:rPr>
            </w:pPr>
            <w:hyperlink w:anchor="PrivateBranchExchange" w:history="1">
              <w:r w:rsidR="00F935B1" w:rsidRPr="005E385F">
                <w:rPr>
                  <w:rStyle w:val="Hyperlink"/>
                  <w:rFonts w:ascii="Verdana" w:hAnsi="Verdana"/>
                  <w:bCs/>
                  <w:sz w:val="20"/>
                </w:rPr>
                <w:t>Private Branch Exchange (PBX)</w:t>
              </w:r>
              <w:r w:rsidR="00F935B1" w:rsidRPr="005E385F">
                <w:rPr>
                  <w:rFonts w:ascii="Verdana" w:hAnsi="Verdana"/>
                  <w:sz w:val="20"/>
                </w:rPr>
                <w:fldChar w:fldCharType="begin"/>
              </w:r>
              <w:r w:rsidR="00F935B1" w:rsidRPr="005E385F">
                <w:rPr>
                  <w:rFonts w:ascii="Verdana" w:hAnsi="Verdana"/>
                  <w:sz w:val="20"/>
                </w:rPr>
                <w:instrText>xe "</w:instrText>
              </w:r>
              <w:r w:rsidR="00F935B1" w:rsidRPr="005E385F">
                <w:rPr>
                  <w:rStyle w:val="Hyperlink"/>
                  <w:rFonts w:ascii="Verdana" w:hAnsi="Verdana"/>
                  <w:bCs/>
                  <w:sz w:val="20"/>
                </w:rPr>
                <w:instrText>Private Branch Exchange</w:instrText>
              </w:r>
              <w:r w:rsidR="00F935B1" w:rsidRPr="005E385F">
                <w:rPr>
                  <w:rFonts w:ascii="Verdana" w:hAnsi="Verdana"/>
                  <w:sz w:val="20"/>
                </w:rPr>
                <w:instrText>"</w:instrText>
              </w:r>
              <w:r w:rsidR="00F935B1" w:rsidRPr="005E385F">
                <w:rPr>
                  <w:rFonts w:ascii="Verdana" w:hAnsi="Verdana"/>
                  <w:sz w:val="20"/>
                </w:rPr>
                <w:fldChar w:fldCharType="end"/>
              </w:r>
            </w:hyperlink>
          </w:p>
          <w:p w14:paraId="12336A33" w14:textId="77777777" w:rsidR="00F935B1" w:rsidRPr="005E385F" w:rsidRDefault="00A0395D" w:rsidP="00F935B1">
            <w:pPr>
              <w:pStyle w:val="NormalWeb"/>
              <w:numPr>
                <w:ilvl w:val="0"/>
                <w:numId w:val="20"/>
              </w:numPr>
              <w:spacing w:before="0" w:beforeAutospacing="0" w:after="0"/>
              <w:rPr>
                <w:rFonts w:ascii="Verdana" w:hAnsi="Verdana"/>
                <w:bCs/>
                <w:sz w:val="20"/>
              </w:rPr>
            </w:pPr>
            <w:hyperlink w:anchor="KeySystem" w:history="1">
              <w:r w:rsidR="00F935B1" w:rsidRPr="005E385F">
                <w:rPr>
                  <w:rStyle w:val="Hyperlink"/>
                  <w:rFonts w:ascii="Verdana" w:hAnsi="Verdana"/>
                  <w:bCs/>
                  <w:sz w:val="20"/>
                </w:rPr>
                <w:t>Key System (KSU)</w:t>
              </w:r>
              <w:r w:rsidR="00F935B1" w:rsidRPr="005E385F">
                <w:rPr>
                  <w:rFonts w:ascii="Verdana" w:hAnsi="Verdana"/>
                  <w:sz w:val="20"/>
                </w:rPr>
                <w:fldChar w:fldCharType="begin"/>
              </w:r>
              <w:r w:rsidR="00F935B1" w:rsidRPr="005E385F">
                <w:rPr>
                  <w:rFonts w:ascii="Verdana" w:hAnsi="Verdana"/>
                  <w:sz w:val="20"/>
                </w:rPr>
                <w:instrText>xe "</w:instrText>
              </w:r>
              <w:r w:rsidR="00F935B1" w:rsidRPr="005E385F">
                <w:rPr>
                  <w:rStyle w:val="Hyperlink"/>
                  <w:rFonts w:ascii="Verdana" w:hAnsi="Verdana"/>
                  <w:bCs/>
                  <w:sz w:val="20"/>
                </w:rPr>
                <w:instrText>Key System</w:instrText>
              </w:r>
              <w:r w:rsidR="00F935B1" w:rsidRPr="005E385F">
                <w:rPr>
                  <w:rFonts w:ascii="Verdana" w:hAnsi="Verdana"/>
                  <w:sz w:val="20"/>
                </w:rPr>
                <w:instrText>"</w:instrText>
              </w:r>
              <w:r w:rsidR="00F935B1" w:rsidRPr="005E385F">
                <w:rPr>
                  <w:rFonts w:ascii="Verdana" w:hAnsi="Verdana"/>
                  <w:sz w:val="20"/>
                </w:rPr>
                <w:fldChar w:fldCharType="end"/>
              </w:r>
            </w:hyperlink>
          </w:p>
          <w:p w14:paraId="597DEDB5" w14:textId="77777777" w:rsidR="00F935B1" w:rsidRPr="005E385F" w:rsidRDefault="00A0395D" w:rsidP="00F935B1">
            <w:pPr>
              <w:pStyle w:val="NormalWeb"/>
              <w:numPr>
                <w:ilvl w:val="0"/>
                <w:numId w:val="20"/>
              </w:numPr>
              <w:spacing w:before="0" w:beforeAutospacing="0" w:after="0"/>
              <w:rPr>
                <w:rFonts w:ascii="Verdana" w:hAnsi="Verdana"/>
                <w:bCs/>
                <w:sz w:val="20"/>
              </w:rPr>
            </w:pPr>
            <w:hyperlink w:anchor="VoiceMailComponents" w:history="1">
              <w:r w:rsidR="00F935B1" w:rsidRPr="005E385F">
                <w:rPr>
                  <w:rStyle w:val="Hyperlink"/>
                  <w:rFonts w:ascii="Verdana" w:hAnsi="Verdana"/>
                  <w:bCs/>
                  <w:sz w:val="20"/>
                </w:rPr>
                <w:t>Voice Mail</w:t>
              </w:r>
              <w:r w:rsidR="00F935B1" w:rsidRPr="005E385F">
                <w:rPr>
                  <w:rFonts w:ascii="Verdana" w:hAnsi="Verdana"/>
                  <w:sz w:val="20"/>
                </w:rPr>
                <w:fldChar w:fldCharType="begin"/>
              </w:r>
              <w:r w:rsidR="00F935B1" w:rsidRPr="005E385F">
                <w:rPr>
                  <w:rFonts w:ascii="Verdana" w:hAnsi="Verdana"/>
                  <w:sz w:val="20"/>
                </w:rPr>
                <w:instrText>xe "Voice Mail Components"</w:instrText>
              </w:r>
              <w:r w:rsidR="00F935B1" w:rsidRPr="005E385F">
                <w:rPr>
                  <w:rFonts w:ascii="Verdana" w:hAnsi="Verdana"/>
                  <w:sz w:val="20"/>
                </w:rPr>
                <w:fldChar w:fldCharType="end"/>
              </w:r>
            </w:hyperlink>
          </w:p>
          <w:p w14:paraId="4F152806" w14:textId="77777777" w:rsidR="00F935B1" w:rsidRPr="005E385F" w:rsidRDefault="00A0395D" w:rsidP="00F935B1">
            <w:pPr>
              <w:pStyle w:val="NormalWeb"/>
              <w:numPr>
                <w:ilvl w:val="0"/>
                <w:numId w:val="20"/>
              </w:numPr>
              <w:spacing w:before="0" w:beforeAutospacing="0" w:after="0"/>
              <w:rPr>
                <w:rFonts w:ascii="Verdana" w:hAnsi="Verdana"/>
                <w:bCs/>
                <w:sz w:val="20"/>
              </w:rPr>
            </w:pPr>
            <w:hyperlink w:anchor="WirelessPBXAdjunct" w:history="1">
              <w:r w:rsidR="00F935B1" w:rsidRPr="005E385F">
                <w:rPr>
                  <w:rStyle w:val="Hyperlink"/>
                  <w:rFonts w:ascii="Verdana" w:hAnsi="Verdana"/>
                  <w:bCs/>
                  <w:sz w:val="20"/>
                </w:rPr>
                <w:t>Wireless</w:t>
              </w:r>
              <w:r w:rsidR="00F935B1" w:rsidRPr="005E385F">
                <w:rPr>
                  <w:rFonts w:ascii="Verdana" w:hAnsi="Verdana"/>
                  <w:sz w:val="20"/>
                </w:rPr>
                <w:fldChar w:fldCharType="begin"/>
              </w:r>
              <w:r w:rsidR="00F935B1" w:rsidRPr="005E385F">
                <w:rPr>
                  <w:rFonts w:ascii="Verdana" w:hAnsi="Verdana"/>
                  <w:sz w:val="20"/>
                </w:rPr>
                <w:instrText>xe "Wireless"</w:instrText>
              </w:r>
              <w:r w:rsidR="00F935B1" w:rsidRPr="005E385F">
                <w:rPr>
                  <w:rFonts w:ascii="Verdana" w:hAnsi="Verdana"/>
                  <w:sz w:val="20"/>
                </w:rPr>
                <w:fldChar w:fldCharType="end"/>
              </w:r>
            </w:hyperlink>
          </w:p>
          <w:p w14:paraId="79AD3DE6" w14:textId="77777777" w:rsidR="00F935B1" w:rsidRPr="005E385F" w:rsidRDefault="00A0395D" w:rsidP="00F935B1">
            <w:pPr>
              <w:pStyle w:val="NormalWeb"/>
              <w:numPr>
                <w:ilvl w:val="0"/>
                <w:numId w:val="20"/>
              </w:numPr>
              <w:spacing w:before="0" w:beforeAutospacing="0" w:after="0"/>
              <w:rPr>
                <w:rFonts w:ascii="Verdana" w:hAnsi="Verdana"/>
                <w:bCs/>
                <w:sz w:val="20"/>
              </w:rPr>
            </w:pPr>
            <w:hyperlink w:anchor="VoIPComponents" w:history="1">
              <w:r w:rsidR="00F935B1" w:rsidRPr="005E385F">
                <w:rPr>
                  <w:rStyle w:val="Hyperlink"/>
                  <w:rFonts w:ascii="Verdana" w:hAnsi="Verdana"/>
                  <w:bCs/>
                  <w:sz w:val="20"/>
                </w:rPr>
                <w:t>VoIP Telephony Equipment</w:t>
              </w:r>
              <w:r w:rsidR="00F935B1" w:rsidRPr="005E385F">
                <w:rPr>
                  <w:rFonts w:ascii="Verdana" w:hAnsi="Verdana"/>
                  <w:sz w:val="20"/>
                </w:rPr>
                <w:fldChar w:fldCharType="begin"/>
              </w:r>
              <w:r w:rsidR="00F935B1" w:rsidRPr="005E385F">
                <w:rPr>
                  <w:rFonts w:ascii="Verdana" w:hAnsi="Verdana"/>
                  <w:sz w:val="20"/>
                </w:rPr>
                <w:instrText>xe "</w:instrText>
              </w:r>
              <w:r w:rsidR="00F935B1" w:rsidRPr="005E385F">
                <w:rPr>
                  <w:rStyle w:val="Hyperlink"/>
                  <w:rFonts w:ascii="Verdana" w:hAnsi="Verdana"/>
                  <w:bCs/>
                  <w:sz w:val="20"/>
                </w:rPr>
                <w:instrText>VoIP Telephony Equipment</w:instrText>
              </w:r>
              <w:r w:rsidR="00F935B1" w:rsidRPr="005E385F">
                <w:rPr>
                  <w:rFonts w:ascii="Verdana" w:hAnsi="Verdana"/>
                  <w:sz w:val="20"/>
                </w:rPr>
                <w:instrText>"</w:instrText>
              </w:r>
              <w:r w:rsidR="00F935B1" w:rsidRPr="005E385F">
                <w:rPr>
                  <w:rFonts w:ascii="Verdana" w:hAnsi="Verdana"/>
                  <w:sz w:val="20"/>
                </w:rPr>
                <w:fldChar w:fldCharType="end"/>
              </w:r>
            </w:hyperlink>
          </w:p>
          <w:p w14:paraId="062CAAF3" w14:textId="77777777" w:rsidR="00F935B1" w:rsidRPr="005E385F" w:rsidRDefault="00F935B1" w:rsidP="0083602C">
            <w:pPr>
              <w:pStyle w:val="NormalWeb"/>
              <w:spacing w:before="0" w:beforeAutospacing="0" w:after="0"/>
              <w:rPr>
                <w:rFonts w:ascii="Verdana" w:hAnsi="Verdana"/>
                <w:bCs/>
                <w:sz w:val="20"/>
              </w:rPr>
            </w:pPr>
          </w:p>
          <w:p w14:paraId="7AA6F2A2" w14:textId="77777777" w:rsidR="00F935B1" w:rsidRPr="005E385F" w:rsidRDefault="00F935B1" w:rsidP="0083602C">
            <w:pPr>
              <w:pStyle w:val="NormalWeb"/>
              <w:spacing w:before="0" w:beforeAutospacing="0" w:after="0"/>
              <w:rPr>
                <w:rFonts w:ascii="Verdana" w:hAnsi="Verdana"/>
                <w:bCs/>
                <w:sz w:val="20"/>
              </w:rPr>
            </w:pPr>
            <w:r w:rsidRPr="005E385F">
              <w:rPr>
                <w:rFonts w:ascii="Verdana" w:hAnsi="Verdana"/>
                <w:bCs/>
                <w:sz w:val="20"/>
              </w:rPr>
              <w:t>In addition, the following features are also eligible:</w:t>
            </w:r>
          </w:p>
          <w:p w14:paraId="71B72031" w14:textId="77777777" w:rsidR="00F935B1" w:rsidRPr="005E385F" w:rsidRDefault="00F935B1" w:rsidP="0083602C">
            <w:pPr>
              <w:pStyle w:val="NormalWeb"/>
              <w:spacing w:before="0" w:beforeAutospacing="0" w:after="0"/>
              <w:rPr>
                <w:rFonts w:ascii="Verdana" w:hAnsi="Verdana"/>
                <w:bCs/>
                <w:sz w:val="20"/>
              </w:rPr>
            </w:pPr>
          </w:p>
          <w:p w14:paraId="195AF4DC" w14:textId="77777777" w:rsidR="00F935B1" w:rsidRPr="005E385F" w:rsidRDefault="00A0395D" w:rsidP="00F935B1">
            <w:pPr>
              <w:pStyle w:val="NormalWeb"/>
              <w:numPr>
                <w:ilvl w:val="0"/>
                <w:numId w:val="21"/>
              </w:numPr>
              <w:spacing w:before="0" w:beforeAutospacing="0" w:after="0"/>
              <w:rPr>
                <w:rFonts w:ascii="Verdana" w:hAnsi="Verdana"/>
                <w:bCs/>
                <w:sz w:val="20"/>
              </w:rPr>
            </w:pPr>
            <w:hyperlink w:anchor="ARS" w:history="1">
              <w:r w:rsidR="00F935B1" w:rsidRPr="005E385F">
                <w:rPr>
                  <w:rStyle w:val="Hyperlink"/>
                  <w:rFonts w:ascii="Verdana" w:hAnsi="Verdana"/>
                  <w:bCs/>
                  <w:sz w:val="20"/>
                </w:rPr>
                <w:t>Automatic Route Selection (ARS)</w:t>
              </w:r>
              <w:r w:rsidR="00F935B1" w:rsidRPr="005E385F">
                <w:rPr>
                  <w:rFonts w:ascii="Verdana" w:hAnsi="Verdana"/>
                  <w:sz w:val="20"/>
                </w:rPr>
                <w:fldChar w:fldCharType="begin"/>
              </w:r>
              <w:r w:rsidR="00F935B1" w:rsidRPr="005E385F">
                <w:rPr>
                  <w:rFonts w:ascii="Verdana" w:hAnsi="Verdana"/>
                  <w:sz w:val="20"/>
                </w:rPr>
                <w:instrText>xe "</w:instrText>
              </w:r>
              <w:r w:rsidR="00F935B1" w:rsidRPr="005E385F">
                <w:rPr>
                  <w:rStyle w:val="Hyperlink"/>
                  <w:rFonts w:ascii="Verdana" w:hAnsi="Verdana"/>
                  <w:bCs/>
                  <w:sz w:val="20"/>
                </w:rPr>
                <w:instrText>Automatic Route Selection</w:instrText>
              </w:r>
              <w:r w:rsidR="00F935B1" w:rsidRPr="005E385F">
                <w:rPr>
                  <w:rFonts w:ascii="Verdana" w:hAnsi="Verdana"/>
                  <w:sz w:val="20"/>
                </w:rPr>
                <w:instrText>"</w:instrText>
              </w:r>
              <w:r w:rsidR="00F935B1" w:rsidRPr="005E385F">
                <w:rPr>
                  <w:rFonts w:ascii="Verdana" w:hAnsi="Verdana"/>
                  <w:sz w:val="20"/>
                </w:rPr>
                <w:fldChar w:fldCharType="end"/>
              </w:r>
            </w:hyperlink>
          </w:p>
          <w:p w14:paraId="5170558A" w14:textId="77777777" w:rsidR="00F935B1" w:rsidRPr="005E385F" w:rsidRDefault="00A0395D" w:rsidP="00F935B1">
            <w:pPr>
              <w:pStyle w:val="NormalWeb"/>
              <w:numPr>
                <w:ilvl w:val="0"/>
                <w:numId w:val="21"/>
              </w:numPr>
              <w:spacing w:before="0" w:beforeAutospacing="0" w:after="0"/>
              <w:rPr>
                <w:rFonts w:ascii="Verdana" w:hAnsi="Verdana"/>
                <w:bCs/>
                <w:sz w:val="20"/>
              </w:rPr>
            </w:pPr>
            <w:hyperlink w:anchor="E911ReaderBoard" w:history="1">
              <w:r w:rsidR="00F935B1" w:rsidRPr="005E385F">
                <w:rPr>
                  <w:rStyle w:val="Hyperlink"/>
                  <w:rFonts w:ascii="Verdana" w:hAnsi="Verdana"/>
                  <w:sz w:val="20"/>
                </w:rPr>
                <w:t>E911 Reader Board</w:t>
              </w:r>
            </w:hyperlink>
          </w:p>
          <w:p w14:paraId="5D8E831F" w14:textId="77777777" w:rsidR="00F935B1" w:rsidRPr="005E385F" w:rsidRDefault="00A0395D" w:rsidP="00F935B1">
            <w:pPr>
              <w:pStyle w:val="NormalWeb"/>
              <w:numPr>
                <w:ilvl w:val="0"/>
                <w:numId w:val="21"/>
              </w:numPr>
              <w:spacing w:before="0" w:beforeAutospacing="0" w:after="0"/>
              <w:rPr>
                <w:rFonts w:ascii="Verdana" w:hAnsi="Verdana"/>
                <w:bCs/>
                <w:sz w:val="20"/>
              </w:rPr>
            </w:pPr>
            <w:hyperlink w:anchor="VoiceCompressionModule" w:history="1">
              <w:r w:rsidR="00F935B1" w:rsidRPr="005E385F">
                <w:rPr>
                  <w:rStyle w:val="Hyperlink"/>
                  <w:rFonts w:ascii="Verdana" w:hAnsi="Verdana"/>
                  <w:bCs/>
                  <w:sz w:val="20"/>
                </w:rPr>
                <w:t>Voice Compression Module</w:t>
              </w:r>
              <w:r w:rsidR="00F935B1" w:rsidRPr="005E385F">
                <w:rPr>
                  <w:rFonts w:ascii="Verdana" w:hAnsi="Verdana"/>
                  <w:sz w:val="20"/>
                </w:rPr>
                <w:fldChar w:fldCharType="begin"/>
              </w:r>
              <w:r w:rsidR="00F935B1" w:rsidRPr="005E385F">
                <w:rPr>
                  <w:rFonts w:ascii="Verdana" w:hAnsi="Verdana"/>
                  <w:sz w:val="20"/>
                </w:rPr>
                <w:instrText>xe "</w:instrText>
              </w:r>
              <w:r w:rsidR="00F935B1" w:rsidRPr="005E385F">
                <w:rPr>
                  <w:rStyle w:val="Hyperlink"/>
                  <w:rFonts w:ascii="Verdana" w:hAnsi="Verdana"/>
                  <w:bCs/>
                  <w:sz w:val="20"/>
                </w:rPr>
                <w:instrText>Voice Compression Module</w:instrText>
              </w:r>
              <w:r w:rsidR="00F935B1" w:rsidRPr="005E385F">
                <w:rPr>
                  <w:rFonts w:ascii="Verdana" w:hAnsi="Verdana"/>
                  <w:sz w:val="20"/>
                </w:rPr>
                <w:instrText>"</w:instrText>
              </w:r>
              <w:r w:rsidR="00F935B1" w:rsidRPr="005E385F">
                <w:rPr>
                  <w:rFonts w:ascii="Verdana" w:hAnsi="Verdana"/>
                  <w:sz w:val="20"/>
                </w:rPr>
                <w:fldChar w:fldCharType="end"/>
              </w:r>
            </w:hyperlink>
          </w:p>
          <w:p w14:paraId="3F491CFF" w14:textId="77777777" w:rsidR="00F935B1" w:rsidRPr="005E385F" w:rsidRDefault="00A0395D" w:rsidP="00F935B1">
            <w:pPr>
              <w:pStyle w:val="NormalWeb"/>
              <w:numPr>
                <w:ilvl w:val="0"/>
                <w:numId w:val="21"/>
              </w:numPr>
              <w:spacing w:before="0" w:beforeAutospacing="0" w:after="0"/>
              <w:rPr>
                <w:rFonts w:ascii="Verdana" w:hAnsi="Verdana"/>
                <w:bCs/>
                <w:sz w:val="20"/>
              </w:rPr>
            </w:pPr>
            <w:hyperlink w:anchor="VoiceInterfaceCard" w:history="1">
              <w:r w:rsidR="00F935B1" w:rsidRPr="005E385F">
                <w:rPr>
                  <w:rStyle w:val="Hyperlink"/>
                  <w:rFonts w:ascii="Verdana" w:hAnsi="Verdana"/>
                  <w:bCs/>
                  <w:sz w:val="20"/>
                </w:rPr>
                <w:t>Voice Interface Card</w:t>
              </w:r>
              <w:r w:rsidR="00F935B1" w:rsidRPr="005E385F">
                <w:rPr>
                  <w:rFonts w:ascii="Verdana" w:hAnsi="Verdana"/>
                  <w:sz w:val="20"/>
                </w:rPr>
                <w:fldChar w:fldCharType="begin"/>
              </w:r>
              <w:r w:rsidR="00F935B1" w:rsidRPr="005E385F">
                <w:rPr>
                  <w:rFonts w:ascii="Verdana" w:hAnsi="Verdana"/>
                  <w:sz w:val="20"/>
                </w:rPr>
                <w:instrText>xe "</w:instrText>
              </w:r>
              <w:r w:rsidR="00F935B1" w:rsidRPr="005E385F">
                <w:rPr>
                  <w:rStyle w:val="Hyperlink"/>
                  <w:rFonts w:ascii="Verdana" w:hAnsi="Verdana"/>
                  <w:bCs/>
                  <w:sz w:val="20"/>
                </w:rPr>
                <w:instrText>Voice Interface Card</w:instrText>
              </w:r>
              <w:r w:rsidR="00F935B1" w:rsidRPr="005E385F">
                <w:rPr>
                  <w:rFonts w:ascii="Verdana" w:hAnsi="Verdana"/>
                  <w:sz w:val="20"/>
                </w:rPr>
                <w:instrText>"</w:instrText>
              </w:r>
              <w:r w:rsidR="00F935B1" w:rsidRPr="005E385F">
                <w:rPr>
                  <w:rFonts w:ascii="Verdana" w:hAnsi="Verdana"/>
                  <w:sz w:val="20"/>
                </w:rPr>
                <w:fldChar w:fldCharType="end"/>
              </w:r>
            </w:hyperlink>
          </w:p>
          <w:p w14:paraId="72EA2937" w14:textId="77777777" w:rsidR="00F935B1" w:rsidRPr="005E385F" w:rsidRDefault="00F935B1" w:rsidP="0083602C">
            <w:pPr>
              <w:pStyle w:val="NormalWeb"/>
              <w:spacing w:before="0" w:beforeAutospacing="0" w:after="0"/>
              <w:rPr>
                <w:rFonts w:ascii="Verdana" w:hAnsi="Verdana"/>
                <w:bCs/>
                <w:sz w:val="20"/>
              </w:rPr>
            </w:pPr>
          </w:p>
          <w:p w14:paraId="1C3C273B" w14:textId="77777777" w:rsidR="00F935B1" w:rsidRPr="005E385F" w:rsidRDefault="00F935B1" w:rsidP="0083602C">
            <w:pPr>
              <w:pStyle w:val="NormalWeb"/>
              <w:spacing w:before="0" w:beforeAutospacing="0" w:after="0"/>
              <w:rPr>
                <w:rFonts w:ascii="Verdana" w:hAnsi="Verdana"/>
                <w:bCs/>
                <w:sz w:val="20"/>
              </w:rPr>
            </w:pPr>
            <w:r w:rsidRPr="005E385F">
              <w:rPr>
                <w:rFonts w:ascii="Verdana" w:hAnsi="Verdana"/>
                <w:bCs/>
                <w:sz w:val="20"/>
              </w:rPr>
              <w:t xml:space="preserve">One </w:t>
            </w:r>
            <w:hyperlink w:anchor="SwitchboardAttendantConsole" w:history="1">
              <w:r w:rsidRPr="005E385F">
                <w:rPr>
                  <w:rStyle w:val="Hyperlink"/>
                  <w:rFonts w:ascii="Verdana" w:hAnsi="Verdana"/>
                  <w:bCs/>
                  <w:sz w:val="20"/>
                </w:rPr>
                <w:t>switchboard/attendant console</w:t>
              </w:r>
              <w:r w:rsidRPr="005E385F">
                <w:rPr>
                  <w:rFonts w:ascii="Verdana" w:hAnsi="Verdana"/>
                  <w:sz w:val="20"/>
                </w:rPr>
                <w:fldChar w:fldCharType="begin"/>
              </w:r>
              <w:r w:rsidRPr="005E385F">
                <w:rPr>
                  <w:rFonts w:ascii="Verdana" w:hAnsi="Verdana"/>
                  <w:sz w:val="20"/>
                </w:rPr>
                <w:instrText>xe "</w:instrText>
              </w:r>
              <w:r w:rsidRPr="005E385F">
                <w:rPr>
                  <w:rStyle w:val="Hyperlink"/>
                  <w:rFonts w:ascii="Verdana" w:hAnsi="Verdana"/>
                  <w:bCs/>
                  <w:sz w:val="20"/>
                </w:rPr>
                <w:instrText>Attendant Console</w:instrText>
              </w:r>
              <w:r w:rsidRPr="005E385F">
                <w:rPr>
                  <w:rFonts w:ascii="Verdana" w:hAnsi="Verdana"/>
                  <w:sz w:val="20"/>
                </w:rPr>
                <w:instrText>"</w:instrText>
              </w:r>
              <w:r w:rsidRPr="005E385F">
                <w:rPr>
                  <w:rFonts w:ascii="Verdana" w:hAnsi="Verdana"/>
                  <w:sz w:val="20"/>
                </w:rPr>
                <w:fldChar w:fldCharType="end"/>
              </w:r>
            </w:hyperlink>
            <w:r w:rsidRPr="005E385F">
              <w:rPr>
                <w:rFonts w:ascii="Verdana" w:hAnsi="Verdana"/>
                <w:bCs/>
                <w:sz w:val="20"/>
              </w:rPr>
              <w:t xml:space="preserve"> necessary for operation of each eligible PBX</w:t>
            </w:r>
            <w:r w:rsidRPr="005E385F">
              <w:rPr>
                <w:rFonts w:ascii="Verdana" w:hAnsi="Verdana"/>
                <w:sz w:val="20"/>
              </w:rPr>
              <w:fldChar w:fldCharType="begin"/>
            </w:r>
            <w:r w:rsidRPr="005E385F">
              <w:rPr>
                <w:rFonts w:ascii="Verdana" w:hAnsi="Verdana"/>
                <w:sz w:val="20"/>
              </w:rPr>
              <w:instrText>xe "</w:instrText>
            </w:r>
            <w:r w:rsidRPr="005E385F">
              <w:rPr>
                <w:rFonts w:ascii="Verdana" w:hAnsi="Verdana"/>
                <w:bCs/>
                <w:sz w:val="20"/>
              </w:rPr>
              <w:instrText>PBX</w:instrText>
            </w:r>
            <w:r w:rsidRPr="005E385F">
              <w:rPr>
                <w:rFonts w:ascii="Verdana" w:hAnsi="Verdana"/>
                <w:sz w:val="20"/>
              </w:rPr>
              <w:instrText>"</w:instrText>
            </w:r>
            <w:r w:rsidRPr="005E385F">
              <w:rPr>
                <w:rFonts w:ascii="Verdana" w:hAnsi="Verdana"/>
                <w:sz w:val="20"/>
              </w:rPr>
              <w:fldChar w:fldCharType="end"/>
            </w:r>
            <w:r w:rsidRPr="005E385F">
              <w:rPr>
                <w:rFonts w:ascii="Verdana" w:hAnsi="Verdana"/>
                <w:bCs/>
                <w:sz w:val="20"/>
              </w:rPr>
              <w:t xml:space="preserve"> or eligible Centrex</w:t>
            </w:r>
            <w:r w:rsidRPr="005E385F">
              <w:rPr>
                <w:rFonts w:ascii="Verdana" w:hAnsi="Verdana"/>
                <w:sz w:val="20"/>
              </w:rPr>
              <w:fldChar w:fldCharType="begin"/>
            </w:r>
            <w:r w:rsidRPr="005E385F">
              <w:rPr>
                <w:rFonts w:ascii="Verdana" w:hAnsi="Verdana"/>
                <w:sz w:val="20"/>
              </w:rPr>
              <w:instrText>xe "</w:instrText>
            </w:r>
            <w:r w:rsidRPr="005E385F">
              <w:rPr>
                <w:rStyle w:val="Hyperlink"/>
                <w:rFonts w:ascii="Verdana" w:hAnsi="Verdana"/>
                <w:bCs/>
                <w:sz w:val="20"/>
              </w:rPr>
              <w:instrText>Centrex</w:instrText>
            </w:r>
            <w:r w:rsidRPr="005E385F">
              <w:rPr>
                <w:rFonts w:ascii="Verdana" w:hAnsi="Verdana"/>
                <w:sz w:val="20"/>
              </w:rPr>
              <w:instrText>"</w:instrText>
            </w:r>
            <w:r w:rsidRPr="005E385F">
              <w:rPr>
                <w:rFonts w:ascii="Verdana" w:hAnsi="Verdana"/>
                <w:sz w:val="20"/>
              </w:rPr>
              <w:fldChar w:fldCharType="end"/>
            </w:r>
            <w:r w:rsidRPr="005E385F">
              <w:rPr>
                <w:rFonts w:ascii="Verdana" w:hAnsi="Verdana"/>
                <w:bCs/>
                <w:sz w:val="20"/>
              </w:rPr>
              <w:t xml:space="preserve"> telephone service</w:t>
            </w:r>
            <w:r w:rsidRPr="005E385F">
              <w:rPr>
                <w:rFonts w:ascii="Verdana" w:hAnsi="Verdana"/>
                <w:sz w:val="20"/>
              </w:rPr>
              <w:fldChar w:fldCharType="begin"/>
            </w:r>
            <w:r w:rsidRPr="005E385F">
              <w:rPr>
                <w:rFonts w:ascii="Verdana" w:hAnsi="Verdana"/>
                <w:sz w:val="20"/>
              </w:rPr>
              <w:instrText>xe "T</w:instrText>
            </w:r>
            <w:r w:rsidRPr="005E385F">
              <w:rPr>
                <w:rFonts w:ascii="Verdana" w:hAnsi="Verdana"/>
                <w:bCs/>
                <w:sz w:val="20"/>
              </w:rPr>
              <w:instrText>elephone Service</w:instrText>
            </w:r>
            <w:r w:rsidRPr="005E385F">
              <w:rPr>
                <w:rFonts w:ascii="Verdana" w:hAnsi="Verdana"/>
                <w:sz w:val="20"/>
              </w:rPr>
              <w:instrText>"</w:instrText>
            </w:r>
            <w:r w:rsidRPr="005E385F">
              <w:rPr>
                <w:rFonts w:ascii="Verdana" w:hAnsi="Verdana"/>
                <w:sz w:val="20"/>
              </w:rPr>
              <w:fldChar w:fldCharType="end"/>
            </w:r>
            <w:r w:rsidRPr="005E385F">
              <w:rPr>
                <w:rFonts w:ascii="Verdana" w:hAnsi="Verdana"/>
                <w:bCs/>
                <w:sz w:val="20"/>
              </w:rPr>
              <w:t xml:space="preserve"> is eligible.</w:t>
            </w:r>
          </w:p>
          <w:p w14:paraId="4AB9CCD6" w14:textId="77777777" w:rsidR="00F935B1" w:rsidRPr="005E385F" w:rsidRDefault="00F935B1" w:rsidP="0083602C">
            <w:pPr>
              <w:pStyle w:val="NormalWeb"/>
              <w:spacing w:before="0" w:beforeAutospacing="0" w:after="0"/>
              <w:rPr>
                <w:rFonts w:ascii="Verdana" w:hAnsi="Verdana"/>
                <w:bCs/>
                <w:sz w:val="20"/>
                <w:u w:val="single"/>
              </w:rPr>
            </w:pPr>
          </w:p>
          <w:p w14:paraId="54F415BE" w14:textId="77777777" w:rsidR="00F935B1" w:rsidRPr="005E385F" w:rsidRDefault="00F935B1" w:rsidP="0083602C">
            <w:pPr>
              <w:pStyle w:val="NormalWeb"/>
              <w:spacing w:before="0" w:beforeAutospacing="0" w:after="0"/>
              <w:rPr>
                <w:rFonts w:ascii="Verdana" w:hAnsi="Verdana"/>
                <w:bCs/>
                <w:sz w:val="20"/>
              </w:rPr>
            </w:pPr>
            <w:r w:rsidRPr="005E385F">
              <w:rPr>
                <w:rFonts w:ascii="Verdana" w:hAnsi="Verdana"/>
                <w:bCs/>
                <w:sz w:val="20"/>
              </w:rPr>
              <w:t>An intercom system that is an integral component of a PBX</w:t>
            </w:r>
            <w:r w:rsidRPr="005E385F">
              <w:rPr>
                <w:rFonts w:ascii="Verdana" w:hAnsi="Verdana"/>
                <w:sz w:val="20"/>
              </w:rPr>
              <w:fldChar w:fldCharType="begin"/>
            </w:r>
            <w:r w:rsidRPr="005E385F">
              <w:rPr>
                <w:rFonts w:ascii="Verdana" w:hAnsi="Verdana"/>
                <w:sz w:val="20"/>
              </w:rPr>
              <w:instrText>xe "</w:instrText>
            </w:r>
            <w:r w:rsidRPr="005E385F">
              <w:rPr>
                <w:rFonts w:ascii="Verdana" w:hAnsi="Verdana"/>
                <w:bCs/>
                <w:sz w:val="20"/>
              </w:rPr>
              <w:instrText>PBX</w:instrText>
            </w:r>
            <w:r w:rsidRPr="005E385F">
              <w:rPr>
                <w:rFonts w:ascii="Verdana" w:hAnsi="Verdana"/>
                <w:sz w:val="20"/>
              </w:rPr>
              <w:instrText>"</w:instrText>
            </w:r>
            <w:r w:rsidRPr="005E385F">
              <w:rPr>
                <w:rFonts w:ascii="Verdana" w:hAnsi="Verdana"/>
                <w:sz w:val="20"/>
              </w:rPr>
              <w:fldChar w:fldCharType="end"/>
            </w:r>
            <w:r w:rsidRPr="005E385F">
              <w:rPr>
                <w:rFonts w:ascii="Verdana" w:hAnsi="Verdana"/>
                <w:bCs/>
                <w:sz w:val="20"/>
              </w:rPr>
              <w:t xml:space="preserve"> or other eligible product that is included in the cost of the eligible component is eligible</w:t>
            </w:r>
          </w:p>
        </w:tc>
      </w:tr>
      <w:tr w:rsidR="00F935B1" w:rsidRPr="005E385F" w14:paraId="3984FF28" w14:textId="77777777" w:rsidTr="0083602C">
        <w:trPr>
          <w:trHeight w:val="159"/>
          <w:tblCellSpacing w:w="15" w:type="dxa"/>
        </w:trPr>
        <w:tc>
          <w:tcPr>
            <w:tcW w:w="1243" w:type="pct"/>
          </w:tcPr>
          <w:p w14:paraId="2E2EAF33" w14:textId="77777777" w:rsidR="00F935B1" w:rsidRPr="005E385F" w:rsidRDefault="00F935B1" w:rsidP="0083602C">
            <w:pPr>
              <w:rPr>
                <w:rFonts w:ascii="Verdana" w:hAnsi="Verdana"/>
                <w:sz w:val="20"/>
              </w:rPr>
            </w:pPr>
            <w:r w:rsidRPr="005E385F">
              <w:rPr>
                <w:rFonts w:ascii="Verdana" w:hAnsi="Verdana"/>
                <w:sz w:val="20"/>
              </w:rPr>
              <w:lastRenderedPageBreak/>
              <w:t>Video Components</w:t>
            </w:r>
            <w:r w:rsidRPr="005E385F">
              <w:rPr>
                <w:rFonts w:ascii="Verdana" w:hAnsi="Verdana"/>
                <w:sz w:val="20"/>
              </w:rPr>
              <w:fldChar w:fldCharType="begin"/>
            </w:r>
            <w:r w:rsidRPr="005E385F">
              <w:rPr>
                <w:rFonts w:ascii="Verdana" w:hAnsi="Verdana"/>
                <w:sz w:val="20"/>
              </w:rPr>
              <w:instrText>xe "Video Components"</w:instrText>
            </w:r>
            <w:r w:rsidRPr="005E385F">
              <w:rPr>
                <w:rFonts w:ascii="Verdana" w:hAnsi="Verdana"/>
                <w:sz w:val="20"/>
              </w:rPr>
              <w:fldChar w:fldCharType="end"/>
            </w:r>
          </w:p>
          <w:p w14:paraId="5003FFD5" w14:textId="77777777" w:rsidR="00F935B1" w:rsidRPr="005E385F" w:rsidRDefault="00F935B1" w:rsidP="0083602C">
            <w:pPr>
              <w:rPr>
                <w:rFonts w:ascii="Verdana" w:hAnsi="Verdana"/>
                <w:sz w:val="20"/>
              </w:rPr>
            </w:pPr>
          </w:p>
          <w:p w14:paraId="447A7315" w14:textId="77777777" w:rsidR="00F935B1" w:rsidRPr="005E385F" w:rsidRDefault="00F935B1" w:rsidP="0083602C">
            <w:pPr>
              <w:rPr>
                <w:rFonts w:ascii="Verdana" w:hAnsi="Verdana"/>
                <w:sz w:val="20"/>
              </w:rPr>
            </w:pPr>
          </w:p>
        </w:tc>
        <w:tc>
          <w:tcPr>
            <w:tcW w:w="3709" w:type="pct"/>
          </w:tcPr>
          <w:p w14:paraId="289DCB44" w14:textId="77777777" w:rsidR="00F935B1" w:rsidRPr="005E385F" w:rsidRDefault="00F935B1" w:rsidP="0083602C">
            <w:pPr>
              <w:pStyle w:val="NormalWeb"/>
              <w:spacing w:before="0" w:beforeAutospacing="0" w:after="0"/>
              <w:rPr>
                <w:rFonts w:ascii="Verdana" w:hAnsi="Verdana"/>
                <w:bCs/>
                <w:sz w:val="20"/>
              </w:rPr>
            </w:pPr>
            <w:r w:rsidRPr="005E385F">
              <w:rPr>
                <w:rFonts w:ascii="Verdana" w:hAnsi="Verdana"/>
                <w:bCs/>
                <w:sz w:val="20"/>
              </w:rPr>
              <w:t xml:space="preserve">Centralized </w:t>
            </w:r>
            <w:hyperlink w:anchor="VideoEquipment" w:history="1">
              <w:r w:rsidRPr="005E385F">
                <w:rPr>
                  <w:rStyle w:val="Hyperlink"/>
                  <w:rFonts w:ascii="Verdana" w:hAnsi="Verdana"/>
                  <w:bCs/>
                  <w:sz w:val="20"/>
                </w:rPr>
                <w:t>video</w:t>
              </w:r>
              <w:r w:rsidRPr="005E385F">
                <w:rPr>
                  <w:rFonts w:ascii="Verdana" w:hAnsi="Verdana"/>
                  <w:sz w:val="20"/>
                </w:rPr>
                <w:fldChar w:fldCharType="begin"/>
              </w:r>
              <w:r w:rsidRPr="005E385F">
                <w:rPr>
                  <w:rFonts w:ascii="Verdana" w:hAnsi="Verdana"/>
                  <w:sz w:val="20"/>
                </w:rPr>
                <w:instrText>xe "V</w:instrText>
              </w:r>
              <w:r w:rsidRPr="005E385F">
                <w:rPr>
                  <w:rFonts w:ascii="Verdana" w:hAnsi="Verdana"/>
                  <w:bCs/>
                  <w:sz w:val="20"/>
                </w:rPr>
                <w:instrText>ideo</w:instrText>
              </w:r>
              <w:r w:rsidRPr="005E385F">
                <w:rPr>
                  <w:rFonts w:ascii="Verdana" w:hAnsi="Verdana"/>
                  <w:sz w:val="20"/>
                </w:rPr>
                <w:instrText>"</w:instrText>
              </w:r>
              <w:r w:rsidRPr="005E385F">
                <w:rPr>
                  <w:rFonts w:ascii="Verdana" w:hAnsi="Verdana"/>
                  <w:sz w:val="20"/>
                </w:rPr>
                <w:fldChar w:fldCharType="end"/>
              </w:r>
            </w:hyperlink>
            <w:r w:rsidRPr="005E385F">
              <w:rPr>
                <w:rFonts w:ascii="Verdana" w:hAnsi="Verdana"/>
                <w:bCs/>
                <w:sz w:val="20"/>
              </w:rPr>
              <w:t xml:space="preserve"> necessary to transport information to the individual classrooms or public areas of a library are eligible. This includes:</w:t>
            </w:r>
          </w:p>
          <w:p w14:paraId="488BB2FD" w14:textId="77777777" w:rsidR="00F935B1" w:rsidRPr="005E385F" w:rsidRDefault="00F935B1" w:rsidP="0083602C">
            <w:pPr>
              <w:pStyle w:val="NormalWeb"/>
              <w:spacing w:before="0" w:beforeAutospacing="0" w:after="0"/>
              <w:rPr>
                <w:rFonts w:ascii="Verdana" w:hAnsi="Verdana"/>
                <w:bCs/>
                <w:sz w:val="20"/>
              </w:rPr>
            </w:pPr>
          </w:p>
          <w:p w14:paraId="325E7219" w14:textId="77777777" w:rsidR="00F935B1" w:rsidRPr="005E385F" w:rsidRDefault="00A0395D" w:rsidP="00F935B1">
            <w:pPr>
              <w:pStyle w:val="NormalWeb"/>
              <w:numPr>
                <w:ilvl w:val="0"/>
                <w:numId w:val="23"/>
              </w:numPr>
              <w:spacing w:before="0" w:beforeAutospacing="0" w:after="0"/>
              <w:rPr>
                <w:rFonts w:ascii="Verdana" w:hAnsi="Verdana"/>
                <w:bCs/>
                <w:sz w:val="20"/>
              </w:rPr>
            </w:pPr>
            <w:hyperlink w:anchor="CODECVideoEncoder" w:history="1">
              <w:r w:rsidR="00F935B1" w:rsidRPr="005E385F">
                <w:rPr>
                  <w:rStyle w:val="Hyperlink"/>
                  <w:rFonts w:ascii="Verdana" w:hAnsi="Verdana"/>
                  <w:bCs/>
                  <w:sz w:val="20"/>
                </w:rPr>
                <w:t>CODEC</w:t>
              </w:r>
              <w:r w:rsidR="00F935B1" w:rsidRPr="005E385F">
                <w:rPr>
                  <w:rFonts w:ascii="Verdana" w:hAnsi="Verdana"/>
                  <w:sz w:val="20"/>
                </w:rPr>
                <w:fldChar w:fldCharType="begin"/>
              </w:r>
              <w:r w:rsidR="00F935B1" w:rsidRPr="005E385F">
                <w:rPr>
                  <w:rFonts w:ascii="Verdana" w:hAnsi="Verdana"/>
                  <w:sz w:val="20"/>
                </w:rPr>
                <w:instrText>xe "CODEC"</w:instrText>
              </w:r>
              <w:r w:rsidR="00F935B1" w:rsidRPr="005E385F">
                <w:rPr>
                  <w:rFonts w:ascii="Verdana" w:hAnsi="Verdana"/>
                  <w:sz w:val="20"/>
                </w:rPr>
                <w:fldChar w:fldCharType="end"/>
              </w:r>
            </w:hyperlink>
          </w:p>
          <w:p w14:paraId="6C4BE8EB" w14:textId="77777777" w:rsidR="00F935B1" w:rsidRPr="005E385F" w:rsidRDefault="00A0395D" w:rsidP="00F935B1">
            <w:pPr>
              <w:pStyle w:val="NormalWeb"/>
              <w:numPr>
                <w:ilvl w:val="0"/>
                <w:numId w:val="23"/>
              </w:numPr>
              <w:spacing w:before="0" w:beforeAutospacing="0" w:after="0"/>
              <w:rPr>
                <w:rFonts w:ascii="Verdana" w:hAnsi="Verdana"/>
                <w:bCs/>
                <w:sz w:val="20"/>
              </w:rPr>
            </w:pPr>
            <w:hyperlink w:anchor="MasterControlUnit" w:history="1">
              <w:r w:rsidR="00F935B1" w:rsidRPr="005E385F">
                <w:rPr>
                  <w:rStyle w:val="Hyperlink"/>
                  <w:rFonts w:ascii="Verdana" w:hAnsi="Verdana"/>
                  <w:bCs/>
                  <w:sz w:val="20"/>
                </w:rPr>
                <w:t>Master Control Unit</w:t>
              </w:r>
              <w:r w:rsidR="00F935B1" w:rsidRPr="005E385F">
                <w:rPr>
                  <w:rFonts w:ascii="Verdana" w:hAnsi="Verdana"/>
                  <w:sz w:val="20"/>
                </w:rPr>
                <w:fldChar w:fldCharType="begin"/>
              </w:r>
              <w:r w:rsidR="00F935B1" w:rsidRPr="005E385F">
                <w:rPr>
                  <w:rFonts w:ascii="Verdana" w:hAnsi="Verdana"/>
                  <w:sz w:val="20"/>
                </w:rPr>
                <w:instrText>xe "</w:instrText>
              </w:r>
              <w:r w:rsidR="00F935B1" w:rsidRPr="005E385F">
                <w:rPr>
                  <w:rStyle w:val="Hyperlink"/>
                  <w:rFonts w:ascii="Verdana" w:hAnsi="Verdana"/>
                  <w:bCs/>
                  <w:sz w:val="20"/>
                </w:rPr>
                <w:instrText>Master Control Unit</w:instrText>
              </w:r>
              <w:r w:rsidR="00F935B1" w:rsidRPr="005E385F">
                <w:rPr>
                  <w:rFonts w:ascii="Verdana" w:hAnsi="Verdana"/>
                  <w:sz w:val="20"/>
                </w:rPr>
                <w:instrText>"</w:instrText>
              </w:r>
              <w:r w:rsidR="00F935B1" w:rsidRPr="005E385F">
                <w:rPr>
                  <w:rFonts w:ascii="Verdana" w:hAnsi="Verdana"/>
                  <w:sz w:val="20"/>
                </w:rPr>
                <w:fldChar w:fldCharType="end"/>
              </w:r>
            </w:hyperlink>
          </w:p>
          <w:p w14:paraId="37337648" w14:textId="77777777" w:rsidR="00F935B1" w:rsidRPr="005E385F" w:rsidRDefault="00A0395D" w:rsidP="00F935B1">
            <w:pPr>
              <w:pStyle w:val="NormalWeb"/>
              <w:numPr>
                <w:ilvl w:val="0"/>
                <w:numId w:val="23"/>
              </w:numPr>
              <w:spacing w:before="0" w:beforeAutospacing="0" w:after="0"/>
              <w:rPr>
                <w:rFonts w:ascii="Verdana" w:hAnsi="Verdana"/>
                <w:bCs/>
                <w:sz w:val="20"/>
              </w:rPr>
            </w:pPr>
            <w:hyperlink w:anchor="MultipointControlUnit" w:history="1">
              <w:r w:rsidR="00F935B1" w:rsidRPr="005E385F">
                <w:rPr>
                  <w:rStyle w:val="Hyperlink"/>
                  <w:rFonts w:ascii="Verdana" w:hAnsi="Verdana"/>
                  <w:bCs/>
                  <w:sz w:val="20"/>
                </w:rPr>
                <w:t>Multipoint Control Unit</w:t>
              </w:r>
              <w:r w:rsidR="00F935B1" w:rsidRPr="005E385F">
                <w:rPr>
                  <w:rFonts w:ascii="Verdana" w:hAnsi="Verdana"/>
                  <w:sz w:val="20"/>
                </w:rPr>
                <w:fldChar w:fldCharType="begin"/>
              </w:r>
              <w:r w:rsidR="00F935B1" w:rsidRPr="005E385F">
                <w:rPr>
                  <w:rFonts w:ascii="Verdana" w:hAnsi="Verdana"/>
                  <w:sz w:val="20"/>
                </w:rPr>
                <w:instrText>xe "</w:instrText>
              </w:r>
              <w:r w:rsidR="00F935B1" w:rsidRPr="005E385F">
                <w:rPr>
                  <w:rStyle w:val="Hyperlink"/>
                  <w:rFonts w:ascii="Verdana" w:hAnsi="Verdana"/>
                  <w:bCs/>
                  <w:sz w:val="20"/>
                </w:rPr>
                <w:instrText>Multipoint Control Unit</w:instrText>
              </w:r>
              <w:r w:rsidR="00F935B1" w:rsidRPr="005E385F">
                <w:rPr>
                  <w:rFonts w:ascii="Verdana" w:hAnsi="Verdana"/>
                  <w:sz w:val="20"/>
                </w:rPr>
                <w:instrText>"</w:instrText>
              </w:r>
              <w:r w:rsidR="00F935B1" w:rsidRPr="005E385F">
                <w:rPr>
                  <w:rFonts w:ascii="Verdana" w:hAnsi="Verdana"/>
                  <w:sz w:val="20"/>
                </w:rPr>
                <w:fldChar w:fldCharType="end"/>
              </w:r>
            </w:hyperlink>
          </w:p>
          <w:p w14:paraId="4C4D8C2F" w14:textId="77777777" w:rsidR="00F935B1" w:rsidRPr="005E385F" w:rsidRDefault="00A0395D" w:rsidP="00F935B1">
            <w:pPr>
              <w:pStyle w:val="NormalWeb"/>
              <w:numPr>
                <w:ilvl w:val="0"/>
                <w:numId w:val="23"/>
              </w:numPr>
              <w:spacing w:before="0" w:beforeAutospacing="0" w:after="0"/>
              <w:rPr>
                <w:rFonts w:ascii="Verdana" w:hAnsi="Verdana"/>
                <w:bCs/>
                <w:sz w:val="20"/>
              </w:rPr>
            </w:pPr>
            <w:hyperlink w:anchor="PVBX" w:history="1">
              <w:r w:rsidR="00F935B1" w:rsidRPr="005E385F">
                <w:rPr>
                  <w:rStyle w:val="Hyperlink"/>
                  <w:rFonts w:ascii="Verdana" w:hAnsi="Verdana"/>
                  <w:bCs/>
                  <w:sz w:val="20"/>
                </w:rPr>
                <w:t>PVBX</w:t>
              </w:r>
              <w:r w:rsidR="00F935B1" w:rsidRPr="005E385F">
                <w:rPr>
                  <w:rFonts w:ascii="Verdana" w:hAnsi="Verdana"/>
                  <w:sz w:val="20"/>
                </w:rPr>
                <w:fldChar w:fldCharType="begin"/>
              </w:r>
              <w:r w:rsidR="00F935B1" w:rsidRPr="005E385F">
                <w:rPr>
                  <w:rFonts w:ascii="Verdana" w:hAnsi="Verdana"/>
                  <w:sz w:val="20"/>
                </w:rPr>
                <w:instrText>xe "</w:instrText>
              </w:r>
              <w:r w:rsidR="00F935B1" w:rsidRPr="005E385F">
                <w:rPr>
                  <w:rStyle w:val="Hyperlink"/>
                  <w:rFonts w:ascii="Verdana" w:hAnsi="Verdana"/>
                  <w:bCs/>
                  <w:sz w:val="20"/>
                </w:rPr>
                <w:instrText>PVBX</w:instrText>
              </w:r>
              <w:r w:rsidR="00F935B1" w:rsidRPr="005E385F">
                <w:rPr>
                  <w:rFonts w:ascii="Verdana" w:hAnsi="Verdana"/>
                  <w:sz w:val="20"/>
                </w:rPr>
                <w:instrText>"</w:instrText>
              </w:r>
              <w:r w:rsidR="00F935B1" w:rsidRPr="005E385F">
                <w:rPr>
                  <w:rFonts w:ascii="Verdana" w:hAnsi="Verdana"/>
                  <w:sz w:val="20"/>
                </w:rPr>
                <w:fldChar w:fldCharType="end"/>
              </w:r>
            </w:hyperlink>
          </w:p>
          <w:p w14:paraId="5607D3B8" w14:textId="77777777" w:rsidR="00F935B1" w:rsidRPr="005E385F" w:rsidRDefault="00A0395D" w:rsidP="00F935B1">
            <w:pPr>
              <w:pStyle w:val="NormalWeb"/>
              <w:numPr>
                <w:ilvl w:val="0"/>
                <w:numId w:val="23"/>
              </w:numPr>
              <w:spacing w:before="0" w:beforeAutospacing="0" w:after="0"/>
              <w:rPr>
                <w:rFonts w:ascii="Verdana" w:hAnsi="Verdana"/>
                <w:bCs/>
                <w:sz w:val="20"/>
              </w:rPr>
            </w:pPr>
            <w:hyperlink w:anchor="VideoAmplifier" w:history="1">
              <w:r w:rsidR="00F935B1" w:rsidRPr="005E385F">
                <w:rPr>
                  <w:rStyle w:val="Hyperlink"/>
                  <w:rFonts w:ascii="Verdana" w:hAnsi="Verdana"/>
                  <w:bCs/>
                  <w:sz w:val="20"/>
                </w:rPr>
                <w:t>Video Amplifier</w:t>
              </w:r>
              <w:r w:rsidR="00F935B1" w:rsidRPr="005E385F">
                <w:rPr>
                  <w:rFonts w:ascii="Verdana" w:hAnsi="Verdana"/>
                  <w:sz w:val="20"/>
                </w:rPr>
                <w:fldChar w:fldCharType="begin"/>
              </w:r>
              <w:r w:rsidR="00F935B1" w:rsidRPr="005E385F">
                <w:rPr>
                  <w:rFonts w:ascii="Verdana" w:hAnsi="Verdana"/>
                  <w:sz w:val="20"/>
                </w:rPr>
                <w:instrText>xe "</w:instrText>
              </w:r>
              <w:r w:rsidR="00F935B1" w:rsidRPr="005E385F">
                <w:rPr>
                  <w:rStyle w:val="Hyperlink"/>
                  <w:rFonts w:ascii="Verdana" w:hAnsi="Verdana"/>
                  <w:bCs/>
                  <w:sz w:val="20"/>
                </w:rPr>
                <w:instrText>Video Amplifier</w:instrText>
              </w:r>
              <w:r w:rsidR="00F935B1" w:rsidRPr="005E385F">
                <w:rPr>
                  <w:rFonts w:ascii="Verdana" w:hAnsi="Verdana"/>
                  <w:sz w:val="20"/>
                </w:rPr>
                <w:instrText>"</w:instrText>
              </w:r>
              <w:r w:rsidR="00F935B1" w:rsidRPr="005E385F">
                <w:rPr>
                  <w:rFonts w:ascii="Verdana" w:hAnsi="Verdana"/>
                  <w:sz w:val="20"/>
                </w:rPr>
                <w:fldChar w:fldCharType="end"/>
              </w:r>
            </w:hyperlink>
          </w:p>
          <w:p w14:paraId="05522239" w14:textId="77777777" w:rsidR="00F935B1" w:rsidRPr="005E385F" w:rsidRDefault="00A0395D" w:rsidP="00F935B1">
            <w:pPr>
              <w:pStyle w:val="NormalWeb"/>
              <w:numPr>
                <w:ilvl w:val="0"/>
                <w:numId w:val="23"/>
              </w:numPr>
              <w:spacing w:before="0" w:beforeAutospacing="0" w:after="0"/>
              <w:rPr>
                <w:rFonts w:ascii="Verdana" w:hAnsi="Verdana"/>
                <w:bCs/>
                <w:sz w:val="20"/>
              </w:rPr>
            </w:pPr>
            <w:hyperlink w:anchor="VideoChannelModulator" w:history="1">
              <w:r w:rsidR="00F935B1" w:rsidRPr="005E385F">
                <w:rPr>
                  <w:rStyle w:val="Hyperlink"/>
                  <w:rFonts w:ascii="Verdana" w:hAnsi="Verdana"/>
                  <w:bCs/>
                  <w:sz w:val="20"/>
                </w:rPr>
                <w:t>Video Channel Modulator</w:t>
              </w:r>
              <w:r w:rsidR="00F935B1" w:rsidRPr="005E385F">
                <w:rPr>
                  <w:rFonts w:ascii="Verdana" w:hAnsi="Verdana"/>
                  <w:sz w:val="20"/>
                </w:rPr>
                <w:fldChar w:fldCharType="begin"/>
              </w:r>
              <w:r w:rsidR="00F935B1" w:rsidRPr="005E385F">
                <w:rPr>
                  <w:rFonts w:ascii="Verdana" w:hAnsi="Verdana"/>
                  <w:sz w:val="20"/>
                </w:rPr>
                <w:instrText>xe "</w:instrText>
              </w:r>
              <w:r w:rsidR="00F935B1" w:rsidRPr="005E385F">
                <w:rPr>
                  <w:rStyle w:val="Hyperlink"/>
                  <w:rFonts w:ascii="Verdana" w:hAnsi="Verdana"/>
                  <w:bCs/>
                  <w:sz w:val="20"/>
                </w:rPr>
                <w:instrText>Video Channel Modulator</w:instrText>
              </w:r>
              <w:r w:rsidR="00F935B1" w:rsidRPr="005E385F">
                <w:rPr>
                  <w:rFonts w:ascii="Verdana" w:hAnsi="Verdana"/>
                  <w:sz w:val="20"/>
                </w:rPr>
                <w:instrText>"</w:instrText>
              </w:r>
              <w:r w:rsidR="00F935B1" w:rsidRPr="005E385F">
                <w:rPr>
                  <w:rFonts w:ascii="Verdana" w:hAnsi="Verdana"/>
                  <w:sz w:val="20"/>
                </w:rPr>
                <w:fldChar w:fldCharType="end"/>
              </w:r>
            </w:hyperlink>
          </w:p>
          <w:p w14:paraId="3AF79928" w14:textId="77777777" w:rsidR="00F935B1" w:rsidRPr="005E385F" w:rsidRDefault="00A0395D" w:rsidP="00F935B1">
            <w:pPr>
              <w:pStyle w:val="NormalWeb"/>
              <w:numPr>
                <w:ilvl w:val="0"/>
                <w:numId w:val="23"/>
              </w:numPr>
              <w:spacing w:before="0" w:beforeAutospacing="0" w:after="0"/>
              <w:rPr>
                <w:rFonts w:ascii="Verdana" w:hAnsi="Verdana"/>
                <w:bCs/>
                <w:sz w:val="20"/>
              </w:rPr>
            </w:pPr>
            <w:hyperlink w:anchor="enhancedmulti" w:history="1">
              <w:r w:rsidR="00F935B1" w:rsidRPr="005E385F">
                <w:rPr>
                  <w:rStyle w:val="Hyperlink"/>
                  <w:rFonts w:ascii="Verdana" w:hAnsi="Verdana"/>
                  <w:bCs/>
                  <w:sz w:val="20"/>
                </w:rPr>
                <w:t>Enhanced Multimedia Interface</w:t>
              </w:r>
            </w:hyperlink>
            <w:r w:rsidR="00F935B1" w:rsidRPr="005E385F">
              <w:rPr>
                <w:rFonts w:ascii="Verdana" w:hAnsi="Verdana"/>
                <w:bCs/>
                <w:sz w:val="20"/>
              </w:rPr>
              <w:t xml:space="preserve"> </w:t>
            </w:r>
            <w:r w:rsidR="00F935B1" w:rsidRPr="005E385F">
              <w:rPr>
                <w:rFonts w:ascii="Verdana" w:hAnsi="Verdana"/>
                <w:sz w:val="20"/>
              </w:rPr>
              <w:fldChar w:fldCharType="begin"/>
            </w:r>
            <w:r w:rsidR="00F935B1" w:rsidRPr="005E385F">
              <w:rPr>
                <w:rFonts w:ascii="Verdana" w:hAnsi="Verdana"/>
                <w:sz w:val="20"/>
              </w:rPr>
              <w:instrText>xe "</w:instrText>
            </w:r>
            <w:r w:rsidR="00F935B1" w:rsidRPr="005E385F">
              <w:rPr>
                <w:rFonts w:ascii="Verdana" w:hAnsi="Verdana"/>
                <w:bCs/>
                <w:sz w:val="20"/>
              </w:rPr>
              <w:instrText>Enhanced Multimedia Interface</w:instrText>
            </w:r>
            <w:r w:rsidR="00F935B1" w:rsidRPr="005E385F">
              <w:rPr>
                <w:rFonts w:ascii="Verdana" w:hAnsi="Verdana"/>
                <w:sz w:val="20"/>
              </w:rPr>
              <w:instrText>"</w:instrText>
            </w:r>
            <w:r w:rsidR="00F935B1" w:rsidRPr="005E385F">
              <w:rPr>
                <w:rFonts w:ascii="Verdana" w:hAnsi="Verdana"/>
                <w:sz w:val="20"/>
              </w:rPr>
              <w:fldChar w:fldCharType="end"/>
            </w:r>
          </w:p>
          <w:p w14:paraId="47BB7311" w14:textId="77777777" w:rsidR="00F935B1" w:rsidRPr="005E385F" w:rsidRDefault="00F935B1" w:rsidP="0083602C">
            <w:pPr>
              <w:pStyle w:val="NormalWeb"/>
              <w:spacing w:before="0" w:beforeAutospacing="0" w:after="0"/>
              <w:rPr>
                <w:rFonts w:ascii="Verdana" w:hAnsi="Verdana"/>
                <w:bCs/>
                <w:sz w:val="20"/>
              </w:rPr>
            </w:pPr>
          </w:p>
          <w:p w14:paraId="7D3A1D5A" w14:textId="77777777" w:rsidR="00F935B1" w:rsidRPr="005E385F" w:rsidRDefault="00F935B1" w:rsidP="0083602C">
            <w:pPr>
              <w:pStyle w:val="NormalWeb"/>
              <w:spacing w:before="0" w:beforeAutospacing="0" w:after="0"/>
              <w:rPr>
                <w:rFonts w:ascii="Verdana" w:hAnsi="Verdana"/>
                <w:sz w:val="20"/>
              </w:rPr>
            </w:pPr>
            <w:r w:rsidRPr="005E385F">
              <w:rPr>
                <w:rFonts w:ascii="Verdana" w:hAnsi="Verdana"/>
                <w:sz w:val="20"/>
              </w:rPr>
              <w:t>Equipment that is used to control the programming</w:t>
            </w:r>
            <w:r w:rsidRPr="005E385F">
              <w:rPr>
                <w:rFonts w:ascii="Verdana" w:hAnsi="Verdana"/>
                <w:sz w:val="20"/>
              </w:rPr>
              <w:fldChar w:fldCharType="begin"/>
            </w:r>
            <w:r w:rsidRPr="005E385F">
              <w:rPr>
                <w:rFonts w:ascii="Verdana" w:hAnsi="Verdana"/>
                <w:sz w:val="20"/>
              </w:rPr>
              <w:instrText>xe "Programming"</w:instrText>
            </w:r>
            <w:r w:rsidRPr="005E385F">
              <w:rPr>
                <w:rFonts w:ascii="Verdana" w:hAnsi="Verdana"/>
                <w:sz w:val="20"/>
              </w:rPr>
              <w:fldChar w:fldCharType="end"/>
            </w:r>
            <w:r w:rsidRPr="005E385F">
              <w:rPr>
                <w:rFonts w:ascii="Verdana" w:hAnsi="Verdana"/>
                <w:sz w:val="20"/>
              </w:rPr>
              <w:t>, distribution, and selection of video</w:t>
            </w:r>
            <w:r w:rsidRPr="005E385F">
              <w:rPr>
                <w:rFonts w:ascii="Verdana" w:hAnsi="Verdana"/>
                <w:sz w:val="20"/>
              </w:rPr>
              <w:fldChar w:fldCharType="begin"/>
            </w:r>
            <w:r w:rsidRPr="005E385F">
              <w:rPr>
                <w:rFonts w:ascii="Verdana" w:hAnsi="Verdana"/>
                <w:sz w:val="20"/>
              </w:rPr>
              <w:instrText>xe "Video"</w:instrText>
            </w:r>
            <w:r w:rsidRPr="005E385F">
              <w:rPr>
                <w:rFonts w:ascii="Verdana" w:hAnsi="Verdana"/>
                <w:sz w:val="20"/>
              </w:rPr>
              <w:fldChar w:fldCharType="end"/>
            </w:r>
            <w:r w:rsidRPr="005E385F">
              <w:rPr>
                <w:rFonts w:ascii="Verdana" w:hAnsi="Verdana"/>
                <w:sz w:val="20"/>
              </w:rPr>
              <w:t xml:space="preserve"> content</w:t>
            </w:r>
            <w:r w:rsidRPr="005E385F">
              <w:rPr>
                <w:rFonts w:ascii="Verdana" w:hAnsi="Verdana"/>
                <w:sz w:val="20"/>
              </w:rPr>
              <w:fldChar w:fldCharType="begin"/>
            </w:r>
            <w:r w:rsidRPr="005E385F">
              <w:rPr>
                <w:rFonts w:ascii="Verdana" w:hAnsi="Verdana"/>
                <w:sz w:val="20"/>
              </w:rPr>
              <w:instrText>xe "Content"</w:instrText>
            </w:r>
            <w:r w:rsidRPr="005E385F">
              <w:rPr>
                <w:rFonts w:ascii="Verdana" w:hAnsi="Verdana"/>
                <w:sz w:val="20"/>
              </w:rPr>
              <w:fldChar w:fldCharType="end"/>
            </w:r>
            <w:r w:rsidRPr="005E385F">
              <w:rPr>
                <w:rFonts w:ascii="Verdana" w:hAnsi="Verdana"/>
                <w:sz w:val="20"/>
              </w:rPr>
              <w:t xml:space="preserve"> may be eligible, if used in the transport of information to individual classrooms or public areas of a library.  However, such components are not eligible if used in end-user equipment and/or are operated directly by end-users.</w:t>
            </w:r>
          </w:p>
        </w:tc>
      </w:tr>
      <w:tr w:rsidR="00F935B1" w:rsidRPr="005E385F" w14:paraId="1E0381EB" w14:textId="77777777" w:rsidTr="0083602C">
        <w:trPr>
          <w:trHeight w:val="159"/>
          <w:tblCellSpacing w:w="15" w:type="dxa"/>
        </w:trPr>
        <w:tc>
          <w:tcPr>
            <w:tcW w:w="1243" w:type="pct"/>
          </w:tcPr>
          <w:p w14:paraId="3E3D65F1" w14:textId="77777777" w:rsidR="00F935B1" w:rsidRPr="005E385F" w:rsidRDefault="00F935B1" w:rsidP="0083602C">
            <w:pPr>
              <w:rPr>
                <w:rFonts w:ascii="Verdana" w:hAnsi="Verdana"/>
                <w:sz w:val="20"/>
              </w:rPr>
            </w:pPr>
            <w:r w:rsidRPr="005E385F">
              <w:rPr>
                <w:rFonts w:ascii="Verdana" w:hAnsi="Verdana"/>
                <w:sz w:val="20"/>
              </w:rPr>
              <w:t>Other Eligible Internal Connections</w:t>
            </w:r>
            <w:r w:rsidRPr="005E385F">
              <w:rPr>
                <w:rFonts w:ascii="Verdana" w:hAnsi="Verdana"/>
                <w:sz w:val="20"/>
              </w:rPr>
              <w:fldChar w:fldCharType="begin"/>
            </w:r>
            <w:r w:rsidRPr="005E385F">
              <w:rPr>
                <w:rFonts w:ascii="Verdana" w:hAnsi="Verdana"/>
                <w:sz w:val="20"/>
              </w:rPr>
              <w:instrText>xe "</w:instrText>
            </w:r>
            <w:r w:rsidRPr="005E385F">
              <w:rPr>
                <w:rStyle w:val="Hyperlink"/>
                <w:rFonts w:ascii="Verdana" w:hAnsi="Verdana"/>
                <w:sz w:val="20"/>
              </w:rPr>
              <w:instrText>Internal Connections</w:instrText>
            </w:r>
            <w:r w:rsidRPr="005E385F">
              <w:rPr>
                <w:rFonts w:ascii="Verdana" w:hAnsi="Verdana"/>
                <w:sz w:val="20"/>
              </w:rPr>
              <w:instrText>"</w:instrText>
            </w:r>
            <w:r w:rsidRPr="005E385F">
              <w:rPr>
                <w:rFonts w:ascii="Verdana" w:hAnsi="Verdana"/>
                <w:sz w:val="20"/>
              </w:rPr>
              <w:fldChar w:fldCharType="end"/>
            </w:r>
            <w:r w:rsidRPr="005E385F">
              <w:rPr>
                <w:rFonts w:ascii="Verdana" w:hAnsi="Verdana"/>
                <w:sz w:val="20"/>
              </w:rPr>
              <w:t xml:space="preserve"> Components</w:t>
            </w:r>
          </w:p>
          <w:p w14:paraId="547CA22B" w14:textId="77777777" w:rsidR="00F935B1" w:rsidRPr="005E385F" w:rsidRDefault="00F935B1" w:rsidP="0083602C">
            <w:pPr>
              <w:rPr>
                <w:rFonts w:ascii="Verdana" w:hAnsi="Verdana"/>
                <w:sz w:val="20"/>
              </w:rPr>
            </w:pPr>
          </w:p>
          <w:p w14:paraId="4C6640BC" w14:textId="77777777" w:rsidR="00F935B1" w:rsidRPr="005E385F" w:rsidRDefault="00F935B1" w:rsidP="0083602C">
            <w:pPr>
              <w:rPr>
                <w:rFonts w:ascii="Verdana" w:hAnsi="Verdana"/>
                <w:sz w:val="20"/>
              </w:rPr>
            </w:pPr>
          </w:p>
        </w:tc>
        <w:tc>
          <w:tcPr>
            <w:tcW w:w="3709" w:type="pct"/>
          </w:tcPr>
          <w:p w14:paraId="09CE4278" w14:textId="77777777" w:rsidR="00F935B1" w:rsidRPr="005E385F" w:rsidRDefault="00A0395D" w:rsidP="0083602C">
            <w:pPr>
              <w:pStyle w:val="NormalWeb"/>
              <w:spacing w:before="0" w:beforeAutospacing="0" w:after="0"/>
              <w:rPr>
                <w:rFonts w:ascii="Verdana" w:hAnsi="Verdana"/>
                <w:bCs/>
                <w:sz w:val="20"/>
              </w:rPr>
            </w:pPr>
            <w:hyperlink w:anchor="Documentation" w:history="1">
              <w:r w:rsidR="00F935B1" w:rsidRPr="005E385F">
                <w:rPr>
                  <w:rStyle w:val="Hyperlink"/>
                  <w:rFonts w:ascii="Verdana" w:hAnsi="Verdana"/>
                  <w:bCs/>
                  <w:sz w:val="20"/>
                </w:rPr>
                <w:t>Documentation</w:t>
              </w:r>
              <w:r w:rsidR="00F935B1" w:rsidRPr="005E385F">
                <w:rPr>
                  <w:rFonts w:ascii="Verdana" w:hAnsi="Verdana"/>
                  <w:sz w:val="20"/>
                </w:rPr>
                <w:fldChar w:fldCharType="begin"/>
              </w:r>
              <w:r w:rsidR="00F935B1" w:rsidRPr="005E385F">
                <w:rPr>
                  <w:rFonts w:ascii="Verdana" w:hAnsi="Verdana"/>
                  <w:sz w:val="20"/>
                </w:rPr>
                <w:instrText>xe "</w:instrText>
              </w:r>
              <w:r w:rsidR="00F935B1" w:rsidRPr="005E385F">
                <w:rPr>
                  <w:rStyle w:val="Hyperlink"/>
                  <w:rFonts w:ascii="Verdana" w:hAnsi="Verdana"/>
                  <w:bCs/>
                  <w:sz w:val="20"/>
                </w:rPr>
                <w:instrText>Documentation</w:instrText>
              </w:r>
              <w:r w:rsidR="00F935B1" w:rsidRPr="005E385F">
                <w:rPr>
                  <w:rFonts w:ascii="Verdana" w:hAnsi="Verdana"/>
                  <w:sz w:val="20"/>
                </w:rPr>
                <w:instrText>"</w:instrText>
              </w:r>
              <w:r w:rsidR="00F935B1" w:rsidRPr="005E385F">
                <w:rPr>
                  <w:rFonts w:ascii="Verdana" w:hAnsi="Verdana"/>
                  <w:sz w:val="20"/>
                </w:rPr>
                <w:fldChar w:fldCharType="end"/>
              </w:r>
            </w:hyperlink>
            <w:r w:rsidR="00F935B1" w:rsidRPr="005E385F">
              <w:rPr>
                <w:rFonts w:ascii="Verdana" w:hAnsi="Verdana"/>
                <w:bCs/>
                <w:sz w:val="20"/>
              </w:rPr>
              <w:t xml:space="preserve"> in hard copy or electronic form is eligible for discount if it is basic and is provided as part of the purchase of eligible components.</w:t>
            </w:r>
          </w:p>
          <w:p w14:paraId="48D8A4B9" w14:textId="77777777" w:rsidR="00F935B1" w:rsidRPr="005E385F" w:rsidRDefault="00F935B1" w:rsidP="0083602C">
            <w:pPr>
              <w:pStyle w:val="NormalWeb"/>
              <w:spacing w:before="0" w:beforeAutospacing="0" w:after="0"/>
              <w:rPr>
                <w:rFonts w:ascii="Verdana" w:hAnsi="Verdana"/>
                <w:bCs/>
                <w:sz w:val="20"/>
              </w:rPr>
            </w:pPr>
          </w:p>
          <w:p w14:paraId="3A3430B6" w14:textId="77777777" w:rsidR="00F935B1" w:rsidRPr="005E385F" w:rsidRDefault="00A0395D" w:rsidP="0083602C">
            <w:pPr>
              <w:pStyle w:val="NormalWeb"/>
              <w:spacing w:before="0" w:beforeAutospacing="0" w:after="0"/>
              <w:rPr>
                <w:rFonts w:ascii="Verdana" w:hAnsi="Verdana"/>
                <w:bCs/>
                <w:sz w:val="20"/>
              </w:rPr>
            </w:pPr>
            <w:hyperlink w:anchor="RacksCabinets" w:history="1">
              <w:r w:rsidR="00F935B1" w:rsidRPr="005E385F">
                <w:rPr>
                  <w:rStyle w:val="Hyperlink"/>
                  <w:rFonts w:ascii="Verdana" w:hAnsi="Verdana"/>
                  <w:bCs/>
                  <w:sz w:val="20"/>
                </w:rPr>
                <w:t>Racks</w:t>
              </w:r>
              <w:r w:rsidR="00F935B1" w:rsidRPr="005E385F">
                <w:rPr>
                  <w:rFonts w:ascii="Verdana" w:hAnsi="Verdana"/>
                  <w:sz w:val="20"/>
                </w:rPr>
                <w:fldChar w:fldCharType="begin"/>
              </w:r>
              <w:r w:rsidR="00F935B1" w:rsidRPr="005E385F">
                <w:rPr>
                  <w:rFonts w:ascii="Verdana" w:hAnsi="Verdana"/>
                  <w:sz w:val="20"/>
                </w:rPr>
                <w:instrText>xe "</w:instrText>
              </w:r>
              <w:r w:rsidR="00F935B1" w:rsidRPr="005E385F">
                <w:rPr>
                  <w:rStyle w:val="Hyperlink"/>
                  <w:rFonts w:ascii="Verdana" w:hAnsi="Verdana"/>
                  <w:bCs/>
                  <w:sz w:val="20"/>
                </w:rPr>
                <w:instrText>Racks</w:instrText>
              </w:r>
              <w:r w:rsidR="00F935B1" w:rsidRPr="005E385F">
                <w:rPr>
                  <w:rFonts w:ascii="Verdana" w:hAnsi="Verdana"/>
                  <w:sz w:val="20"/>
                </w:rPr>
                <w:instrText>"</w:instrText>
              </w:r>
              <w:r w:rsidR="00F935B1" w:rsidRPr="005E385F">
                <w:rPr>
                  <w:rFonts w:ascii="Verdana" w:hAnsi="Verdana"/>
                  <w:sz w:val="20"/>
                </w:rPr>
                <w:fldChar w:fldCharType="end"/>
              </w:r>
            </w:hyperlink>
            <w:r w:rsidR="00F935B1" w:rsidRPr="005E385F">
              <w:rPr>
                <w:rFonts w:ascii="Verdana" w:hAnsi="Verdana"/>
                <w:bCs/>
                <w:sz w:val="20"/>
              </w:rPr>
              <w:t xml:space="preserve"> are eligible only to the extent that the components they contain are eligible.  A surge protector</w:t>
            </w:r>
            <w:r w:rsidR="00F935B1" w:rsidRPr="005E385F">
              <w:rPr>
                <w:rFonts w:ascii="Verdana" w:hAnsi="Verdana"/>
                <w:sz w:val="20"/>
              </w:rPr>
              <w:fldChar w:fldCharType="begin"/>
            </w:r>
            <w:r w:rsidR="00F935B1" w:rsidRPr="005E385F">
              <w:rPr>
                <w:rFonts w:ascii="Verdana" w:hAnsi="Verdana"/>
                <w:sz w:val="20"/>
              </w:rPr>
              <w:instrText>xe "S</w:instrText>
            </w:r>
            <w:r w:rsidR="00F935B1" w:rsidRPr="005E385F">
              <w:rPr>
                <w:rFonts w:ascii="Verdana" w:hAnsi="Verdana"/>
                <w:bCs/>
                <w:sz w:val="20"/>
              </w:rPr>
              <w:instrText>urge Protectors</w:instrText>
            </w:r>
            <w:r w:rsidR="00F935B1" w:rsidRPr="005E385F">
              <w:rPr>
                <w:rFonts w:ascii="Verdana" w:hAnsi="Verdana"/>
                <w:sz w:val="20"/>
              </w:rPr>
              <w:instrText>"</w:instrText>
            </w:r>
            <w:r w:rsidR="00F935B1" w:rsidRPr="005E385F">
              <w:rPr>
                <w:rFonts w:ascii="Verdana" w:hAnsi="Verdana"/>
                <w:sz w:val="20"/>
              </w:rPr>
              <w:fldChar w:fldCharType="end"/>
            </w:r>
            <w:r w:rsidR="00F935B1" w:rsidRPr="005E385F">
              <w:rPr>
                <w:rFonts w:ascii="Verdana" w:hAnsi="Verdana"/>
                <w:bCs/>
                <w:sz w:val="20"/>
              </w:rPr>
              <w:t xml:space="preserve"> provided as an integral component</w:t>
            </w:r>
            <w:r w:rsidR="00F935B1" w:rsidRPr="005E385F">
              <w:rPr>
                <w:rFonts w:ascii="Verdana" w:hAnsi="Verdana"/>
                <w:sz w:val="20"/>
              </w:rPr>
              <w:fldChar w:fldCharType="begin"/>
            </w:r>
            <w:r w:rsidR="00F935B1" w:rsidRPr="005E385F">
              <w:rPr>
                <w:rFonts w:ascii="Verdana" w:hAnsi="Verdana"/>
                <w:sz w:val="20"/>
              </w:rPr>
              <w:instrText>xe "Integral Component"</w:instrText>
            </w:r>
            <w:r w:rsidR="00F935B1" w:rsidRPr="005E385F">
              <w:rPr>
                <w:rFonts w:ascii="Verdana" w:hAnsi="Verdana"/>
                <w:sz w:val="20"/>
              </w:rPr>
              <w:fldChar w:fldCharType="end"/>
            </w:r>
            <w:r w:rsidR="00F935B1" w:rsidRPr="005E385F">
              <w:rPr>
                <w:rFonts w:ascii="Verdana" w:hAnsi="Verdana"/>
                <w:bCs/>
                <w:sz w:val="20"/>
              </w:rPr>
              <w:t xml:space="preserve"> of a rack</w:t>
            </w:r>
            <w:r w:rsidR="00F935B1" w:rsidRPr="005E385F">
              <w:rPr>
                <w:rFonts w:ascii="Verdana" w:hAnsi="Verdana"/>
                <w:sz w:val="20"/>
              </w:rPr>
              <w:fldChar w:fldCharType="begin"/>
            </w:r>
            <w:r w:rsidR="00F935B1" w:rsidRPr="005E385F">
              <w:rPr>
                <w:rFonts w:ascii="Verdana" w:hAnsi="Verdana"/>
                <w:sz w:val="20"/>
              </w:rPr>
              <w:instrText>xe "R</w:instrText>
            </w:r>
            <w:r w:rsidR="00F935B1" w:rsidRPr="005E385F">
              <w:rPr>
                <w:rFonts w:ascii="Verdana" w:hAnsi="Verdana"/>
                <w:bCs/>
                <w:sz w:val="20"/>
              </w:rPr>
              <w:instrText>acks</w:instrText>
            </w:r>
            <w:r w:rsidR="00F935B1" w:rsidRPr="005E385F">
              <w:rPr>
                <w:rFonts w:ascii="Verdana" w:hAnsi="Verdana"/>
                <w:sz w:val="20"/>
              </w:rPr>
              <w:instrText>"</w:instrText>
            </w:r>
            <w:r w:rsidR="00F935B1" w:rsidRPr="005E385F">
              <w:rPr>
                <w:rFonts w:ascii="Verdana" w:hAnsi="Verdana"/>
                <w:sz w:val="20"/>
              </w:rPr>
              <w:fldChar w:fldCharType="end"/>
            </w:r>
            <w:r w:rsidR="00F935B1" w:rsidRPr="005E385F">
              <w:rPr>
                <w:rFonts w:ascii="Verdana" w:hAnsi="Verdana"/>
                <w:bCs/>
                <w:sz w:val="20"/>
              </w:rPr>
              <w:t xml:space="preserve"> or cabinet,</w:t>
            </w:r>
            <w:r w:rsidR="00F935B1" w:rsidRPr="005E385F">
              <w:rPr>
                <w:rFonts w:ascii="Verdana" w:hAnsi="Verdana"/>
                <w:sz w:val="20"/>
              </w:rPr>
              <w:fldChar w:fldCharType="begin"/>
            </w:r>
            <w:r w:rsidR="00F935B1" w:rsidRPr="005E385F">
              <w:rPr>
                <w:rFonts w:ascii="Verdana" w:hAnsi="Verdana"/>
                <w:sz w:val="20"/>
              </w:rPr>
              <w:instrText>xe "C</w:instrText>
            </w:r>
            <w:r w:rsidR="00F935B1" w:rsidRPr="005E385F">
              <w:rPr>
                <w:rFonts w:ascii="Verdana" w:hAnsi="Verdana"/>
                <w:bCs/>
                <w:sz w:val="20"/>
              </w:rPr>
              <w:instrText>abinet</w:instrText>
            </w:r>
            <w:r w:rsidR="00F935B1" w:rsidRPr="005E385F">
              <w:rPr>
                <w:rFonts w:ascii="Verdana" w:hAnsi="Verdana"/>
                <w:sz w:val="20"/>
              </w:rPr>
              <w:instrText>"</w:instrText>
            </w:r>
            <w:r w:rsidR="00F935B1" w:rsidRPr="005E385F">
              <w:rPr>
                <w:rFonts w:ascii="Verdana" w:hAnsi="Verdana"/>
                <w:sz w:val="20"/>
              </w:rPr>
              <w:fldChar w:fldCharType="end"/>
            </w:r>
            <w:r w:rsidR="00F935B1" w:rsidRPr="005E385F">
              <w:rPr>
                <w:rFonts w:ascii="Verdana" w:hAnsi="Verdana"/>
                <w:bCs/>
                <w:sz w:val="20"/>
              </w:rPr>
              <w:t xml:space="preserve"> without a separately identifiable cost can be included in the cost of the rack or cabinet, but a separately priced </w:t>
            </w:r>
            <w:hyperlink w:anchor="SurgeProtector" w:history="1">
              <w:r w:rsidR="00F935B1" w:rsidRPr="005E385F">
                <w:rPr>
                  <w:rStyle w:val="Hyperlink"/>
                  <w:rFonts w:ascii="Verdana" w:hAnsi="Verdana"/>
                  <w:bCs/>
                  <w:sz w:val="20"/>
                </w:rPr>
                <w:t>surge protector</w:t>
              </w:r>
            </w:hyperlink>
            <w:r w:rsidR="00F935B1" w:rsidRPr="005E385F">
              <w:rPr>
                <w:rFonts w:ascii="Verdana" w:hAnsi="Verdana"/>
                <w:sz w:val="20"/>
              </w:rPr>
              <w:fldChar w:fldCharType="begin"/>
            </w:r>
            <w:r w:rsidR="00F935B1" w:rsidRPr="005E385F">
              <w:rPr>
                <w:rFonts w:ascii="Verdana" w:hAnsi="Verdana"/>
                <w:sz w:val="20"/>
              </w:rPr>
              <w:instrText>xe "</w:instrText>
            </w:r>
            <w:r w:rsidR="00F935B1" w:rsidRPr="005E385F">
              <w:rPr>
                <w:rFonts w:ascii="Verdana" w:hAnsi="Verdana"/>
                <w:bCs/>
                <w:sz w:val="20"/>
              </w:rPr>
              <w:instrText>Surge Protectors</w:instrText>
            </w:r>
            <w:r w:rsidR="00F935B1" w:rsidRPr="005E385F">
              <w:rPr>
                <w:rFonts w:ascii="Verdana" w:hAnsi="Verdana"/>
                <w:sz w:val="20"/>
              </w:rPr>
              <w:instrText>"</w:instrText>
            </w:r>
            <w:r w:rsidR="00F935B1" w:rsidRPr="005E385F">
              <w:rPr>
                <w:rFonts w:ascii="Verdana" w:hAnsi="Verdana"/>
                <w:sz w:val="20"/>
              </w:rPr>
              <w:fldChar w:fldCharType="end"/>
            </w:r>
            <w:r w:rsidR="00F935B1" w:rsidRPr="005E385F">
              <w:rPr>
                <w:rFonts w:ascii="Verdana" w:hAnsi="Verdana"/>
                <w:bCs/>
                <w:sz w:val="20"/>
              </w:rPr>
              <w:t xml:space="preserve"> is not eligible. </w:t>
            </w:r>
          </w:p>
          <w:p w14:paraId="7F3D9858" w14:textId="77777777" w:rsidR="00F935B1" w:rsidRPr="005E385F" w:rsidRDefault="00F935B1" w:rsidP="0083602C">
            <w:pPr>
              <w:pStyle w:val="NormalWeb"/>
              <w:spacing w:before="0" w:beforeAutospacing="0" w:after="0"/>
              <w:rPr>
                <w:rFonts w:ascii="Verdana" w:hAnsi="Verdana"/>
                <w:bCs/>
                <w:sz w:val="20"/>
              </w:rPr>
            </w:pPr>
          </w:p>
          <w:p w14:paraId="790A6D30" w14:textId="77777777" w:rsidR="00F935B1" w:rsidRPr="005E385F" w:rsidRDefault="00A0395D" w:rsidP="0083602C">
            <w:pPr>
              <w:pStyle w:val="NormalWeb"/>
              <w:spacing w:before="0" w:beforeAutospacing="0" w:after="0"/>
              <w:rPr>
                <w:rFonts w:ascii="Verdana" w:hAnsi="Verdana"/>
                <w:bCs/>
                <w:sz w:val="20"/>
              </w:rPr>
            </w:pPr>
            <w:hyperlink w:anchor="SystemImprovements" w:history="1">
              <w:r w:rsidR="00F935B1" w:rsidRPr="005E385F">
                <w:rPr>
                  <w:rStyle w:val="Hyperlink"/>
                  <w:rFonts w:ascii="Verdana" w:hAnsi="Verdana"/>
                  <w:bCs/>
                  <w:sz w:val="20"/>
                </w:rPr>
                <w:t>System improvements and upgrades</w:t>
              </w:r>
              <w:r w:rsidR="00F935B1" w:rsidRPr="005E385F">
                <w:rPr>
                  <w:rFonts w:ascii="Verdana" w:hAnsi="Verdana"/>
                  <w:sz w:val="20"/>
                </w:rPr>
                <w:fldChar w:fldCharType="begin"/>
              </w:r>
              <w:r w:rsidR="00F935B1" w:rsidRPr="005E385F">
                <w:rPr>
                  <w:rFonts w:ascii="Verdana" w:hAnsi="Verdana"/>
                  <w:sz w:val="20"/>
                </w:rPr>
                <w:instrText>xe "</w:instrText>
              </w:r>
              <w:r w:rsidR="00F935B1" w:rsidRPr="005E385F">
                <w:rPr>
                  <w:rStyle w:val="Hyperlink"/>
                  <w:rFonts w:ascii="Verdana" w:hAnsi="Verdana"/>
                  <w:bCs/>
                  <w:sz w:val="20"/>
                </w:rPr>
                <w:instrText>System Improvements</w:instrText>
              </w:r>
              <w:r w:rsidR="00F935B1" w:rsidRPr="005E385F">
                <w:rPr>
                  <w:rFonts w:ascii="Verdana" w:hAnsi="Verdana"/>
                  <w:sz w:val="20"/>
                </w:rPr>
                <w:instrText>"</w:instrText>
              </w:r>
              <w:r w:rsidR="00F935B1" w:rsidRPr="005E385F">
                <w:rPr>
                  <w:rFonts w:ascii="Verdana" w:hAnsi="Verdana"/>
                  <w:sz w:val="20"/>
                </w:rPr>
                <w:fldChar w:fldCharType="end"/>
              </w:r>
            </w:hyperlink>
            <w:r w:rsidR="00F935B1" w:rsidRPr="005E385F">
              <w:rPr>
                <w:rFonts w:ascii="Verdana" w:hAnsi="Verdana"/>
                <w:bCs/>
                <w:sz w:val="20"/>
              </w:rPr>
              <w:t xml:space="preserve"> </w:t>
            </w:r>
            <w:r w:rsidR="00F935B1" w:rsidRPr="005E385F">
              <w:rPr>
                <w:rFonts w:ascii="Verdana" w:hAnsi="Verdana"/>
                <w:sz w:val="20"/>
              </w:rPr>
              <w:t>to eligible components</w:t>
            </w:r>
            <w:r w:rsidR="00F935B1" w:rsidRPr="005E385F">
              <w:rPr>
                <w:rFonts w:ascii="Verdana" w:hAnsi="Verdana"/>
                <w:sz w:val="20"/>
              </w:rPr>
              <w:fldChar w:fldCharType="begin"/>
            </w:r>
            <w:r w:rsidR="00F935B1" w:rsidRPr="005E385F">
              <w:rPr>
                <w:rFonts w:ascii="Verdana" w:hAnsi="Verdana"/>
                <w:sz w:val="20"/>
              </w:rPr>
              <w:instrText>xe "Component</w:instrText>
            </w:r>
            <w:r w:rsidR="00F935B1" w:rsidRPr="005E385F">
              <w:rPr>
                <w:rFonts w:ascii="Verdana" w:hAnsi="Verdana"/>
                <w:bCs/>
                <w:sz w:val="20"/>
              </w:rPr>
              <w:instrText>s</w:instrText>
            </w:r>
            <w:r w:rsidR="00F935B1" w:rsidRPr="005E385F">
              <w:rPr>
                <w:rFonts w:ascii="Verdana" w:hAnsi="Verdana"/>
                <w:sz w:val="20"/>
              </w:rPr>
              <w:instrText>"</w:instrText>
            </w:r>
            <w:r w:rsidR="00F935B1" w:rsidRPr="005E385F">
              <w:rPr>
                <w:rFonts w:ascii="Verdana" w:hAnsi="Verdana"/>
                <w:sz w:val="20"/>
              </w:rPr>
              <w:fldChar w:fldCharType="end"/>
            </w:r>
            <w:r w:rsidR="00F935B1" w:rsidRPr="005E385F">
              <w:rPr>
                <w:rFonts w:ascii="Verdana" w:hAnsi="Verdana"/>
                <w:sz w:val="20"/>
              </w:rPr>
              <w:t xml:space="preserve"> are eligible for discount.  Memory</w:t>
            </w:r>
            <w:r w:rsidR="00F935B1" w:rsidRPr="005E385F">
              <w:rPr>
                <w:rFonts w:ascii="Verdana" w:hAnsi="Verdana"/>
                <w:sz w:val="20"/>
              </w:rPr>
              <w:fldChar w:fldCharType="begin"/>
            </w:r>
            <w:r w:rsidR="00F935B1" w:rsidRPr="005E385F">
              <w:rPr>
                <w:rFonts w:ascii="Verdana" w:hAnsi="Verdana"/>
                <w:sz w:val="20"/>
              </w:rPr>
              <w:instrText>xe "Memory"</w:instrText>
            </w:r>
            <w:r w:rsidR="00F935B1" w:rsidRPr="005E385F">
              <w:rPr>
                <w:rFonts w:ascii="Verdana" w:hAnsi="Verdana"/>
                <w:sz w:val="20"/>
              </w:rPr>
              <w:fldChar w:fldCharType="end"/>
            </w:r>
            <w:r w:rsidR="00F935B1" w:rsidRPr="005E385F">
              <w:rPr>
                <w:rFonts w:ascii="Verdana" w:hAnsi="Verdana"/>
                <w:sz w:val="20"/>
              </w:rPr>
              <w:t xml:space="preserve"> upgrades, for example, to eligible servers</w:t>
            </w:r>
            <w:r w:rsidR="00F935B1" w:rsidRPr="005E385F">
              <w:rPr>
                <w:rFonts w:ascii="Verdana" w:hAnsi="Verdana"/>
                <w:sz w:val="20"/>
              </w:rPr>
              <w:fldChar w:fldCharType="begin"/>
            </w:r>
            <w:r w:rsidR="00F935B1" w:rsidRPr="005E385F">
              <w:rPr>
                <w:rFonts w:ascii="Verdana" w:hAnsi="Verdana"/>
                <w:sz w:val="20"/>
              </w:rPr>
              <w:instrText>xe "S</w:instrText>
            </w:r>
            <w:r w:rsidR="00F935B1" w:rsidRPr="005E385F">
              <w:rPr>
                <w:rStyle w:val="Hyperlink"/>
                <w:rFonts w:ascii="Verdana" w:hAnsi="Verdana"/>
                <w:bCs/>
                <w:sz w:val="20"/>
              </w:rPr>
              <w:instrText>ervers</w:instrText>
            </w:r>
            <w:r w:rsidR="00F935B1" w:rsidRPr="005E385F">
              <w:rPr>
                <w:rFonts w:ascii="Verdana" w:hAnsi="Verdana"/>
                <w:sz w:val="20"/>
              </w:rPr>
              <w:instrText>"</w:instrText>
            </w:r>
            <w:r w:rsidR="00F935B1" w:rsidRPr="005E385F">
              <w:rPr>
                <w:rFonts w:ascii="Verdana" w:hAnsi="Verdana"/>
                <w:sz w:val="20"/>
              </w:rPr>
              <w:fldChar w:fldCharType="end"/>
            </w:r>
            <w:r w:rsidR="00F935B1" w:rsidRPr="005E385F">
              <w:rPr>
                <w:rFonts w:ascii="Verdana" w:hAnsi="Verdana"/>
                <w:sz w:val="20"/>
              </w:rPr>
              <w:t xml:space="preserve"> are eligible, but memory upgrades would not be eligible in end-user workstations</w:t>
            </w:r>
            <w:r w:rsidR="00F935B1" w:rsidRPr="005E385F">
              <w:rPr>
                <w:rFonts w:ascii="Verdana" w:hAnsi="Verdana"/>
                <w:sz w:val="20"/>
              </w:rPr>
              <w:fldChar w:fldCharType="begin"/>
            </w:r>
            <w:r w:rsidR="00F935B1" w:rsidRPr="005E385F">
              <w:rPr>
                <w:rFonts w:ascii="Verdana" w:hAnsi="Verdana"/>
                <w:sz w:val="20"/>
              </w:rPr>
              <w:instrText>xe "Workstations"</w:instrText>
            </w:r>
            <w:r w:rsidR="00F935B1" w:rsidRPr="005E385F">
              <w:rPr>
                <w:rFonts w:ascii="Verdana" w:hAnsi="Verdana"/>
                <w:sz w:val="20"/>
              </w:rPr>
              <w:fldChar w:fldCharType="end"/>
            </w:r>
            <w:r w:rsidR="00F935B1" w:rsidRPr="005E385F">
              <w:rPr>
                <w:rFonts w:ascii="Verdana" w:hAnsi="Verdana"/>
                <w:sz w:val="20"/>
              </w:rPr>
              <w:t>.</w:t>
            </w:r>
          </w:p>
          <w:p w14:paraId="200BC8FE" w14:textId="77777777" w:rsidR="00F935B1" w:rsidRPr="005E385F" w:rsidRDefault="00F935B1" w:rsidP="0083602C">
            <w:pPr>
              <w:pStyle w:val="NormalWeb"/>
              <w:spacing w:before="0" w:beforeAutospacing="0" w:after="0"/>
              <w:rPr>
                <w:rFonts w:ascii="Verdana" w:hAnsi="Verdana"/>
                <w:sz w:val="20"/>
              </w:rPr>
            </w:pPr>
          </w:p>
          <w:p w14:paraId="7F2A8A2B" w14:textId="77777777" w:rsidR="00F935B1" w:rsidRPr="005E385F" w:rsidRDefault="00F935B1" w:rsidP="0083602C">
            <w:pPr>
              <w:pStyle w:val="NormalWeb"/>
              <w:spacing w:before="0" w:beforeAutospacing="0" w:after="0"/>
              <w:rPr>
                <w:rFonts w:ascii="Verdana" w:hAnsi="Verdana"/>
                <w:bCs/>
                <w:sz w:val="20"/>
              </w:rPr>
            </w:pPr>
            <w:r w:rsidRPr="005E385F">
              <w:rPr>
                <w:rFonts w:ascii="Verdana" w:hAnsi="Verdana"/>
                <w:bCs/>
                <w:sz w:val="20"/>
              </w:rPr>
              <w:t xml:space="preserve">Please see the </w:t>
            </w:r>
            <w:hyperlink w:anchor="xxMiscellaneous" w:history="1">
              <w:r w:rsidRPr="005E385F">
                <w:rPr>
                  <w:rStyle w:val="Hyperlink"/>
                  <w:rFonts w:ascii="Verdana" w:hAnsi="Verdana"/>
                  <w:bCs/>
                  <w:sz w:val="20"/>
                </w:rPr>
                <w:t>Miscellaneous</w:t>
              </w:r>
              <w:r w:rsidRPr="005E385F">
                <w:rPr>
                  <w:rFonts w:ascii="Verdana" w:hAnsi="Verdana"/>
                  <w:sz w:val="20"/>
                </w:rPr>
                <w:fldChar w:fldCharType="begin"/>
              </w:r>
              <w:r w:rsidRPr="005E385F">
                <w:rPr>
                  <w:rFonts w:ascii="Verdana" w:hAnsi="Verdana"/>
                  <w:sz w:val="20"/>
                </w:rPr>
                <w:instrText>xe "Miscellaneous Services"</w:instrText>
              </w:r>
              <w:r w:rsidRPr="005E385F">
                <w:rPr>
                  <w:rFonts w:ascii="Verdana" w:hAnsi="Verdana"/>
                  <w:sz w:val="20"/>
                </w:rPr>
                <w:fldChar w:fldCharType="end"/>
              </w:r>
            </w:hyperlink>
            <w:r w:rsidRPr="005E385F">
              <w:rPr>
                <w:rFonts w:ascii="Verdana" w:hAnsi="Verdana"/>
                <w:bCs/>
                <w:sz w:val="20"/>
              </w:rPr>
              <w:t xml:space="preserve"> section of this document for additional entries applicable to Internal Connections</w:t>
            </w:r>
            <w:r w:rsidRPr="005E385F">
              <w:rPr>
                <w:rFonts w:ascii="Verdana" w:hAnsi="Verdana"/>
                <w:sz w:val="20"/>
              </w:rPr>
              <w:fldChar w:fldCharType="begin"/>
            </w:r>
            <w:r w:rsidRPr="005E385F">
              <w:rPr>
                <w:rFonts w:ascii="Verdana" w:hAnsi="Verdana"/>
                <w:sz w:val="20"/>
              </w:rPr>
              <w:instrText>xe "</w:instrText>
            </w:r>
            <w:r w:rsidRPr="005E385F">
              <w:rPr>
                <w:rStyle w:val="Hyperlink"/>
                <w:rFonts w:ascii="Verdana" w:hAnsi="Verdana"/>
                <w:sz w:val="20"/>
              </w:rPr>
              <w:instrText>Internal Connections</w:instrText>
            </w:r>
            <w:r w:rsidRPr="005E385F">
              <w:rPr>
                <w:rFonts w:ascii="Verdana" w:hAnsi="Verdana"/>
                <w:sz w:val="20"/>
              </w:rPr>
              <w:instrText>"</w:instrText>
            </w:r>
            <w:r w:rsidRPr="005E385F">
              <w:rPr>
                <w:rFonts w:ascii="Verdana" w:hAnsi="Verdana"/>
                <w:sz w:val="20"/>
              </w:rPr>
              <w:fldChar w:fldCharType="end"/>
            </w:r>
            <w:r w:rsidRPr="005E385F">
              <w:rPr>
                <w:rFonts w:ascii="Verdana" w:hAnsi="Verdana"/>
                <w:bCs/>
                <w:sz w:val="20"/>
              </w:rPr>
              <w:t>, such as charges for installation</w:t>
            </w:r>
            <w:r w:rsidRPr="005E385F">
              <w:rPr>
                <w:rFonts w:ascii="Verdana" w:hAnsi="Verdana"/>
                <w:sz w:val="20"/>
              </w:rPr>
              <w:fldChar w:fldCharType="begin"/>
            </w:r>
            <w:r w:rsidRPr="005E385F">
              <w:rPr>
                <w:rFonts w:ascii="Verdana" w:hAnsi="Verdana"/>
                <w:sz w:val="20"/>
              </w:rPr>
              <w:instrText>xe "Installation"</w:instrText>
            </w:r>
            <w:r w:rsidRPr="005E385F">
              <w:rPr>
                <w:rFonts w:ascii="Verdana" w:hAnsi="Verdana"/>
                <w:sz w:val="20"/>
              </w:rPr>
              <w:fldChar w:fldCharType="end"/>
            </w:r>
            <w:r w:rsidRPr="005E385F">
              <w:rPr>
                <w:rFonts w:ascii="Verdana" w:hAnsi="Verdana"/>
                <w:bCs/>
                <w:sz w:val="20"/>
              </w:rPr>
              <w:t xml:space="preserve"> and configuration</w:t>
            </w:r>
            <w:r w:rsidRPr="005E385F">
              <w:rPr>
                <w:rFonts w:ascii="Verdana" w:hAnsi="Verdana"/>
                <w:sz w:val="20"/>
              </w:rPr>
              <w:fldChar w:fldCharType="begin"/>
            </w:r>
            <w:r w:rsidRPr="005E385F">
              <w:rPr>
                <w:rFonts w:ascii="Verdana" w:hAnsi="Verdana"/>
                <w:sz w:val="20"/>
              </w:rPr>
              <w:instrText>xe "</w:instrText>
            </w:r>
            <w:r w:rsidRPr="005E385F">
              <w:rPr>
                <w:rFonts w:ascii="Verdana" w:hAnsi="Verdana"/>
                <w:bCs/>
                <w:sz w:val="20"/>
              </w:rPr>
              <w:instrText>Configuration</w:instrText>
            </w:r>
            <w:r w:rsidRPr="005E385F">
              <w:rPr>
                <w:rFonts w:ascii="Verdana" w:hAnsi="Verdana"/>
                <w:sz w:val="20"/>
              </w:rPr>
              <w:instrText>"</w:instrText>
            </w:r>
            <w:r w:rsidRPr="005E385F">
              <w:rPr>
                <w:rFonts w:ascii="Verdana" w:hAnsi="Verdana"/>
                <w:sz w:val="20"/>
              </w:rPr>
              <w:fldChar w:fldCharType="end"/>
            </w:r>
            <w:r w:rsidRPr="005E385F">
              <w:rPr>
                <w:rFonts w:ascii="Verdana" w:hAnsi="Verdana"/>
                <w:bCs/>
                <w:sz w:val="20"/>
              </w:rPr>
              <w:t>.</w:t>
            </w:r>
          </w:p>
        </w:tc>
      </w:tr>
    </w:tbl>
    <w:p w14:paraId="079BD63D" w14:textId="77777777" w:rsidR="00F935B1" w:rsidRPr="005E385F" w:rsidRDefault="00F935B1" w:rsidP="00F935B1">
      <w:pPr>
        <w:rPr>
          <w:rFonts w:ascii="Verdana" w:hAnsi="Verdana"/>
          <w:sz w:val="20"/>
        </w:rPr>
      </w:pPr>
      <w:r w:rsidRPr="005E385F">
        <w:rPr>
          <w:rFonts w:ascii="Verdana" w:hAnsi="Verdana"/>
          <w:sz w:val="20"/>
        </w:rPr>
        <w:br w:type="page"/>
      </w:r>
    </w:p>
    <w:tbl>
      <w:tblPr>
        <w:tblW w:w="5000" w:type="pct"/>
        <w:tblCellSpacing w:w="1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43" w:type="dxa"/>
          <w:left w:w="288" w:type="dxa"/>
          <w:bottom w:w="43" w:type="dxa"/>
          <w:right w:w="288" w:type="dxa"/>
        </w:tblCellMar>
        <w:tblLook w:val="0000" w:firstRow="0" w:lastRow="0" w:firstColumn="0" w:lastColumn="0" w:noHBand="0" w:noVBand="0"/>
      </w:tblPr>
      <w:tblGrid>
        <w:gridCol w:w="2358"/>
        <w:gridCol w:w="6948"/>
      </w:tblGrid>
      <w:tr w:rsidR="00F935B1" w:rsidRPr="005E385F" w14:paraId="5F5D890F" w14:textId="77777777" w:rsidTr="0083602C">
        <w:trPr>
          <w:tblCellSpacing w:w="15" w:type="dxa"/>
        </w:trPr>
        <w:tc>
          <w:tcPr>
            <w:tcW w:w="1243" w:type="pct"/>
          </w:tcPr>
          <w:p w14:paraId="007688AD" w14:textId="77777777" w:rsidR="00F935B1" w:rsidRPr="005E385F" w:rsidRDefault="00F935B1" w:rsidP="0083602C">
            <w:pPr>
              <w:rPr>
                <w:rFonts w:ascii="Verdana" w:hAnsi="Verdana"/>
                <w:sz w:val="20"/>
              </w:rPr>
            </w:pPr>
            <w:r w:rsidRPr="005E385F">
              <w:rPr>
                <w:rFonts w:ascii="Verdana" w:hAnsi="Verdana"/>
                <w:sz w:val="20"/>
              </w:rPr>
              <w:lastRenderedPageBreak/>
              <w:t>NOT Eligible for E-rate Funding as Internal Connections Components</w:t>
            </w:r>
            <w:r w:rsidRPr="005E385F">
              <w:rPr>
                <w:rFonts w:ascii="Verdana" w:hAnsi="Verdana"/>
                <w:sz w:val="20"/>
              </w:rPr>
              <w:fldChar w:fldCharType="begin"/>
            </w:r>
            <w:r w:rsidRPr="005E385F">
              <w:rPr>
                <w:rFonts w:ascii="Verdana" w:hAnsi="Verdana"/>
                <w:sz w:val="20"/>
              </w:rPr>
              <w:instrText>xe "Ineligible Components"</w:instrText>
            </w:r>
            <w:r w:rsidRPr="005E385F">
              <w:rPr>
                <w:rFonts w:ascii="Verdana" w:hAnsi="Verdana"/>
                <w:sz w:val="20"/>
              </w:rPr>
              <w:fldChar w:fldCharType="end"/>
            </w:r>
          </w:p>
          <w:p w14:paraId="5E661642" w14:textId="77777777" w:rsidR="00F935B1" w:rsidRPr="005E385F" w:rsidRDefault="00F935B1" w:rsidP="0083602C">
            <w:pPr>
              <w:rPr>
                <w:rFonts w:ascii="Verdana" w:hAnsi="Verdana"/>
                <w:sz w:val="20"/>
              </w:rPr>
            </w:pPr>
          </w:p>
          <w:p w14:paraId="0D70D1C6" w14:textId="77777777" w:rsidR="00F935B1" w:rsidRPr="005E385F" w:rsidRDefault="00F935B1" w:rsidP="0083602C">
            <w:pPr>
              <w:rPr>
                <w:rFonts w:ascii="Verdana" w:hAnsi="Verdana"/>
                <w:i/>
                <w:sz w:val="20"/>
              </w:rPr>
            </w:pPr>
          </w:p>
          <w:p w14:paraId="3C2C582B" w14:textId="77777777" w:rsidR="00F935B1" w:rsidRPr="005E385F" w:rsidRDefault="00F935B1" w:rsidP="0083602C">
            <w:pPr>
              <w:rPr>
                <w:rFonts w:ascii="Verdana" w:hAnsi="Verdana"/>
                <w:i/>
                <w:sz w:val="20"/>
              </w:rPr>
            </w:pPr>
          </w:p>
        </w:tc>
        <w:tc>
          <w:tcPr>
            <w:tcW w:w="3709" w:type="pct"/>
          </w:tcPr>
          <w:p w14:paraId="0C3F4F27" w14:textId="77777777" w:rsidR="00F935B1" w:rsidRPr="005E385F" w:rsidRDefault="00F935B1" w:rsidP="0083602C">
            <w:pPr>
              <w:pStyle w:val="NormalWeb"/>
              <w:spacing w:before="0" w:beforeAutospacing="0" w:after="0"/>
              <w:rPr>
                <w:rFonts w:ascii="Verdana" w:hAnsi="Verdana"/>
                <w:bCs/>
                <w:sz w:val="20"/>
              </w:rPr>
            </w:pPr>
            <w:r w:rsidRPr="005E385F">
              <w:rPr>
                <w:rFonts w:ascii="Verdana" w:hAnsi="Verdana"/>
                <w:bCs/>
                <w:sz w:val="20"/>
              </w:rPr>
              <w:t>Products and services are only eligible as Internal Connections</w:t>
            </w:r>
            <w:r w:rsidRPr="005E385F">
              <w:rPr>
                <w:rFonts w:ascii="Verdana" w:hAnsi="Verdana"/>
                <w:sz w:val="20"/>
              </w:rPr>
              <w:fldChar w:fldCharType="begin"/>
            </w:r>
            <w:r w:rsidRPr="005E385F">
              <w:rPr>
                <w:rFonts w:ascii="Verdana" w:hAnsi="Verdana"/>
                <w:sz w:val="20"/>
              </w:rPr>
              <w:instrText>xe "</w:instrText>
            </w:r>
            <w:r w:rsidRPr="005E385F">
              <w:rPr>
                <w:rStyle w:val="Hyperlink"/>
                <w:rFonts w:ascii="Verdana" w:hAnsi="Verdana"/>
                <w:sz w:val="20"/>
              </w:rPr>
              <w:instrText>Internal Connections</w:instrText>
            </w:r>
            <w:r w:rsidRPr="005E385F">
              <w:rPr>
                <w:rFonts w:ascii="Verdana" w:hAnsi="Verdana"/>
                <w:sz w:val="20"/>
              </w:rPr>
              <w:instrText>"</w:instrText>
            </w:r>
            <w:r w:rsidRPr="005E385F">
              <w:rPr>
                <w:rFonts w:ascii="Verdana" w:hAnsi="Verdana"/>
                <w:sz w:val="20"/>
              </w:rPr>
              <w:fldChar w:fldCharType="end"/>
            </w:r>
            <w:r w:rsidRPr="005E385F">
              <w:rPr>
                <w:rFonts w:ascii="Verdana" w:hAnsi="Verdana"/>
                <w:bCs/>
                <w:sz w:val="20"/>
              </w:rPr>
              <w:t xml:space="preserve"> if they are an essential element in the transmission of information within the school or library.  </w:t>
            </w:r>
          </w:p>
          <w:p w14:paraId="73CC435D" w14:textId="77777777" w:rsidR="00F935B1" w:rsidRPr="005E385F" w:rsidRDefault="00F935B1" w:rsidP="0083602C">
            <w:pPr>
              <w:pStyle w:val="NormalWeb"/>
              <w:spacing w:before="0" w:beforeAutospacing="0" w:after="0"/>
              <w:rPr>
                <w:rFonts w:ascii="Verdana" w:hAnsi="Verdana"/>
                <w:bCs/>
                <w:sz w:val="20"/>
              </w:rPr>
            </w:pPr>
          </w:p>
          <w:p w14:paraId="7E412976" w14:textId="77777777" w:rsidR="00F935B1" w:rsidRPr="005E385F" w:rsidRDefault="00F935B1" w:rsidP="0083602C">
            <w:pPr>
              <w:pStyle w:val="NormalWeb"/>
              <w:spacing w:before="0" w:beforeAutospacing="0" w:after="0"/>
              <w:rPr>
                <w:rFonts w:ascii="Verdana" w:hAnsi="Verdana"/>
                <w:bCs/>
                <w:sz w:val="20"/>
              </w:rPr>
            </w:pPr>
            <w:r w:rsidRPr="005E385F">
              <w:rPr>
                <w:rFonts w:ascii="Verdana" w:hAnsi="Verdana"/>
                <w:bCs/>
                <w:sz w:val="20"/>
              </w:rPr>
              <w:t xml:space="preserve">The following components are </w:t>
            </w:r>
            <w:r w:rsidRPr="005E385F">
              <w:rPr>
                <w:rFonts w:ascii="Verdana" w:hAnsi="Verdana"/>
                <w:b/>
                <w:bCs/>
                <w:sz w:val="20"/>
              </w:rPr>
              <w:t>NOT ELIGIBLE:</w:t>
            </w:r>
          </w:p>
          <w:p w14:paraId="24E09C9D" w14:textId="77777777" w:rsidR="00F935B1" w:rsidRPr="005E385F" w:rsidRDefault="00F935B1" w:rsidP="0083602C">
            <w:pPr>
              <w:pStyle w:val="NormalWeb"/>
              <w:spacing w:before="0" w:beforeAutospacing="0" w:after="0"/>
              <w:jc w:val="right"/>
              <w:rPr>
                <w:rFonts w:ascii="Verdana" w:hAnsi="Verdana"/>
                <w:bCs/>
                <w:sz w:val="20"/>
              </w:rPr>
            </w:pPr>
          </w:p>
          <w:p w14:paraId="57E4F98B" w14:textId="77777777" w:rsidR="00F935B1" w:rsidRPr="005E385F" w:rsidRDefault="00A0395D" w:rsidP="00F935B1">
            <w:pPr>
              <w:pStyle w:val="NormalWeb"/>
              <w:numPr>
                <w:ilvl w:val="0"/>
                <w:numId w:val="24"/>
              </w:numPr>
              <w:spacing w:before="0" w:beforeAutospacing="0" w:after="0"/>
              <w:rPr>
                <w:rFonts w:ascii="Verdana" w:hAnsi="Verdana"/>
                <w:bCs/>
                <w:sz w:val="20"/>
              </w:rPr>
            </w:pPr>
            <w:hyperlink w:anchor="AsbestosRemoval" w:history="1">
              <w:r w:rsidR="00F935B1" w:rsidRPr="005E385F">
                <w:rPr>
                  <w:rStyle w:val="Hyperlink"/>
                  <w:rFonts w:ascii="Verdana" w:hAnsi="Verdana"/>
                  <w:bCs/>
                  <w:sz w:val="20"/>
                </w:rPr>
                <w:t>Asbestos removal</w:t>
              </w:r>
              <w:r w:rsidR="00F935B1" w:rsidRPr="005E385F">
                <w:rPr>
                  <w:rFonts w:ascii="Verdana" w:hAnsi="Verdana"/>
                  <w:sz w:val="20"/>
                </w:rPr>
                <w:fldChar w:fldCharType="begin"/>
              </w:r>
              <w:r w:rsidR="00F935B1" w:rsidRPr="005E385F">
                <w:rPr>
                  <w:rFonts w:ascii="Verdana" w:hAnsi="Verdana"/>
                  <w:sz w:val="20"/>
                </w:rPr>
                <w:instrText>xe "</w:instrText>
              </w:r>
              <w:r w:rsidR="00F935B1" w:rsidRPr="005E385F">
                <w:rPr>
                  <w:rStyle w:val="Hyperlink"/>
                  <w:rFonts w:ascii="Verdana" w:hAnsi="Verdana"/>
                  <w:bCs/>
                  <w:sz w:val="20"/>
                </w:rPr>
                <w:instrText>Asbestos Removal</w:instrText>
              </w:r>
              <w:r w:rsidR="00F935B1" w:rsidRPr="005E385F">
                <w:rPr>
                  <w:rFonts w:ascii="Verdana" w:hAnsi="Verdana"/>
                  <w:sz w:val="20"/>
                </w:rPr>
                <w:instrText>"</w:instrText>
              </w:r>
              <w:r w:rsidR="00F935B1" w:rsidRPr="005E385F">
                <w:rPr>
                  <w:rFonts w:ascii="Verdana" w:hAnsi="Verdana"/>
                  <w:sz w:val="20"/>
                </w:rPr>
                <w:fldChar w:fldCharType="end"/>
              </w:r>
            </w:hyperlink>
          </w:p>
          <w:p w14:paraId="0646206B" w14:textId="77777777" w:rsidR="00F935B1" w:rsidRPr="005E385F" w:rsidRDefault="00A0395D" w:rsidP="00F935B1">
            <w:pPr>
              <w:pStyle w:val="NormalWeb"/>
              <w:numPr>
                <w:ilvl w:val="0"/>
                <w:numId w:val="24"/>
              </w:numPr>
              <w:spacing w:before="0" w:beforeAutospacing="0" w:after="0"/>
              <w:rPr>
                <w:rFonts w:ascii="Verdana" w:hAnsi="Verdana"/>
                <w:bCs/>
                <w:sz w:val="20"/>
              </w:rPr>
            </w:pPr>
            <w:hyperlink w:anchor="BroadcastCableEquip" w:history="1">
              <w:r w:rsidR="00F935B1" w:rsidRPr="005E385F">
                <w:rPr>
                  <w:rStyle w:val="Hyperlink"/>
                  <w:rFonts w:ascii="Verdana" w:hAnsi="Verdana"/>
                  <w:bCs/>
                  <w:sz w:val="20"/>
                </w:rPr>
                <w:t>Broadcast</w:t>
              </w:r>
              <w:r w:rsidR="00F935B1" w:rsidRPr="005E385F">
                <w:rPr>
                  <w:rFonts w:ascii="Verdana" w:hAnsi="Verdana"/>
                  <w:sz w:val="20"/>
                </w:rPr>
                <w:fldChar w:fldCharType="begin"/>
              </w:r>
              <w:r w:rsidR="00F935B1" w:rsidRPr="005E385F">
                <w:rPr>
                  <w:rFonts w:ascii="Verdana" w:hAnsi="Verdana"/>
                  <w:sz w:val="20"/>
                </w:rPr>
                <w:instrText>xe "Broadcast Television"</w:instrText>
              </w:r>
              <w:r w:rsidR="00F935B1" w:rsidRPr="005E385F">
                <w:rPr>
                  <w:rFonts w:ascii="Verdana" w:hAnsi="Verdana"/>
                  <w:sz w:val="20"/>
                </w:rPr>
                <w:fldChar w:fldCharType="end"/>
              </w:r>
            </w:hyperlink>
          </w:p>
          <w:p w14:paraId="4B5650F5" w14:textId="77777777" w:rsidR="00F935B1" w:rsidRPr="005E385F" w:rsidRDefault="00A0395D" w:rsidP="00F935B1">
            <w:pPr>
              <w:pStyle w:val="NormalWeb"/>
              <w:numPr>
                <w:ilvl w:val="0"/>
                <w:numId w:val="24"/>
              </w:numPr>
              <w:spacing w:before="0" w:beforeAutospacing="0" w:after="0"/>
              <w:rPr>
                <w:rFonts w:ascii="Verdana" w:hAnsi="Verdana"/>
                <w:bCs/>
                <w:sz w:val="20"/>
              </w:rPr>
            </w:pPr>
            <w:hyperlink w:anchor="ElectricalSystemUpgrades" w:history="1">
              <w:r w:rsidR="00F935B1" w:rsidRPr="005E385F">
                <w:rPr>
                  <w:rStyle w:val="Hyperlink"/>
                  <w:rFonts w:ascii="Verdana" w:hAnsi="Verdana"/>
                  <w:bCs/>
                  <w:sz w:val="20"/>
                </w:rPr>
                <w:t>Electrical system upgrades</w:t>
              </w:r>
              <w:r w:rsidR="00F935B1" w:rsidRPr="005E385F">
                <w:rPr>
                  <w:rFonts w:ascii="Verdana" w:hAnsi="Verdana"/>
                  <w:sz w:val="20"/>
                </w:rPr>
                <w:fldChar w:fldCharType="begin"/>
              </w:r>
              <w:r w:rsidR="00F935B1" w:rsidRPr="005E385F">
                <w:rPr>
                  <w:rFonts w:ascii="Verdana" w:hAnsi="Verdana"/>
                  <w:sz w:val="20"/>
                </w:rPr>
                <w:instrText>xe "</w:instrText>
              </w:r>
              <w:r w:rsidR="00F935B1" w:rsidRPr="005E385F">
                <w:rPr>
                  <w:rStyle w:val="Hyperlink"/>
                  <w:rFonts w:ascii="Verdana" w:hAnsi="Verdana"/>
                  <w:bCs/>
                  <w:sz w:val="20"/>
                </w:rPr>
                <w:instrText>Electrical System Upgrades</w:instrText>
              </w:r>
              <w:r w:rsidR="00F935B1" w:rsidRPr="005E385F">
                <w:rPr>
                  <w:rFonts w:ascii="Verdana" w:hAnsi="Verdana"/>
                  <w:sz w:val="20"/>
                </w:rPr>
                <w:instrText>"</w:instrText>
              </w:r>
              <w:r w:rsidR="00F935B1" w:rsidRPr="005E385F">
                <w:rPr>
                  <w:rFonts w:ascii="Verdana" w:hAnsi="Verdana"/>
                  <w:sz w:val="20"/>
                </w:rPr>
                <w:fldChar w:fldCharType="end"/>
              </w:r>
            </w:hyperlink>
          </w:p>
          <w:p w14:paraId="496CA7A9" w14:textId="77777777" w:rsidR="00F935B1" w:rsidRPr="005E385F" w:rsidRDefault="00F935B1" w:rsidP="00F935B1">
            <w:pPr>
              <w:pStyle w:val="NormalWeb"/>
              <w:numPr>
                <w:ilvl w:val="0"/>
                <w:numId w:val="24"/>
              </w:numPr>
              <w:spacing w:before="0" w:beforeAutospacing="0" w:after="0"/>
              <w:rPr>
                <w:rFonts w:ascii="Verdana" w:hAnsi="Verdana"/>
                <w:bCs/>
                <w:sz w:val="20"/>
              </w:rPr>
            </w:pPr>
            <w:r w:rsidRPr="005E385F">
              <w:rPr>
                <w:rFonts w:ascii="Verdana" w:hAnsi="Verdana"/>
                <w:bCs/>
                <w:sz w:val="20"/>
              </w:rPr>
              <w:t>Multimedia</w:t>
            </w:r>
            <w:r w:rsidRPr="005E385F">
              <w:rPr>
                <w:rFonts w:ascii="Verdana" w:hAnsi="Verdana"/>
                <w:sz w:val="20"/>
              </w:rPr>
              <w:fldChar w:fldCharType="begin"/>
            </w:r>
            <w:r w:rsidRPr="005E385F">
              <w:rPr>
                <w:rFonts w:ascii="Verdana" w:hAnsi="Verdana"/>
                <w:sz w:val="20"/>
              </w:rPr>
              <w:instrText>xe "</w:instrText>
            </w:r>
            <w:r w:rsidRPr="005E385F">
              <w:rPr>
                <w:rFonts w:ascii="Verdana" w:hAnsi="Verdana"/>
                <w:bCs/>
                <w:sz w:val="20"/>
              </w:rPr>
              <w:instrText>Multimedia</w:instrText>
            </w:r>
            <w:r w:rsidRPr="005E385F">
              <w:rPr>
                <w:rFonts w:ascii="Verdana" w:hAnsi="Verdana"/>
                <w:sz w:val="20"/>
              </w:rPr>
              <w:instrText>"</w:instrText>
            </w:r>
            <w:r w:rsidRPr="005E385F">
              <w:rPr>
                <w:rFonts w:ascii="Verdana" w:hAnsi="Verdana"/>
                <w:sz w:val="20"/>
              </w:rPr>
              <w:fldChar w:fldCharType="end"/>
            </w:r>
            <w:r w:rsidRPr="005E385F">
              <w:rPr>
                <w:rFonts w:ascii="Verdana" w:hAnsi="Verdana"/>
                <w:bCs/>
                <w:sz w:val="20"/>
              </w:rPr>
              <w:t xml:space="preserve"> content</w:t>
            </w:r>
            <w:r w:rsidRPr="005E385F">
              <w:rPr>
                <w:rFonts w:ascii="Verdana" w:hAnsi="Verdana"/>
                <w:sz w:val="20"/>
              </w:rPr>
              <w:fldChar w:fldCharType="begin"/>
            </w:r>
            <w:r w:rsidRPr="005E385F">
              <w:rPr>
                <w:rFonts w:ascii="Verdana" w:hAnsi="Verdana"/>
                <w:sz w:val="20"/>
              </w:rPr>
              <w:instrText>xe "Content"</w:instrText>
            </w:r>
            <w:r w:rsidRPr="005E385F">
              <w:rPr>
                <w:rFonts w:ascii="Verdana" w:hAnsi="Verdana"/>
                <w:sz w:val="20"/>
              </w:rPr>
              <w:fldChar w:fldCharType="end"/>
            </w:r>
            <w:r w:rsidRPr="005E385F">
              <w:rPr>
                <w:rFonts w:ascii="Verdana" w:hAnsi="Verdana"/>
                <w:bCs/>
                <w:sz w:val="20"/>
              </w:rPr>
              <w:t>, such as encyclopedias</w:t>
            </w:r>
            <w:r w:rsidRPr="005E385F">
              <w:rPr>
                <w:rFonts w:ascii="Verdana" w:hAnsi="Verdana"/>
                <w:sz w:val="20"/>
              </w:rPr>
              <w:fldChar w:fldCharType="begin"/>
            </w:r>
            <w:r w:rsidRPr="005E385F">
              <w:rPr>
                <w:rFonts w:ascii="Verdana" w:hAnsi="Verdana"/>
                <w:sz w:val="20"/>
              </w:rPr>
              <w:instrText>xe "E</w:instrText>
            </w:r>
            <w:r w:rsidRPr="005E385F">
              <w:rPr>
                <w:rFonts w:ascii="Verdana" w:hAnsi="Verdana"/>
                <w:bCs/>
                <w:sz w:val="20"/>
              </w:rPr>
              <w:instrText>ncyclopedias</w:instrText>
            </w:r>
            <w:r w:rsidRPr="005E385F">
              <w:rPr>
                <w:rFonts w:ascii="Verdana" w:hAnsi="Verdana"/>
                <w:sz w:val="20"/>
              </w:rPr>
              <w:instrText>"</w:instrText>
            </w:r>
            <w:r w:rsidRPr="005E385F">
              <w:rPr>
                <w:rFonts w:ascii="Verdana" w:hAnsi="Verdana"/>
                <w:sz w:val="20"/>
              </w:rPr>
              <w:fldChar w:fldCharType="end"/>
            </w:r>
            <w:r w:rsidRPr="005E385F">
              <w:rPr>
                <w:rFonts w:ascii="Verdana" w:hAnsi="Verdana"/>
                <w:bCs/>
                <w:sz w:val="20"/>
              </w:rPr>
              <w:t xml:space="preserve"> on CD</w:t>
            </w:r>
            <w:r w:rsidRPr="005E385F">
              <w:rPr>
                <w:rFonts w:ascii="Verdana" w:hAnsi="Verdana"/>
                <w:sz w:val="20"/>
              </w:rPr>
              <w:fldChar w:fldCharType="begin"/>
            </w:r>
            <w:r w:rsidRPr="005E385F">
              <w:rPr>
                <w:rFonts w:ascii="Verdana" w:hAnsi="Verdana"/>
                <w:sz w:val="20"/>
              </w:rPr>
              <w:instrText>xe "CD"</w:instrText>
            </w:r>
            <w:r w:rsidRPr="005E385F">
              <w:rPr>
                <w:rFonts w:ascii="Verdana" w:hAnsi="Verdana"/>
                <w:sz w:val="20"/>
              </w:rPr>
              <w:fldChar w:fldCharType="end"/>
            </w:r>
            <w:r w:rsidRPr="005E385F">
              <w:rPr>
                <w:rFonts w:ascii="Verdana" w:hAnsi="Verdana"/>
                <w:bCs/>
                <w:sz w:val="20"/>
              </w:rPr>
              <w:t xml:space="preserve"> ROM</w:t>
            </w:r>
            <w:r w:rsidRPr="005E385F">
              <w:rPr>
                <w:rFonts w:ascii="Verdana" w:hAnsi="Verdana"/>
                <w:sz w:val="20"/>
              </w:rPr>
              <w:fldChar w:fldCharType="begin"/>
            </w:r>
            <w:r w:rsidRPr="005E385F">
              <w:rPr>
                <w:rFonts w:ascii="Verdana" w:hAnsi="Verdana"/>
                <w:sz w:val="20"/>
              </w:rPr>
              <w:instrText>xe "</w:instrText>
            </w:r>
            <w:r w:rsidRPr="005E385F">
              <w:rPr>
                <w:rFonts w:ascii="Verdana" w:hAnsi="Verdana"/>
                <w:bCs/>
                <w:sz w:val="20"/>
              </w:rPr>
              <w:instrText>CDROM</w:instrText>
            </w:r>
            <w:r w:rsidRPr="005E385F">
              <w:rPr>
                <w:rFonts w:ascii="Verdana" w:hAnsi="Verdana"/>
                <w:sz w:val="20"/>
              </w:rPr>
              <w:instrText>"</w:instrText>
            </w:r>
            <w:r w:rsidRPr="005E385F">
              <w:rPr>
                <w:rFonts w:ascii="Verdana" w:hAnsi="Verdana"/>
                <w:sz w:val="20"/>
              </w:rPr>
              <w:fldChar w:fldCharType="end"/>
            </w:r>
            <w:r w:rsidRPr="005E385F">
              <w:rPr>
                <w:rFonts w:ascii="Verdana" w:hAnsi="Verdana"/>
                <w:bCs/>
                <w:sz w:val="20"/>
              </w:rPr>
              <w:t>, video</w:t>
            </w:r>
            <w:r w:rsidRPr="005E385F">
              <w:rPr>
                <w:rFonts w:ascii="Verdana" w:hAnsi="Verdana"/>
                <w:sz w:val="20"/>
              </w:rPr>
              <w:fldChar w:fldCharType="begin"/>
            </w:r>
            <w:r w:rsidRPr="005E385F">
              <w:rPr>
                <w:rFonts w:ascii="Verdana" w:hAnsi="Verdana"/>
                <w:sz w:val="20"/>
              </w:rPr>
              <w:instrText>xe "V</w:instrText>
            </w:r>
            <w:r w:rsidRPr="005E385F">
              <w:rPr>
                <w:rFonts w:ascii="Verdana" w:hAnsi="Verdana"/>
                <w:bCs/>
                <w:sz w:val="20"/>
              </w:rPr>
              <w:instrText>ideo</w:instrText>
            </w:r>
            <w:r w:rsidRPr="005E385F">
              <w:rPr>
                <w:rFonts w:ascii="Verdana" w:hAnsi="Verdana"/>
                <w:sz w:val="20"/>
              </w:rPr>
              <w:instrText>"</w:instrText>
            </w:r>
            <w:r w:rsidRPr="005E385F">
              <w:rPr>
                <w:rFonts w:ascii="Verdana" w:hAnsi="Verdana"/>
                <w:sz w:val="20"/>
              </w:rPr>
              <w:fldChar w:fldCharType="end"/>
            </w:r>
            <w:r w:rsidRPr="005E385F">
              <w:rPr>
                <w:rFonts w:ascii="Verdana" w:hAnsi="Verdana"/>
                <w:bCs/>
                <w:sz w:val="20"/>
              </w:rPr>
              <w:t xml:space="preserve"> information, etc., and also </w:t>
            </w:r>
            <w:hyperlink w:anchor="MultimediaKit" w:history="1">
              <w:r w:rsidRPr="005E385F">
                <w:rPr>
                  <w:rStyle w:val="Hyperlink"/>
                  <w:rFonts w:ascii="Verdana" w:hAnsi="Verdana"/>
                  <w:bCs/>
                  <w:sz w:val="20"/>
                </w:rPr>
                <w:t>multimedia kits</w:t>
              </w:r>
              <w:r w:rsidRPr="005E385F">
                <w:rPr>
                  <w:rFonts w:ascii="Verdana" w:hAnsi="Verdana"/>
                  <w:sz w:val="20"/>
                </w:rPr>
                <w:fldChar w:fldCharType="begin"/>
              </w:r>
              <w:r w:rsidRPr="005E385F">
                <w:rPr>
                  <w:rFonts w:ascii="Verdana" w:hAnsi="Verdana"/>
                  <w:sz w:val="20"/>
                </w:rPr>
                <w:instrText>xe "M</w:instrText>
              </w:r>
              <w:r w:rsidRPr="005E385F">
                <w:rPr>
                  <w:rStyle w:val="Hyperlink"/>
                  <w:rFonts w:ascii="Verdana" w:hAnsi="Verdana"/>
                  <w:bCs/>
                  <w:sz w:val="20"/>
                </w:rPr>
                <w:instrText>ultimedia Kits</w:instrText>
              </w:r>
              <w:r w:rsidRPr="005E385F">
                <w:rPr>
                  <w:rFonts w:ascii="Verdana" w:hAnsi="Verdana"/>
                  <w:sz w:val="20"/>
                </w:rPr>
                <w:instrText>"</w:instrText>
              </w:r>
              <w:r w:rsidRPr="005E385F">
                <w:rPr>
                  <w:rFonts w:ascii="Verdana" w:hAnsi="Verdana"/>
                  <w:sz w:val="20"/>
                </w:rPr>
                <w:fldChar w:fldCharType="end"/>
              </w:r>
            </w:hyperlink>
          </w:p>
          <w:p w14:paraId="6868E45F" w14:textId="77777777" w:rsidR="00F935B1" w:rsidRPr="005E385F" w:rsidRDefault="00A0395D" w:rsidP="00F935B1">
            <w:pPr>
              <w:pStyle w:val="NormalWeb"/>
              <w:numPr>
                <w:ilvl w:val="0"/>
                <w:numId w:val="24"/>
              </w:numPr>
              <w:spacing w:before="0" w:beforeAutospacing="0" w:after="0"/>
              <w:rPr>
                <w:rFonts w:ascii="Verdana" w:hAnsi="Verdana"/>
                <w:bCs/>
                <w:sz w:val="20"/>
              </w:rPr>
            </w:pPr>
            <w:hyperlink w:anchor="Intercom" w:history="1">
              <w:r w:rsidR="00F935B1" w:rsidRPr="005E385F">
                <w:rPr>
                  <w:rStyle w:val="Hyperlink"/>
                  <w:rFonts w:ascii="Verdana" w:hAnsi="Verdana"/>
                  <w:bCs/>
                  <w:sz w:val="20"/>
                </w:rPr>
                <w:t>Intercom</w:t>
              </w:r>
              <w:r w:rsidR="00F935B1" w:rsidRPr="005E385F">
                <w:rPr>
                  <w:rFonts w:ascii="Verdana" w:hAnsi="Verdana"/>
                  <w:sz w:val="20"/>
                </w:rPr>
                <w:fldChar w:fldCharType="begin"/>
              </w:r>
              <w:r w:rsidR="00F935B1" w:rsidRPr="005E385F">
                <w:rPr>
                  <w:rFonts w:ascii="Verdana" w:hAnsi="Verdana"/>
                  <w:sz w:val="20"/>
                </w:rPr>
                <w:instrText>xe "</w:instrText>
              </w:r>
              <w:r w:rsidR="00F935B1" w:rsidRPr="005E385F">
                <w:rPr>
                  <w:rStyle w:val="Hyperlink"/>
                  <w:rFonts w:ascii="Verdana" w:hAnsi="Verdana"/>
                  <w:bCs/>
                  <w:sz w:val="20"/>
                </w:rPr>
                <w:instrText>Intercom</w:instrText>
              </w:r>
              <w:r w:rsidR="00F935B1" w:rsidRPr="005E385F">
                <w:rPr>
                  <w:rFonts w:ascii="Verdana" w:hAnsi="Verdana"/>
                  <w:sz w:val="20"/>
                </w:rPr>
                <w:instrText>"</w:instrText>
              </w:r>
              <w:r w:rsidR="00F935B1" w:rsidRPr="005E385F">
                <w:rPr>
                  <w:rFonts w:ascii="Verdana" w:hAnsi="Verdana"/>
                  <w:sz w:val="20"/>
                </w:rPr>
                <w:fldChar w:fldCharType="end"/>
              </w:r>
            </w:hyperlink>
            <w:r w:rsidR="00F935B1" w:rsidRPr="005E385F">
              <w:rPr>
                <w:rFonts w:ascii="Verdana" w:hAnsi="Verdana"/>
                <w:bCs/>
                <w:sz w:val="20"/>
              </w:rPr>
              <w:t xml:space="preserve"> and </w:t>
            </w:r>
            <w:hyperlink w:anchor="PublicAddressSystem" w:history="1">
              <w:r w:rsidR="00F935B1" w:rsidRPr="005E385F">
                <w:rPr>
                  <w:rStyle w:val="Hyperlink"/>
                  <w:rFonts w:ascii="Verdana" w:hAnsi="Verdana"/>
                  <w:bCs/>
                  <w:sz w:val="20"/>
                </w:rPr>
                <w:t>public address (PA) system</w:t>
              </w:r>
              <w:r w:rsidR="00F935B1" w:rsidRPr="005E385F">
                <w:rPr>
                  <w:rFonts w:ascii="Verdana" w:hAnsi="Verdana"/>
                  <w:sz w:val="20"/>
                </w:rPr>
                <w:fldChar w:fldCharType="begin"/>
              </w:r>
              <w:r w:rsidR="00F935B1" w:rsidRPr="005E385F">
                <w:rPr>
                  <w:rFonts w:ascii="Verdana" w:hAnsi="Verdana"/>
                  <w:sz w:val="20"/>
                </w:rPr>
                <w:instrText>xe "</w:instrText>
              </w:r>
              <w:r w:rsidR="00F935B1" w:rsidRPr="005E385F">
                <w:rPr>
                  <w:rStyle w:val="Hyperlink"/>
                  <w:rFonts w:ascii="Verdana" w:hAnsi="Verdana"/>
                  <w:bCs/>
                  <w:sz w:val="20"/>
                </w:rPr>
                <w:instrText>Public Address System</w:instrText>
              </w:r>
              <w:r w:rsidR="00F935B1" w:rsidRPr="005E385F">
                <w:rPr>
                  <w:rFonts w:ascii="Verdana" w:hAnsi="Verdana"/>
                  <w:sz w:val="20"/>
                </w:rPr>
                <w:instrText>"</w:instrText>
              </w:r>
              <w:r w:rsidR="00F935B1" w:rsidRPr="005E385F">
                <w:rPr>
                  <w:rFonts w:ascii="Verdana" w:hAnsi="Verdana"/>
                  <w:sz w:val="20"/>
                </w:rPr>
                <w:fldChar w:fldCharType="end"/>
              </w:r>
            </w:hyperlink>
          </w:p>
          <w:p w14:paraId="1B0DF285" w14:textId="77777777" w:rsidR="00F935B1" w:rsidRPr="005E385F" w:rsidRDefault="00A0395D" w:rsidP="00F935B1">
            <w:pPr>
              <w:pStyle w:val="NormalWeb"/>
              <w:numPr>
                <w:ilvl w:val="0"/>
                <w:numId w:val="24"/>
              </w:numPr>
              <w:spacing w:before="0" w:beforeAutospacing="0" w:after="0"/>
              <w:rPr>
                <w:rFonts w:ascii="Verdana" w:hAnsi="Verdana"/>
                <w:bCs/>
                <w:sz w:val="20"/>
              </w:rPr>
            </w:pPr>
            <w:hyperlink w:anchor="SpareParts" w:history="1">
              <w:r w:rsidR="00F935B1" w:rsidRPr="005E385F">
                <w:rPr>
                  <w:rStyle w:val="Hyperlink"/>
                  <w:rFonts w:ascii="Verdana" w:hAnsi="Verdana"/>
                  <w:bCs/>
                  <w:sz w:val="20"/>
                </w:rPr>
                <w:t>Spare parts</w:t>
              </w:r>
              <w:r w:rsidR="00F935B1" w:rsidRPr="005E385F">
                <w:rPr>
                  <w:rFonts w:ascii="Verdana" w:hAnsi="Verdana"/>
                  <w:sz w:val="20"/>
                </w:rPr>
                <w:fldChar w:fldCharType="begin"/>
              </w:r>
              <w:r w:rsidR="00F935B1" w:rsidRPr="005E385F">
                <w:rPr>
                  <w:rFonts w:ascii="Verdana" w:hAnsi="Verdana"/>
                  <w:sz w:val="20"/>
                </w:rPr>
                <w:instrText>xe "</w:instrText>
              </w:r>
              <w:r w:rsidR="00F935B1" w:rsidRPr="005E385F">
                <w:rPr>
                  <w:rStyle w:val="Hyperlink"/>
                  <w:rFonts w:ascii="Verdana" w:hAnsi="Verdana"/>
                  <w:bCs/>
                  <w:sz w:val="20"/>
                </w:rPr>
                <w:instrText>Spare Parts</w:instrText>
              </w:r>
              <w:r w:rsidR="00F935B1" w:rsidRPr="005E385F">
                <w:rPr>
                  <w:rFonts w:ascii="Verdana" w:hAnsi="Verdana"/>
                  <w:sz w:val="20"/>
                </w:rPr>
                <w:instrText>"</w:instrText>
              </w:r>
              <w:r w:rsidR="00F935B1" w:rsidRPr="005E385F">
                <w:rPr>
                  <w:rFonts w:ascii="Verdana" w:hAnsi="Verdana"/>
                  <w:sz w:val="20"/>
                </w:rPr>
                <w:fldChar w:fldCharType="end"/>
              </w:r>
            </w:hyperlink>
          </w:p>
          <w:p w14:paraId="011DA246" w14:textId="77777777" w:rsidR="00F935B1" w:rsidRPr="005E385F" w:rsidRDefault="00F935B1" w:rsidP="00F935B1">
            <w:pPr>
              <w:pStyle w:val="NormalWeb"/>
              <w:numPr>
                <w:ilvl w:val="0"/>
                <w:numId w:val="24"/>
              </w:numPr>
              <w:spacing w:before="0" w:beforeAutospacing="0" w:after="0"/>
              <w:rPr>
                <w:rFonts w:ascii="Verdana" w:hAnsi="Verdana"/>
                <w:bCs/>
                <w:sz w:val="20"/>
              </w:rPr>
            </w:pPr>
            <w:r w:rsidRPr="005E385F">
              <w:rPr>
                <w:rFonts w:ascii="Verdana" w:hAnsi="Verdana"/>
                <w:bCs/>
                <w:sz w:val="20"/>
              </w:rPr>
              <w:t xml:space="preserve">External </w:t>
            </w:r>
            <w:hyperlink w:anchor="Speakers" w:history="1">
              <w:r w:rsidRPr="005E385F">
                <w:rPr>
                  <w:rStyle w:val="Hyperlink"/>
                  <w:rFonts w:ascii="Verdana" w:hAnsi="Verdana"/>
                  <w:bCs/>
                  <w:sz w:val="20"/>
                </w:rPr>
                <w:t>speakers</w:t>
              </w:r>
              <w:r w:rsidRPr="005E385F">
                <w:rPr>
                  <w:rFonts w:ascii="Verdana" w:hAnsi="Verdana"/>
                  <w:sz w:val="20"/>
                </w:rPr>
                <w:fldChar w:fldCharType="begin"/>
              </w:r>
              <w:r w:rsidRPr="005E385F">
                <w:rPr>
                  <w:rFonts w:ascii="Verdana" w:hAnsi="Verdana"/>
                  <w:sz w:val="20"/>
                </w:rPr>
                <w:instrText>xe "S</w:instrText>
              </w:r>
              <w:r w:rsidRPr="005E385F">
                <w:rPr>
                  <w:rStyle w:val="Hyperlink"/>
                  <w:rFonts w:ascii="Verdana" w:hAnsi="Verdana"/>
                  <w:bCs/>
                  <w:sz w:val="20"/>
                </w:rPr>
                <w:instrText>peakers</w:instrText>
              </w:r>
              <w:r w:rsidRPr="005E385F">
                <w:rPr>
                  <w:rFonts w:ascii="Verdana" w:hAnsi="Verdana"/>
                  <w:sz w:val="20"/>
                </w:rPr>
                <w:instrText>"</w:instrText>
              </w:r>
              <w:r w:rsidRPr="005E385F">
                <w:rPr>
                  <w:rFonts w:ascii="Verdana" w:hAnsi="Verdana"/>
                  <w:sz w:val="20"/>
                </w:rPr>
                <w:fldChar w:fldCharType="end"/>
              </w:r>
            </w:hyperlink>
            <w:r w:rsidRPr="005E385F">
              <w:rPr>
                <w:rFonts w:ascii="Verdana" w:hAnsi="Verdana"/>
                <w:bCs/>
                <w:sz w:val="20"/>
              </w:rPr>
              <w:t xml:space="preserve"> (except when provided at no cost as an integral part of an eligible component)</w:t>
            </w:r>
          </w:p>
          <w:p w14:paraId="68E7159E" w14:textId="77777777" w:rsidR="00F935B1" w:rsidRPr="005E385F" w:rsidRDefault="00A0395D" w:rsidP="00F935B1">
            <w:pPr>
              <w:pStyle w:val="NormalWeb"/>
              <w:numPr>
                <w:ilvl w:val="0"/>
                <w:numId w:val="24"/>
              </w:numPr>
              <w:spacing w:before="0" w:beforeAutospacing="0" w:after="0"/>
              <w:rPr>
                <w:rFonts w:ascii="Verdana" w:hAnsi="Verdana"/>
                <w:bCs/>
                <w:sz w:val="20"/>
              </w:rPr>
            </w:pPr>
            <w:hyperlink w:anchor="TestEquipment" w:history="1">
              <w:r w:rsidR="00F935B1" w:rsidRPr="005E385F">
                <w:rPr>
                  <w:rStyle w:val="Hyperlink"/>
                  <w:rFonts w:ascii="Verdana" w:hAnsi="Verdana"/>
                  <w:bCs/>
                  <w:sz w:val="20"/>
                </w:rPr>
                <w:t>Test Equipment</w:t>
              </w:r>
              <w:r w:rsidR="00F935B1" w:rsidRPr="005E385F">
                <w:rPr>
                  <w:rFonts w:ascii="Verdana" w:hAnsi="Verdana"/>
                  <w:sz w:val="20"/>
                </w:rPr>
                <w:fldChar w:fldCharType="begin"/>
              </w:r>
              <w:r w:rsidR="00F935B1" w:rsidRPr="005E385F">
                <w:rPr>
                  <w:rFonts w:ascii="Verdana" w:hAnsi="Verdana"/>
                  <w:sz w:val="20"/>
                </w:rPr>
                <w:instrText>xe "</w:instrText>
              </w:r>
              <w:r w:rsidR="00F935B1" w:rsidRPr="005E385F">
                <w:rPr>
                  <w:rStyle w:val="Hyperlink"/>
                  <w:rFonts w:ascii="Verdana" w:hAnsi="Verdana"/>
                  <w:bCs/>
                  <w:sz w:val="20"/>
                </w:rPr>
                <w:instrText>Test Equipment</w:instrText>
              </w:r>
              <w:r w:rsidR="00F935B1" w:rsidRPr="005E385F">
                <w:rPr>
                  <w:rFonts w:ascii="Verdana" w:hAnsi="Verdana"/>
                  <w:sz w:val="20"/>
                </w:rPr>
                <w:instrText>"</w:instrText>
              </w:r>
              <w:r w:rsidR="00F935B1" w:rsidRPr="005E385F">
                <w:rPr>
                  <w:rFonts w:ascii="Verdana" w:hAnsi="Verdana"/>
                  <w:sz w:val="20"/>
                </w:rPr>
                <w:fldChar w:fldCharType="end"/>
              </w:r>
            </w:hyperlink>
          </w:p>
          <w:p w14:paraId="04354577" w14:textId="77777777" w:rsidR="00F935B1" w:rsidRPr="005E385F" w:rsidRDefault="00A0395D" w:rsidP="00F935B1">
            <w:pPr>
              <w:pStyle w:val="NormalWeb"/>
              <w:numPr>
                <w:ilvl w:val="0"/>
                <w:numId w:val="24"/>
              </w:numPr>
              <w:spacing w:before="0" w:beforeAutospacing="0" w:after="0"/>
              <w:rPr>
                <w:rFonts w:ascii="Verdana" w:hAnsi="Verdana"/>
                <w:bCs/>
                <w:sz w:val="20"/>
              </w:rPr>
            </w:pPr>
            <w:hyperlink w:anchor="consumablekits" w:history="1">
              <w:r w:rsidR="00F935B1" w:rsidRPr="005E385F">
                <w:rPr>
                  <w:rStyle w:val="Hyperlink"/>
                  <w:rFonts w:ascii="Verdana" w:hAnsi="Verdana"/>
                  <w:bCs/>
                  <w:sz w:val="20"/>
                </w:rPr>
                <w:t>Consumable Kits</w:t>
              </w:r>
            </w:hyperlink>
            <w:r w:rsidR="00F935B1" w:rsidRPr="005E385F">
              <w:rPr>
                <w:rFonts w:ascii="Verdana" w:hAnsi="Verdana"/>
                <w:bCs/>
                <w:sz w:val="20"/>
              </w:rPr>
              <w:t xml:space="preserve"> which contain installation</w:t>
            </w:r>
            <w:r w:rsidR="00F935B1" w:rsidRPr="005E385F">
              <w:rPr>
                <w:rFonts w:ascii="Verdana" w:hAnsi="Verdana"/>
                <w:sz w:val="20"/>
              </w:rPr>
              <w:fldChar w:fldCharType="begin"/>
            </w:r>
            <w:r w:rsidR="00F935B1" w:rsidRPr="005E385F">
              <w:rPr>
                <w:rFonts w:ascii="Verdana" w:hAnsi="Verdana"/>
                <w:sz w:val="20"/>
              </w:rPr>
              <w:instrText>xe "Installation"</w:instrText>
            </w:r>
            <w:r w:rsidR="00F935B1" w:rsidRPr="005E385F">
              <w:rPr>
                <w:rFonts w:ascii="Verdana" w:hAnsi="Verdana"/>
                <w:sz w:val="20"/>
              </w:rPr>
              <w:fldChar w:fldCharType="end"/>
            </w:r>
            <w:r w:rsidR="00F935B1" w:rsidRPr="005E385F">
              <w:rPr>
                <w:rFonts w:ascii="Verdana" w:hAnsi="Verdana"/>
                <w:bCs/>
                <w:sz w:val="20"/>
              </w:rPr>
              <w:t xml:space="preserve"> tools</w:t>
            </w:r>
            <w:r w:rsidR="00F935B1" w:rsidRPr="005E385F">
              <w:rPr>
                <w:rFonts w:ascii="Verdana" w:hAnsi="Verdana"/>
                <w:sz w:val="20"/>
              </w:rPr>
              <w:fldChar w:fldCharType="begin"/>
            </w:r>
            <w:r w:rsidR="00F935B1" w:rsidRPr="005E385F">
              <w:rPr>
                <w:rFonts w:ascii="Verdana" w:hAnsi="Verdana"/>
                <w:sz w:val="20"/>
              </w:rPr>
              <w:instrText>xe "Installation T</w:instrText>
            </w:r>
            <w:r w:rsidR="00F935B1" w:rsidRPr="005E385F">
              <w:rPr>
                <w:rFonts w:ascii="Verdana" w:hAnsi="Verdana"/>
                <w:bCs/>
                <w:sz w:val="20"/>
              </w:rPr>
              <w:instrText>ools</w:instrText>
            </w:r>
            <w:r w:rsidR="00F935B1" w:rsidRPr="005E385F">
              <w:rPr>
                <w:rFonts w:ascii="Verdana" w:hAnsi="Verdana"/>
                <w:sz w:val="20"/>
              </w:rPr>
              <w:instrText>"</w:instrText>
            </w:r>
            <w:r w:rsidR="00F935B1" w:rsidRPr="005E385F">
              <w:rPr>
                <w:rFonts w:ascii="Verdana" w:hAnsi="Verdana"/>
                <w:sz w:val="20"/>
              </w:rPr>
              <w:fldChar w:fldCharType="end"/>
            </w:r>
            <w:r w:rsidR="00F935B1" w:rsidRPr="005E385F">
              <w:rPr>
                <w:rFonts w:ascii="Verdana" w:hAnsi="Verdana"/>
                <w:bCs/>
                <w:sz w:val="20"/>
              </w:rPr>
              <w:t xml:space="preserve"> </w:t>
            </w:r>
          </w:p>
          <w:p w14:paraId="0AB696DD" w14:textId="77777777" w:rsidR="00F935B1" w:rsidRPr="005E385F" w:rsidRDefault="00F935B1" w:rsidP="00F935B1">
            <w:pPr>
              <w:pStyle w:val="NormalWeb"/>
              <w:numPr>
                <w:ilvl w:val="0"/>
                <w:numId w:val="24"/>
              </w:numPr>
              <w:spacing w:before="0" w:beforeAutospacing="0" w:after="0"/>
              <w:rPr>
                <w:rFonts w:ascii="Verdana" w:hAnsi="Verdana"/>
                <w:bCs/>
                <w:sz w:val="20"/>
              </w:rPr>
            </w:pPr>
            <w:r w:rsidRPr="005E385F">
              <w:rPr>
                <w:rFonts w:ascii="Verdana" w:hAnsi="Verdana"/>
                <w:bCs/>
                <w:sz w:val="20"/>
              </w:rPr>
              <w:t>Wiring and components</w:t>
            </w:r>
            <w:r w:rsidRPr="005E385F">
              <w:rPr>
                <w:rFonts w:ascii="Verdana" w:hAnsi="Verdana"/>
                <w:sz w:val="20"/>
              </w:rPr>
              <w:fldChar w:fldCharType="begin"/>
            </w:r>
            <w:r w:rsidRPr="005E385F">
              <w:rPr>
                <w:rFonts w:ascii="Verdana" w:hAnsi="Verdana"/>
                <w:sz w:val="20"/>
              </w:rPr>
              <w:instrText>xe "Component</w:instrText>
            </w:r>
            <w:r w:rsidRPr="005E385F">
              <w:rPr>
                <w:rFonts w:ascii="Verdana" w:hAnsi="Verdana"/>
                <w:bCs/>
                <w:sz w:val="20"/>
              </w:rPr>
              <w:instrText>s</w:instrText>
            </w:r>
            <w:r w:rsidRPr="005E385F">
              <w:rPr>
                <w:rFonts w:ascii="Verdana" w:hAnsi="Verdana"/>
                <w:sz w:val="20"/>
              </w:rPr>
              <w:instrText>"</w:instrText>
            </w:r>
            <w:r w:rsidRPr="005E385F">
              <w:rPr>
                <w:rFonts w:ascii="Verdana" w:hAnsi="Verdana"/>
                <w:sz w:val="20"/>
              </w:rPr>
              <w:fldChar w:fldCharType="end"/>
            </w:r>
            <w:r w:rsidRPr="005E385F">
              <w:rPr>
                <w:rFonts w:ascii="Verdana" w:hAnsi="Verdana"/>
                <w:bCs/>
                <w:sz w:val="20"/>
              </w:rPr>
              <w:t xml:space="preserve"> providing electrical service or for radio</w:t>
            </w:r>
            <w:r w:rsidRPr="005E385F">
              <w:rPr>
                <w:rFonts w:ascii="Verdana" w:hAnsi="Verdana"/>
                <w:sz w:val="20"/>
              </w:rPr>
              <w:fldChar w:fldCharType="begin"/>
            </w:r>
            <w:r w:rsidRPr="005E385F">
              <w:rPr>
                <w:rFonts w:ascii="Verdana" w:hAnsi="Verdana"/>
                <w:sz w:val="20"/>
              </w:rPr>
              <w:instrText>xe "R</w:instrText>
            </w:r>
            <w:r w:rsidRPr="005E385F">
              <w:rPr>
                <w:rFonts w:ascii="Verdana" w:hAnsi="Verdana"/>
                <w:bCs/>
                <w:sz w:val="20"/>
              </w:rPr>
              <w:instrText>adio</w:instrText>
            </w:r>
            <w:r w:rsidRPr="005E385F">
              <w:rPr>
                <w:rFonts w:ascii="Verdana" w:hAnsi="Verdana"/>
                <w:sz w:val="20"/>
              </w:rPr>
              <w:instrText>"</w:instrText>
            </w:r>
            <w:r w:rsidRPr="005E385F">
              <w:rPr>
                <w:rFonts w:ascii="Verdana" w:hAnsi="Verdana"/>
                <w:sz w:val="20"/>
              </w:rPr>
              <w:fldChar w:fldCharType="end"/>
            </w:r>
            <w:r w:rsidRPr="005E385F">
              <w:rPr>
                <w:rFonts w:ascii="Verdana" w:hAnsi="Verdana"/>
                <w:bCs/>
                <w:sz w:val="20"/>
              </w:rPr>
              <w:t xml:space="preserve"> or television</w:t>
            </w:r>
            <w:r w:rsidRPr="005E385F">
              <w:rPr>
                <w:rFonts w:ascii="Verdana" w:hAnsi="Verdana"/>
                <w:sz w:val="20"/>
              </w:rPr>
              <w:fldChar w:fldCharType="begin"/>
            </w:r>
            <w:r w:rsidRPr="005E385F">
              <w:rPr>
                <w:rFonts w:ascii="Verdana" w:hAnsi="Verdana"/>
                <w:sz w:val="20"/>
              </w:rPr>
              <w:instrText>xe "T</w:instrText>
            </w:r>
            <w:r w:rsidRPr="005E385F">
              <w:rPr>
                <w:rFonts w:ascii="Verdana" w:hAnsi="Verdana"/>
                <w:bCs/>
                <w:sz w:val="20"/>
              </w:rPr>
              <w:instrText>elevision</w:instrText>
            </w:r>
            <w:r w:rsidRPr="005E385F">
              <w:rPr>
                <w:rFonts w:ascii="Verdana" w:hAnsi="Verdana"/>
                <w:sz w:val="20"/>
              </w:rPr>
              <w:instrText>"</w:instrText>
            </w:r>
            <w:r w:rsidRPr="005E385F">
              <w:rPr>
                <w:rFonts w:ascii="Verdana" w:hAnsi="Verdana"/>
                <w:sz w:val="20"/>
              </w:rPr>
              <w:fldChar w:fldCharType="end"/>
            </w:r>
            <w:r w:rsidRPr="005E385F">
              <w:rPr>
                <w:rFonts w:ascii="Verdana" w:hAnsi="Verdana"/>
                <w:bCs/>
                <w:sz w:val="20"/>
              </w:rPr>
              <w:t xml:space="preserve"> broadcast or cable</w:t>
            </w:r>
            <w:r w:rsidRPr="005E385F">
              <w:rPr>
                <w:rFonts w:ascii="Verdana" w:hAnsi="Verdana"/>
                <w:sz w:val="20"/>
              </w:rPr>
              <w:fldChar w:fldCharType="begin"/>
            </w:r>
            <w:r w:rsidRPr="005E385F">
              <w:rPr>
                <w:rFonts w:ascii="Verdana" w:hAnsi="Verdana"/>
                <w:sz w:val="20"/>
              </w:rPr>
              <w:instrText>xe "C</w:instrText>
            </w:r>
            <w:r w:rsidRPr="005E385F">
              <w:rPr>
                <w:rFonts w:ascii="Verdana" w:hAnsi="Verdana"/>
                <w:bCs/>
                <w:sz w:val="20"/>
              </w:rPr>
              <w:instrText>able Services</w:instrText>
            </w:r>
            <w:r w:rsidRPr="005E385F">
              <w:rPr>
                <w:rFonts w:ascii="Verdana" w:hAnsi="Verdana"/>
                <w:sz w:val="20"/>
              </w:rPr>
              <w:instrText>"</w:instrText>
            </w:r>
            <w:r w:rsidRPr="005E385F">
              <w:rPr>
                <w:rFonts w:ascii="Verdana" w:hAnsi="Verdana"/>
                <w:sz w:val="20"/>
              </w:rPr>
              <w:fldChar w:fldCharType="end"/>
            </w:r>
            <w:r w:rsidRPr="005E385F">
              <w:rPr>
                <w:rFonts w:ascii="Verdana" w:hAnsi="Verdana"/>
                <w:bCs/>
                <w:sz w:val="20"/>
              </w:rPr>
              <w:t xml:space="preserve"> services </w:t>
            </w:r>
          </w:p>
          <w:p w14:paraId="19C64B58" w14:textId="77777777" w:rsidR="00F935B1" w:rsidRPr="005E385F" w:rsidRDefault="00F935B1" w:rsidP="00F935B1">
            <w:pPr>
              <w:pStyle w:val="NormalWeb"/>
              <w:numPr>
                <w:ilvl w:val="0"/>
                <w:numId w:val="24"/>
              </w:numPr>
              <w:spacing w:before="0" w:beforeAutospacing="0" w:after="0"/>
              <w:rPr>
                <w:rFonts w:ascii="Verdana" w:hAnsi="Verdana"/>
                <w:bCs/>
                <w:sz w:val="20"/>
              </w:rPr>
            </w:pPr>
            <w:r w:rsidRPr="005E385F">
              <w:rPr>
                <w:rFonts w:ascii="Verdana" w:hAnsi="Verdana"/>
                <w:bCs/>
                <w:color w:val="0000FF"/>
                <w:sz w:val="20"/>
                <w:u w:val="single"/>
              </w:rPr>
              <w:t>Network interface cards</w:t>
            </w:r>
            <w:r w:rsidRPr="005E385F">
              <w:rPr>
                <w:rFonts w:ascii="Verdana" w:hAnsi="Verdana"/>
                <w:sz w:val="20"/>
              </w:rPr>
              <w:fldChar w:fldCharType="begin"/>
            </w:r>
            <w:r w:rsidRPr="005E385F">
              <w:rPr>
                <w:rFonts w:ascii="Verdana" w:hAnsi="Verdana"/>
                <w:sz w:val="20"/>
              </w:rPr>
              <w:instrText>xe "</w:instrText>
            </w:r>
            <w:r w:rsidRPr="005E385F">
              <w:rPr>
                <w:rFonts w:ascii="Verdana" w:hAnsi="Verdana"/>
                <w:bCs/>
                <w:color w:val="0000FF"/>
                <w:sz w:val="20"/>
                <w:u w:val="single"/>
              </w:rPr>
              <w:instrText>Network Interface Cards</w:instrText>
            </w:r>
            <w:r w:rsidRPr="005E385F">
              <w:rPr>
                <w:rFonts w:ascii="Verdana" w:hAnsi="Verdana"/>
                <w:sz w:val="20"/>
              </w:rPr>
              <w:instrText>"</w:instrText>
            </w:r>
            <w:r w:rsidRPr="005E385F">
              <w:rPr>
                <w:rFonts w:ascii="Verdana" w:hAnsi="Verdana"/>
                <w:sz w:val="20"/>
              </w:rPr>
              <w:fldChar w:fldCharType="end"/>
            </w:r>
            <w:r w:rsidRPr="005E385F">
              <w:rPr>
                <w:rFonts w:ascii="Verdana" w:hAnsi="Verdana"/>
                <w:bCs/>
                <w:sz w:val="20"/>
              </w:rPr>
              <w:t xml:space="preserve"> that are embedded in ineligible equipment (such as end-user equipment) or included in the pricing for ineligible equipment </w:t>
            </w:r>
          </w:p>
          <w:p w14:paraId="67452524" w14:textId="77777777" w:rsidR="00F935B1" w:rsidRPr="005E385F" w:rsidRDefault="00F935B1" w:rsidP="00F935B1">
            <w:pPr>
              <w:pStyle w:val="NormalWeb"/>
              <w:numPr>
                <w:ilvl w:val="0"/>
                <w:numId w:val="24"/>
              </w:numPr>
              <w:spacing w:before="0" w:beforeAutospacing="0" w:after="0"/>
              <w:rPr>
                <w:rFonts w:ascii="Verdana" w:hAnsi="Verdana"/>
                <w:bCs/>
                <w:sz w:val="20"/>
              </w:rPr>
            </w:pPr>
            <w:r w:rsidRPr="005E385F">
              <w:rPr>
                <w:rFonts w:ascii="Verdana" w:hAnsi="Verdana"/>
                <w:bCs/>
                <w:color w:val="0000FF"/>
                <w:sz w:val="20"/>
                <w:u w:val="single"/>
              </w:rPr>
              <w:t>Phone modems</w:t>
            </w:r>
            <w:r w:rsidRPr="005E385F">
              <w:rPr>
                <w:rFonts w:ascii="Verdana" w:hAnsi="Verdana"/>
                <w:sz w:val="20"/>
              </w:rPr>
              <w:fldChar w:fldCharType="begin"/>
            </w:r>
            <w:r w:rsidRPr="005E385F">
              <w:rPr>
                <w:rFonts w:ascii="Verdana" w:hAnsi="Verdana"/>
                <w:sz w:val="20"/>
              </w:rPr>
              <w:instrText>xe "</w:instrText>
            </w:r>
            <w:r w:rsidRPr="005E385F">
              <w:rPr>
                <w:rFonts w:ascii="Verdana" w:hAnsi="Verdana"/>
                <w:bCs/>
                <w:color w:val="0000FF"/>
                <w:sz w:val="20"/>
                <w:u w:val="single"/>
              </w:rPr>
              <w:instrText>Phone Modems</w:instrText>
            </w:r>
            <w:r w:rsidRPr="005E385F">
              <w:rPr>
                <w:rFonts w:ascii="Verdana" w:hAnsi="Verdana"/>
                <w:sz w:val="20"/>
              </w:rPr>
              <w:instrText>"</w:instrText>
            </w:r>
            <w:r w:rsidRPr="005E385F">
              <w:rPr>
                <w:rFonts w:ascii="Verdana" w:hAnsi="Verdana"/>
                <w:sz w:val="20"/>
              </w:rPr>
              <w:fldChar w:fldCharType="end"/>
            </w:r>
            <w:r w:rsidRPr="005E385F">
              <w:rPr>
                <w:rFonts w:ascii="Verdana" w:hAnsi="Verdana"/>
                <w:bCs/>
                <w:sz w:val="20"/>
              </w:rPr>
              <w:t xml:space="preserve"> that are provided in or with end-user equipment, or used to provide dial-in access from ineligible locations such as homes or other non-school or non-library sites </w:t>
            </w:r>
          </w:p>
          <w:p w14:paraId="62AEBC6E" w14:textId="77777777" w:rsidR="00F935B1" w:rsidRPr="005E385F" w:rsidRDefault="00A0395D" w:rsidP="00F935B1">
            <w:pPr>
              <w:pStyle w:val="NormalWeb"/>
              <w:numPr>
                <w:ilvl w:val="0"/>
                <w:numId w:val="15"/>
              </w:numPr>
              <w:spacing w:before="0" w:beforeAutospacing="0" w:after="0"/>
              <w:rPr>
                <w:rFonts w:ascii="Verdana" w:hAnsi="Verdana"/>
                <w:bCs/>
                <w:sz w:val="20"/>
              </w:rPr>
            </w:pPr>
            <w:hyperlink w:anchor="LightningArrestor" w:history="1">
              <w:r w:rsidR="00F935B1" w:rsidRPr="005E385F">
                <w:rPr>
                  <w:rStyle w:val="Hyperlink"/>
                  <w:rFonts w:ascii="Verdana" w:hAnsi="Verdana"/>
                  <w:bCs/>
                  <w:sz w:val="20"/>
                </w:rPr>
                <w:t>Lightning Arrestor</w:t>
              </w:r>
              <w:r w:rsidR="00F935B1" w:rsidRPr="005E385F">
                <w:rPr>
                  <w:rFonts w:ascii="Verdana" w:hAnsi="Verdana"/>
                  <w:sz w:val="20"/>
                </w:rPr>
                <w:fldChar w:fldCharType="begin"/>
              </w:r>
              <w:r w:rsidR="00F935B1" w:rsidRPr="005E385F">
                <w:rPr>
                  <w:rFonts w:ascii="Verdana" w:hAnsi="Verdana"/>
                  <w:sz w:val="20"/>
                </w:rPr>
                <w:instrText>xe "</w:instrText>
              </w:r>
              <w:r w:rsidR="00F935B1" w:rsidRPr="005E385F">
                <w:rPr>
                  <w:rStyle w:val="Hyperlink"/>
                  <w:rFonts w:ascii="Verdana" w:hAnsi="Verdana"/>
                  <w:bCs/>
                  <w:sz w:val="20"/>
                </w:rPr>
                <w:instrText>Lightning Arrestors</w:instrText>
              </w:r>
              <w:r w:rsidR="00F935B1" w:rsidRPr="005E385F">
                <w:rPr>
                  <w:rFonts w:ascii="Verdana" w:hAnsi="Verdana"/>
                  <w:sz w:val="20"/>
                </w:rPr>
                <w:instrText>"</w:instrText>
              </w:r>
              <w:r w:rsidR="00F935B1" w:rsidRPr="005E385F">
                <w:rPr>
                  <w:rFonts w:ascii="Verdana" w:hAnsi="Verdana"/>
                  <w:sz w:val="20"/>
                </w:rPr>
                <w:fldChar w:fldCharType="end"/>
              </w:r>
            </w:hyperlink>
          </w:p>
          <w:p w14:paraId="647FA672" w14:textId="77777777" w:rsidR="00F935B1" w:rsidRPr="005E385F" w:rsidRDefault="00A0395D" w:rsidP="00F935B1">
            <w:pPr>
              <w:pStyle w:val="NormalWeb"/>
              <w:numPr>
                <w:ilvl w:val="0"/>
                <w:numId w:val="15"/>
              </w:numPr>
              <w:spacing w:before="0" w:beforeAutospacing="0" w:after="0"/>
              <w:rPr>
                <w:rFonts w:ascii="Verdana" w:hAnsi="Verdana"/>
                <w:bCs/>
                <w:sz w:val="20"/>
              </w:rPr>
            </w:pPr>
            <w:hyperlink w:anchor="SurgeProtector" w:history="1">
              <w:r w:rsidR="00F935B1" w:rsidRPr="005E385F">
                <w:rPr>
                  <w:rStyle w:val="Hyperlink"/>
                  <w:rFonts w:ascii="Verdana" w:hAnsi="Verdana"/>
                  <w:bCs/>
                  <w:sz w:val="20"/>
                </w:rPr>
                <w:t>Surge Protector</w:t>
              </w:r>
              <w:r w:rsidR="00F935B1" w:rsidRPr="005E385F">
                <w:rPr>
                  <w:rFonts w:ascii="Verdana" w:hAnsi="Verdana"/>
                  <w:sz w:val="20"/>
                </w:rPr>
                <w:fldChar w:fldCharType="begin"/>
              </w:r>
              <w:r w:rsidR="00F935B1" w:rsidRPr="005E385F">
                <w:rPr>
                  <w:rFonts w:ascii="Verdana" w:hAnsi="Verdana"/>
                  <w:sz w:val="20"/>
                </w:rPr>
                <w:instrText>xe "</w:instrText>
              </w:r>
              <w:r w:rsidR="00F935B1" w:rsidRPr="005E385F">
                <w:rPr>
                  <w:rStyle w:val="Hyperlink"/>
                  <w:rFonts w:ascii="Verdana" w:hAnsi="Verdana"/>
                  <w:bCs/>
                  <w:sz w:val="20"/>
                </w:rPr>
                <w:instrText>Surge Protectors</w:instrText>
              </w:r>
              <w:r w:rsidR="00F935B1" w:rsidRPr="005E385F">
                <w:rPr>
                  <w:rFonts w:ascii="Verdana" w:hAnsi="Verdana"/>
                  <w:sz w:val="20"/>
                </w:rPr>
                <w:instrText>"</w:instrText>
              </w:r>
              <w:r w:rsidR="00F935B1" w:rsidRPr="005E385F">
                <w:rPr>
                  <w:rFonts w:ascii="Verdana" w:hAnsi="Verdana"/>
                  <w:sz w:val="20"/>
                </w:rPr>
                <w:fldChar w:fldCharType="end"/>
              </w:r>
            </w:hyperlink>
          </w:p>
          <w:p w14:paraId="10213F21" w14:textId="77777777" w:rsidR="00F935B1" w:rsidRPr="005E385F" w:rsidRDefault="00A0395D" w:rsidP="00F935B1">
            <w:pPr>
              <w:pStyle w:val="NormalWeb"/>
              <w:numPr>
                <w:ilvl w:val="0"/>
                <w:numId w:val="15"/>
              </w:numPr>
              <w:spacing w:before="0" w:beforeAutospacing="0" w:after="0"/>
              <w:rPr>
                <w:rFonts w:ascii="Verdana" w:hAnsi="Verdana"/>
                <w:bCs/>
                <w:sz w:val="20"/>
              </w:rPr>
            </w:pPr>
            <w:hyperlink w:anchor="PDU" w:history="1">
              <w:r w:rsidR="00F935B1" w:rsidRPr="005E385F">
                <w:rPr>
                  <w:rStyle w:val="Hyperlink"/>
                  <w:rFonts w:ascii="Verdana" w:hAnsi="Verdana"/>
                  <w:bCs/>
                  <w:sz w:val="20"/>
                </w:rPr>
                <w:t>Power Distribution Units</w:t>
              </w:r>
              <w:r w:rsidR="00F935B1" w:rsidRPr="005E385F">
                <w:rPr>
                  <w:rFonts w:ascii="Verdana" w:hAnsi="Verdana"/>
                  <w:sz w:val="20"/>
                </w:rPr>
                <w:fldChar w:fldCharType="begin"/>
              </w:r>
              <w:r w:rsidR="00F935B1" w:rsidRPr="005E385F">
                <w:rPr>
                  <w:rFonts w:ascii="Verdana" w:hAnsi="Verdana"/>
                  <w:sz w:val="20"/>
                </w:rPr>
                <w:instrText>xe "</w:instrText>
              </w:r>
              <w:r w:rsidR="00F935B1" w:rsidRPr="005E385F">
                <w:rPr>
                  <w:rStyle w:val="Hyperlink"/>
                  <w:rFonts w:ascii="Verdana" w:hAnsi="Verdana"/>
                  <w:bCs/>
                  <w:sz w:val="20"/>
                </w:rPr>
                <w:instrText>Power Distribution Units</w:instrText>
              </w:r>
              <w:r w:rsidR="00F935B1" w:rsidRPr="005E385F">
                <w:rPr>
                  <w:rFonts w:ascii="Verdana" w:hAnsi="Verdana"/>
                  <w:sz w:val="20"/>
                </w:rPr>
                <w:instrText>"</w:instrText>
              </w:r>
              <w:r w:rsidR="00F935B1" w:rsidRPr="005E385F">
                <w:rPr>
                  <w:rFonts w:ascii="Verdana" w:hAnsi="Verdana"/>
                  <w:sz w:val="20"/>
                </w:rPr>
                <w:fldChar w:fldCharType="end"/>
              </w:r>
            </w:hyperlink>
          </w:p>
          <w:p w14:paraId="667F950D" w14:textId="77777777" w:rsidR="00F935B1" w:rsidRPr="005E385F" w:rsidRDefault="00F935B1" w:rsidP="00F935B1">
            <w:pPr>
              <w:pStyle w:val="NormalWeb"/>
              <w:numPr>
                <w:ilvl w:val="0"/>
                <w:numId w:val="15"/>
              </w:numPr>
              <w:spacing w:before="0" w:beforeAutospacing="0" w:after="0"/>
              <w:rPr>
                <w:rFonts w:ascii="Verdana" w:hAnsi="Verdana"/>
                <w:bCs/>
                <w:color w:val="0000FF"/>
                <w:sz w:val="20"/>
                <w:u w:val="single"/>
              </w:rPr>
            </w:pPr>
            <w:r w:rsidRPr="005E385F">
              <w:rPr>
                <w:rFonts w:ascii="Verdana" w:hAnsi="Verdana"/>
                <w:bCs/>
                <w:color w:val="0000FF"/>
                <w:sz w:val="20"/>
                <w:u w:val="single"/>
              </w:rPr>
              <w:t>Power Strips</w:t>
            </w:r>
            <w:r w:rsidRPr="005E385F">
              <w:rPr>
                <w:rFonts w:ascii="Verdana" w:hAnsi="Verdana"/>
                <w:sz w:val="20"/>
              </w:rPr>
              <w:fldChar w:fldCharType="begin"/>
            </w:r>
            <w:r w:rsidRPr="005E385F">
              <w:rPr>
                <w:rFonts w:ascii="Verdana" w:hAnsi="Verdana"/>
                <w:sz w:val="20"/>
              </w:rPr>
              <w:instrText>xe "</w:instrText>
            </w:r>
            <w:r w:rsidRPr="005E385F">
              <w:rPr>
                <w:rFonts w:ascii="Verdana" w:hAnsi="Verdana"/>
                <w:bCs/>
                <w:sz w:val="20"/>
              </w:rPr>
              <w:instrText>Power Strip</w:instrText>
            </w:r>
            <w:r w:rsidRPr="005E385F">
              <w:rPr>
                <w:rFonts w:ascii="Verdana" w:hAnsi="Verdana"/>
                <w:sz w:val="20"/>
              </w:rPr>
              <w:instrText>"</w:instrText>
            </w:r>
            <w:r w:rsidRPr="005E385F">
              <w:rPr>
                <w:rFonts w:ascii="Verdana" w:hAnsi="Verdana"/>
                <w:sz w:val="20"/>
              </w:rPr>
              <w:fldChar w:fldCharType="end"/>
            </w:r>
          </w:p>
          <w:p w14:paraId="4785F92D" w14:textId="77777777" w:rsidR="00F935B1" w:rsidRPr="005E385F" w:rsidRDefault="00A0395D" w:rsidP="00F935B1">
            <w:pPr>
              <w:pStyle w:val="NormalWeb"/>
              <w:numPr>
                <w:ilvl w:val="0"/>
                <w:numId w:val="15"/>
              </w:numPr>
              <w:spacing w:before="0" w:beforeAutospacing="0" w:after="0"/>
              <w:rPr>
                <w:rFonts w:ascii="Verdana" w:hAnsi="Verdana"/>
                <w:bCs/>
                <w:sz w:val="20"/>
              </w:rPr>
            </w:pPr>
            <w:hyperlink w:anchor="DisasterRecovery" w:history="1">
              <w:r w:rsidR="00F935B1" w:rsidRPr="005E385F">
                <w:rPr>
                  <w:rStyle w:val="Hyperlink"/>
                  <w:rFonts w:ascii="Verdana" w:hAnsi="Verdana"/>
                  <w:bCs/>
                  <w:sz w:val="20"/>
                </w:rPr>
                <w:t>Disaster Recovery</w:t>
              </w:r>
              <w:r w:rsidR="00F935B1" w:rsidRPr="005E385F">
                <w:rPr>
                  <w:rFonts w:ascii="Verdana" w:hAnsi="Verdana"/>
                  <w:sz w:val="20"/>
                </w:rPr>
                <w:fldChar w:fldCharType="begin"/>
              </w:r>
              <w:r w:rsidR="00F935B1" w:rsidRPr="005E385F">
                <w:rPr>
                  <w:rFonts w:ascii="Verdana" w:hAnsi="Verdana"/>
                  <w:sz w:val="20"/>
                </w:rPr>
                <w:instrText>xe "</w:instrText>
              </w:r>
              <w:r w:rsidR="00F935B1" w:rsidRPr="005E385F">
                <w:rPr>
                  <w:rStyle w:val="Hyperlink"/>
                  <w:rFonts w:ascii="Verdana" w:hAnsi="Verdana"/>
                  <w:bCs/>
                  <w:sz w:val="20"/>
                </w:rPr>
                <w:instrText>Disaster Recovery</w:instrText>
              </w:r>
              <w:r w:rsidR="00F935B1" w:rsidRPr="005E385F">
                <w:rPr>
                  <w:rFonts w:ascii="Verdana" w:hAnsi="Verdana"/>
                  <w:sz w:val="20"/>
                </w:rPr>
                <w:instrText>"</w:instrText>
              </w:r>
              <w:r w:rsidR="00F935B1" w:rsidRPr="005E385F">
                <w:rPr>
                  <w:rFonts w:ascii="Verdana" w:hAnsi="Verdana"/>
                  <w:sz w:val="20"/>
                </w:rPr>
                <w:fldChar w:fldCharType="end"/>
              </w:r>
            </w:hyperlink>
          </w:p>
          <w:p w14:paraId="79B50AF0" w14:textId="77777777" w:rsidR="00F935B1" w:rsidRPr="005E385F" w:rsidRDefault="00A0395D" w:rsidP="00F935B1">
            <w:pPr>
              <w:pStyle w:val="NormalWeb"/>
              <w:numPr>
                <w:ilvl w:val="0"/>
                <w:numId w:val="15"/>
              </w:numPr>
              <w:spacing w:before="0" w:beforeAutospacing="0" w:after="0"/>
              <w:rPr>
                <w:rFonts w:ascii="Verdana" w:hAnsi="Verdana"/>
                <w:bCs/>
                <w:sz w:val="20"/>
              </w:rPr>
            </w:pPr>
            <w:hyperlink w:anchor="EnvironmentalMonitoringComponents" w:history="1">
              <w:r w:rsidR="00F935B1" w:rsidRPr="005E385F">
                <w:rPr>
                  <w:rStyle w:val="Hyperlink"/>
                  <w:rFonts w:ascii="Verdana" w:hAnsi="Verdana"/>
                  <w:bCs/>
                  <w:sz w:val="20"/>
                </w:rPr>
                <w:t>Environmental Monitoring</w:t>
              </w:r>
              <w:r w:rsidR="00F935B1" w:rsidRPr="005E385F">
                <w:rPr>
                  <w:rFonts w:ascii="Verdana" w:hAnsi="Verdana"/>
                  <w:sz w:val="20"/>
                </w:rPr>
                <w:fldChar w:fldCharType="begin"/>
              </w:r>
              <w:r w:rsidR="00F935B1" w:rsidRPr="005E385F">
                <w:rPr>
                  <w:rFonts w:ascii="Verdana" w:hAnsi="Verdana"/>
                  <w:sz w:val="20"/>
                </w:rPr>
                <w:instrText>xe "Environmental Monitoring"</w:instrText>
              </w:r>
              <w:r w:rsidR="00F935B1" w:rsidRPr="005E385F">
                <w:rPr>
                  <w:rFonts w:ascii="Verdana" w:hAnsi="Verdana"/>
                  <w:sz w:val="20"/>
                </w:rPr>
                <w:fldChar w:fldCharType="end"/>
              </w:r>
            </w:hyperlink>
          </w:p>
          <w:p w14:paraId="31717FFE" w14:textId="77777777" w:rsidR="00F935B1" w:rsidRPr="005E385F" w:rsidRDefault="00F935B1" w:rsidP="00F935B1">
            <w:pPr>
              <w:pStyle w:val="NormalWeb"/>
              <w:numPr>
                <w:ilvl w:val="0"/>
                <w:numId w:val="24"/>
              </w:numPr>
              <w:spacing w:before="0" w:beforeAutospacing="0" w:after="0"/>
              <w:rPr>
                <w:rFonts w:ascii="Verdana" w:hAnsi="Verdana"/>
                <w:bCs/>
                <w:sz w:val="20"/>
              </w:rPr>
            </w:pPr>
            <w:r w:rsidRPr="005E385F">
              <w:rPr>
                <w:rFonts w:ascii="Verdana" w:hAnsi="Verdana"/>
                <w:bCs/>
                <w:sz w:val="20"/>
              </w:rPr>
              <w:t>Components that are installed in standby</w:t>
            </w:r>
            <w:r w:rsidRPr="005E385F">
              <w:rPr>
                <w:rFonts w:ascii="Verdana" w:hAnsi="Verdana"/>
                <w:sz w:val="20"/>
              </w:rPr>
              <w:fldChar w:fldCharType="begin"/>
            </w:r>
            <w:r w:rsidRPr="005E385F">
              <w:rPr>
                <w:rFonts w:ascii="Verdana" w:hAnsi="Verdana"/>
                <w:sz w:val="20"/>
              </w:rPr>
              <w:instrText>xe "S</w:instrText>
            </w:r>
            <w:r w:rsidRPr="005E385F">
              <w:rPr>
                <w:rFonts w:ascii="Verdana" w:hAnsi="Verdana"/>
                <w:bCs/>
                <w:sz w:val="20"/>
              </w:rPr>
              <w:instrText>tandby</w:instrText>
            </w:r>
            <w:r w:rsidRPr="005E385F">
              <w:rPr>
                <w:rFonts w:ascii="Verdana" w:hAnsi="Verdana"/>
                <w:sz w:val="20"/>
              </w:rPr>
              <w:instrText>"</w:instrText>
            </w:r>
            <w:r w:rsidRPr="005E385F">
              <w:rPr>
                <w:rFonts w:ascii="Verdana" w:hAnsi="Verdana"/>
                <w:sz w:val="20"/>
              </w:rPr>
              <w:fldChar w:fldCharType="end"/>
            </w:r>
            <w:r w:rsidRPr="005E385F">
              <w:rPr>
                <w:rFonts w:ascii="Verdana" w:hAnsi="Verdana"/>
                <w:bCs/>
                <w:sz w:val="20"/>
              </w:rPr>
              <w:t xml:space="preserve"> mode, redundant</w:t>
            </w:r>
            <w:r w:rsidRPr="005E385F">
              <w:rPr>
                <w:rFonts w:ascii="Verdana" w:hAnsi="Verdana"/>
                <w:sz w:val="20"/>
              </w:rPr>
              <w:fldChar w:fldCharType="begin"/>
            </w:r>
            <w:r w:rsidRPr="005E385F">
              <w:rPr>
                <w:rFonts w:ascii="Verdana" w:hAnsi="Verdana"/>
                <w:sz w:val="20"/>
              </w:rPr>
              <w:instrText>xe "R</w:instrText>
            </w:r>
            <w:r w:rsidRPr="005E385F">
              <w:rPr>
                <w:rFonts w:ascii="Verdana" w:hAnsi="Verdana"/>
                <w:bCs/>
                <w:sz w:val="20"/>
              </w:rPr>
              <w:instrText>edundant</w:instrText>
            </w:r>
            <w:r w:rsidRPr="005E385F">
              <w:rPr>
                <w:rFonts w:ascii="Verdana" w:hAnsi="Verdana"/>
                <w:sz w:val="20"/>
              </w:rPr>
              <w:instrText>"</w:instrText>
            </w:r>
            <w:r w:rsidRPr="005E385F">
              <w:rPr>
                <w:rFonts w:ascii="Verdana" w:hAnsi="Verdana"/>
                <w:sz w:val="20"/>
              </w:rPr>
              <w:fldChar w:fldCharType="end"/>
            </w:r>
            <w:r w:rsidRPr="005E385F">
              <w:rPr>
                <w:rFonts w:ascii="Verdana" w:hAnsi="Verdana"/>
                <w:bCs/>
                <w:sz w:val="20"/>
              </w:rPr>
              <w:t xml:space="preserve">, not active and online, or otherwise not an essential element in the transmission of information within the school or library </w:t>
            </w:r>
          </w:p>
          <w:p w14:paraId="6A47EED7" w14:textId="77777777" w:rsidR="00F935B1" w:rsidRPr="005E385F" w:rsidRDefault="00F935B1" w:rsidP="0083602C">
            <w:pPr>
              <w:pStyle w:val="NormalWeb"/>
              <w:spacing w:before="0" w:beforeAutospacing="0" w:after="0"/>
              <w:rPr>
                <w:rFonts w:ascii="Verdana" w:hAnsi="Verdana"/>
                <w:bCs/>
                <w:sz w:val="20"/>
              </w:rPr>
            </w:pPr>
          </w:p>
          <w:p w14:paraId="64A29774" w14:textId="77777777" w:rsidR="00F935B1" w:rsidRPr="005E385F" w:rsidRDefault="00F935B1" w:rsidP="0083602C">
            <w:pPr>
              <w:pStyle w:val="NormalWeb"/>
              <w:spacing w:before="0" w:beforeAutospacing="0" w:after="0"/>
              <w:rPr>
                <w:rFonts w:ascii="Verdana" w:hAnsi="Verdana"/>
                <w:bCs/>
                <w:sz w:val="20"/>
              </w:rPr>
            </w:pPr>
            <w:r w:rsidRPr="005E385F">
              <w:rPr>
                <w:rFonts w:ascii="Verdana" w:hAnsi="Verdana"/>
                <w:bCs/>
                <w:sz w:val="20"/>
                <w:u w:val="single"/>
              </w:rPr>
              <w:t>Ineligible Servers</w:t>
            </w:r>
            <w:r w:rsidRPr="005E385F">
              <w:rPr>
                <w:rFonts w:ascii="Verdana" w:hAnsi="Verdana"/>
                <w:bCs/>
                <w:sz w:val="20"/>
              </w:rPr>
              <w:t>:</w:t>
            </w:r>
          </w:p>
          <w:p w14:paraId="4C9925D1" w14:textId="77777777" w:rsidR="00F935B1" w:rsidRPr="005E385F" w:rsidRDefault="00F935B1" w:rsidP="0083602C">
            <w:pPr>
              <w:pStyle w:val="NormalWeb"/>
              <w:spacing w:before="0" w:beforeAutospacing="0" w:after="0"/>
              <w:rPr>
                <w:rFonts w:ascii="Verdana" w:hAnsi="Verdana"/>
                <w:bCs/>
                <w:sz w:val="20"/>
              </w:rPr>
            </w:pPr>
          </w:p>
          <w:p w14:paraId="2A4C9340" w14:textId="77777777" w:rsidR="00F935B1" w:rsidRPr="005E385F" w:rsidRDefault="00F935B1" w:rsidP="00F935B1">
            <w:pPr>
              <w:pStyle w:val="NormalWeb"/>
              <w:numPr>
                <w:ilvl w:val="0"/>
                <w:numId w:val="24"/>
              </w:numPr>
              <w:spacing w:before="0" w:beforeAutospacing="0" w:after="0"/>
              <w:rPr>
                <w:rFonts w:ascii="Verdana" w:hAnsi="Verdana"/>
                <w:bCs/>
                <w:sz w:val="20"/>
              </w:rPr>
            </w:pPr>
            <w:r w:rsidRPr="005E385F">
              <w:rPr>
                <w:rFonts w:ascii="Verdana" w:hAnsi="Verdana"/>
                <w:bCs/>
                <w:sz w:val="20"/>
              </w:rPr>
              <w:t>Storage of application software</w:t>
            </w:r>
            <w:r w:rsidRPr="005E385F">
              <w:rPr>
                <w:rFonts w:ascii="Verdana" w:hAnsi="Verdana"/>
                <w:sz w:val="20"/>
              </w:rPr>
              <w:fldChar w:fldCharType="begin"/>
            </w:r>
            <w:r w:rsidRPr="005E385F">
              <w:rPr>
                <w:rFonts w:ascii="Verdana" w:hAnsi="Verdana"/>
                <w:sz w:val="20"/>
              </w:rPr>
              <w:instrText>xe "S</w:instrText>
            </w:r>
            <w:r w:rsidRPr="005E385F">
              <w:rPr>
                <w:rFonts w:ascii="Verdana" w:hAnsi="Verdana"/>
                <w:bCs/>
                <w:sz w:val="20"/>
              </w:rPr>
              <w:instrText>oftware</w:instrText>
            </w:r>
            <w:r w:rsidRPr="005E385F">
              <w:rPr>
                <w:rFonts w:ascii="Verdana" w:hAnsi="Verdana"/>
                <w:sz w:val="20"/>
              </w:rPr>
              <w:instrText>"</w:instrText>
            </w:r>
            <w:r w:rsidRPr="005E385F">
              <w:rPr>
                <w:rFonts w:ascii="Verdana" w:hAnsi="Verdana"/>
                <w:sz w:val="20"/>
              </w:rPr>
              <w:fldChar w:fldCharType="end"/>
            </w:r>
            <w:r w:rsidRPr="005E385F">
              <w:rPr>
                <w:rFonts w:ascii="Verdana" w:hAnsi="Verdana"/>
                <w:bCs/>
                <w:sz w:val="20"/>
              </w:rPr>
              <w:t>, databases accessed by end users, or end-user files other than e-mail</w:t>
            </w:r>
            <w:r w:rsidRPr="005E385F">
              <w:rPr>
                <w:rFonts w:ascii="Verdana" w:hAnsi="Verdana"/>
                <w:sz w:val="20"/>
              </w:rPr>
              <w:fldChar w:fldCharType="begin"/>
            </w:r>
            <w:r w:rsidRPr="005E385F">
              <w:rPr>
                <w:rFonts w:ascii="Verdana" w:hAnsi="Verdana"/>
                <w:sz w:val="20"/>
              </w:rPr>
              <w:instrText>xe "E-Mail"</w:instrText>
            </w:r>
            <w:r w:rsidRPr="005E385F">
              <w:rPr>
                <w:rFonts w:ascii="Verdana" w:hAnsi="Verdana"/>
                <w:sz w:val="20"/>
              </w:rPr>
              <w:fldChar w:fldCharType="end"/>
            </w:r>
            <w:r w:rsidRPr="005E385F">
              <w:rPr>
                <w:rFonts w:ascii="Verdana" w:hAnsi="Verdana"/>
                <w:bCs/>
                <w:sz w:val="20"/>
              </w:rPr>
              <w:t xml:space="preserve"> files</w:t>
            </w:r>
          </w:p>
          <w:p w14:paraId="56B9CD4C" w14:textId="77777777" w:rsidR="00F935B1" w:rsidRPr="005E385F" w:rsidRDefault="00F935B1" w:rsidP="00F935B1">
            <w:pPr>
              <w:pStyle w:val="NormalWeb"/>
              <w:numPr>
                <w:ilvl w:val="0"/>
                <w:numId w:val="24"/>
              </w:numPr>
              <w:spacing w:before="0" w:beforeAutospacing="0" w:after="0"/>
              <w:rPr>
                <w:rFonts w:ascii="Verdana" w:hAnsi="Verdana"/>
                <w:bCs/>
                <w:sz w:val="20"/>
              </w:rPr>
            </w:pPr>
            <w:r w:rsidRPr="005E385F">
              <w:rPr>
                <w:rFonts w:ascii="Verdana" w:hAnsi="Verdana"/>
                <w:bCs/>
                <w:sz w:val="20"/>
              </w:rPr>
              <w:t xml:space="preserve">End-user </w:t>
            </w:r>
            <w:hyperlink w:anchor="PersonalComputer" w:history="1">
              <w:r w:rsidRPr="005E385F">
                <w:rPr>
                  <w:rStyle w:val="Hyperlink"/>
                  <w:rFonts w:ascii="Verdana" w:hAnsi="Verdana"/>
                  <w:bCs/>
                  <w:sz w:val="20"/>
                </w:rPr>
                <w:t>personal computers/workstations</w:t>
              </w:r>
              <w:r w:rsidRPr="005E385F">
                <w:rPr>
                  <w:rFonts w:ascii="Verdana" w:hAnsi="Verdana"/>
                  <w:sz w:val="20"/>
                </w:rPr>
                <w:fldChar w:fldCharType="begin"/>
              </w:r>
              <w:r w:rsidRPr="005E385F">
                <w:rPr>
                  <w:rFonts w:ascii="Verdana" w:hAnsi="Verdana"/>
                  <w:sz w:val="20"/>
                </w:rPr>
                <w:instrText>xe "Workstations"</w:instrText>
              </w:r>
              <w:r w:rsidRPr="005E385F">
                <w:rPr>
                  <w:rFonts w:ascii="Verdana" w:hAnsi="Verdana"/>
                  <w:sz w:val="20"/>
                </w:rPr>
                <w:fldChar w:fldCharType="end"/>
              </w:r>
            </w:hyperlink>
            <w:r w:rsidRPr="005E385F">
              <w:rPr>
                <w:rFonts w:ascii="Verdana" w:hAnsi="Verdana"/>
                <w:bCs/>
                <w:sz w:val="20"/>
              </w:rPr>
              <w:t>, even if the device also provides server</w:t>
            </w:r>
            <w:r w:rsidRPr="005E385F">
              <w:rPr>
                <w:rFonts w:ascii="Verdana" w:hAnsi="Verdana"/>
                <w:sz w:val="20"/>
              </w:rPr>
              <w:fldChar w:fldCharType="begin"/>
            </w:r>
            <w:r w:rsidRPr="005E385F">
              <w:rPr>
                <w:rFonts w:ascii="Verdana" w:hAnsi="Verdana"/>
                <w:sz w:val="20"/>
              </w:rPr>
              <w:instrText>xe "Servers"</w:instrText>
            </w:r>
            <w:r w:rsidRPr="005E385F">
              <w:rPr>
                <w:rFonts w:ascii="Verdana" w:hAnsi="Verdana"/>
                <w:sz w:val="20"/>
              </w:rPr>
              <w:fldChar w:fldCharType="end"/>
            </w:r>
            <w:r w:rsidRPr="005E385F">
              <w:rPr>
                <w:rFonts w:ascii="Verdana" w:hAnsi="Verdana"/>
                <w:bCs/>
                <w:sz w:val="20"/>
              </w:rPr>
              <w:t xml:space="preserve"> functionality</w:t>
            </w:r>
          </w:p>
          <w:p w14:paraId="3105CEA7" w14:textId="77777777" w:rsidR="00F935B1" w:rsidRPr="005E385F" w:rsidRDefault="00F935B1" w:rsidP="00F935B1">
            <w:pPr>
              <w:pStyle w:val="NormalWeb"/>
              <w:numPr>
                <w:ilvl w:val="0"/>
                <w:numId w:val="24"/>
              </w:numPr>
              <w:spacing w:before="0" w:beforeAutospacing="0" w:after="0"/>
              <w:rPr>
                <w:rFonts w:ascii="Verdana" w:hAnsi="Verdana"/>
                <w:bCs/>
                <w:sz w:val="20"/>
              </w:rPr>
            </w:pPr>
            <w:r w:rsidRPr="005E385F">
              <w:rPr>
                <w:rFonts w:ascii="Verdana" w:hAnsi="Verdana"/>
                <w:bCs/>
                <w:color w:val="0000FF"/>
                <w:sz w:val="20"/>
                <w:u w:val="single"/>
              </w:rPr>
              <w:t>C</w:t>
            </w:r>
            <w:hyperlink w:anchor="CachingComponents" w:history="1">
              <w:r w:rsidRPr="005E385F">
                <w:rPr>
                  <w:rStyle w:val="Hyperlink"/>
                  <w:rFonts w:ascii="Verdana" w:hAnsi="Verdana"/>
                  <w:bCs/>
                  <w:sz w:val="20"/>
                </w:rPr>
                <w:t>aching</w:t>
              </w:r>
            </w:hyperlink>
            <w:r w:rsidRPr="005E385F">
              <w:rPr>
                <w:rFonts w:ascii="Verdana" w:hAnsi="Verdana"/>
                <w:bCs/>
                <w:sz w:val="20"/>
              </w:rPr>
              <w:t xml:space="preserve"> server</w:t>
            </w:r>
            <w:r w:rsidRPr="005E385F">
              <w:rPr>
                <w:rFonts w:ascii="Verdana" w:hAnsi="Verdana"/>
                <w:sz w:val="20"/>
              </w:rPr>
              <w:fldChar w:fldCharType="begin"/>
            </w:r>
            <w:r w:rsidRPr="005E385F">
              <w:rPr>
                <w:rFonts w:ascii="Verdana" w:hAnsi="Verdana"/>
                <w:sz w:val="20"/>
              </w:rPr>
              <w:instrText>xe "Servers"</w:instrText>
            </w:r>
            <w:r w:rsidRPr="005E385F">
              <w:rPr>
                <w:rFonts w:ascii="Verdana" w:hAnsi="Verdana"/>
                <w:sz w:val="20"/>
              </w:rPr>
              <w:fldChar w:fldCharType="end"/>
            </w:r>
            <w:r w:rsidRPr="005E385F">
              <w:rPr>
                <w:rFonts w:ascii="Verdana" w:hAnsi="Verdana"/>
                <w:bCs/>
                <w:sz w:val="20"/>
              </w:rPr>
              <w:t xml:space="preserve"> and print server. (However, caching and print server features provided by the core network operating system</w:t>
            </w:r>
            <w:r w:rsidRPr="005E385F">
              <w:rPr>
                <w:rFonts w:ascii="Verdana" w:hAnsi="Verdana"/>
                <w:sz w:val="20"/>
              </w:rPr>
              <w:fldChar w:fldCharType="begin"/>
            </w:r>
            <w:r w:rsidRPr="005E385F">
              <w:rPr>
                <w:rFonts w:ascii="Verdana" w:hAnsi="Verdana"/>
                <w:sz w:val="20"/>
              </w:rPr>
              <w:instrText>xe "Operating System"</w:instrText>
            </w:r>
            <w:r w:rsidRPr="005E385F">
              <w:rPr>
                <w:rFonts w:ascii="Verdana" w:hAnsi="Verdana"/>
                <w:sz w:val="20"/>
              </w:rPr>
              <w:fldChar w:fldCharType="end"/>
            </w:r>
            <w:r w:rsidRPr="005E385F">
              <w:rPr>
                <w:rFonts w:ascii="Verdana" w:hAnsi="Verdana"/>
                <w:bCs/>
                <w:sz w:val="20"/>
              </w:rPr>
              <w:t xml:space="preserve"> may be utilized if the principal function of the server is for other purposes that are eligible). </w:t>
            </w:r>
          </w:p>
          <w:p w14:paraId="46D5A1AD" w14:textId="77777777" w:rsidR="00F935B1" w:rsidRPr="005E385F" w:rsidRDefault="00A0395D" w:rsidP="00F935B1">
            <w:pPr>
              <w:pStyle w:val="NormalWeb"/>
              <w:numPr>
                <w:ilvl w:val="0"/>
                <w:numId w:val="24"/>
              </w:numPr>
              <w:spacing w:before="0" w:beforeAutospacing="0" w:after="0"/>
              <w:rPr>
                <w:rFonts w:ascii="Verdana" w:hAnsi="Verdana"/>
                <w:bCs/>
                <w:sz w:val="20"/>
              </w:rPr>
            </w:pPr>
            <w:hyperlink w:anchor="LaptopNotebookComputer" w:history="1">
              <w:r w:rsidR="00F935B1" w:rsidRPr="005E385F">
                <w:rPr>
                  <w:rStyle w:val="Hyperlink"/>
                  <w:rFonts w:ascii="Verdana" w:hAnsi="Verdana"/>
                  <w:bCs/>
                  <w:sz w:val="20"/>
                </w:rPr>
                <w:t>Laptop</w:t>
              </w:r>
              <w:r w:rsidR="00F935B1" w:rsidRPr="005E385F">
                <w:rPr>
                  <w:rFonts w:ascii="Verdana" w:hAnsi="Verdana"/>
                  <w:sz w:val="20"/>
                </w:rPr>
                <w:fldChar w:fldCharType="begin"/>
              </w:r>
              <w:r w:rsidR="00F935B1" w:rsidRPr="005E385F">
                <w:rPr>
                  <w:rFonts w:ascii="Verdana" w:hAnsi="Verdana"/>
                  <w:sz w:val="20"/>
                </w:rPr>
                <w:instrText>xe "Laptop Computer"</w:instrText>
              </w:r>
              <w:r w:rsidR="00F935B1" w:rsidRPr="005E385F">
                <w:rPr>
                  <w:rFonts w:ascii="Verdana" w:hAnsi="Verdana"/>
                  <w:sz w:val="20"/>
                </w:rPr>
                <w:fldChar w:fldCharType="end"/>
              </w:r>
            </w:hyperlink>
            <w:r w:rsidR="00F935B1" w:rsidRPr="005E385F">
              <w:rPr>
                <w:rFonts w:ascii="Verdana" w:hAnsi="Verdana"/>
                <w:bCs/>
                <w:sz w:val="20"/>
              </w:rPr>
              <w:t xml:space="preserve"> (presumed to not be eligible because a laptop is typically used as an end user workstation).</w:t>
            </w:r>
          </w:p>
          <w:p w14:paraId="0CA84EDB" w14:textId="77777777" w:rsidR="00F935B1" w:rsidRPr="005E385F" w:rsidRDefault="00F935B1" w:rsidP="0083602C">
            <w:pPr>
              <w:pStyle w:val="NormalWeb"/>
              <w:spacing w:before="0" w:beforeAutospacing="0" w:after="0"/>
              <w:ind w:left="360"/>
              <w:rPr>
                <w:rFonts w:ascii="Verdana" w:hAnsi="Verdana"/>
                <w:bCs/>
                <w:sz w:val="20"/>
              </w:rPr>
            </w:pPr>
          </w:p>
          <w:p w14:paraId="2FE5D557" w14:textId="77777777" w:rsidR="00F935B1" w:rsidRPr="005E385F" w:rsidRDefault="00F935B1" w:rsidP="0083602C">
            <w:pPr>
              <w:pStyle w:val="NormalWeb"/>
              <w:spacing w:before="0" w:beforeAutospacing="0" w:after="0"/>
              <w:rPr>
                <w:rFonts w:ascii="Verdana" w:hAnsi="Verdana"/>
                <w:bCs/>
                <w:sz w:val="20"/>
              </w:rPr>
            </w:pPr>
            <w:r w:rsidRPr="005E385F">
              <w:rPr>
                <w:rFonts w:ascii="Verdana" w:hAnsi="Verdana"/>
                <w:bCs/>
                <w:sz w:val="20"/>
                <w:u w:val="single"/>
              </w:rPr>
              <w:t>Ineligible Software</w:t>
            </w:r>
            <w:r w:rsidRPr="005E385F">
              <w:rPr>
                <w:rFonts w:ascii="Verdana" w:hAnsi="Verdana"/>
                <w:bCs/>
                <w:sz w:val="20"/>
              </w:rPr>
              <w:t>:</w:t>
            </w:r>
          </w:p>
          <w:p w14:paraId="1F3643C6" w14:textId="77777777" w:rsidR="00F935B1" w:rsidRPr="005E385F" w:rsidRDefault="00F935B1" w:rsidP="0083602C">
            <w:pPr>
              <w:pStyle w:val="NormalWeb"/>
              <w:spacing w:before="0" w:beforeAutospacing="0" w:after="0"/>
              <w:rPr>
                <w:rFonts w:ascii="Verdana" w:hAnsi="Verdana"/>
                <w:bCs/>
                <w:sz w:val="20"/>
              </w:rPr>
            </w:pPr>
          </w:p>
          <w:p w14:paraId="7FD2BC3F" w14:textId="77777777" w:rsidR="00F935B1" w:rsidRPr="005E385F" w:rsidRDefault="00F935B1" w:rsidP="00F935B1">
            <w:pPr>
              <w:pStyle w:val="NormalWeb"/>
              <w:numPr>
                <w:ilvl w:val="0"/>
                <w:numId w:val="19"/>
              </w:numPr>
              <w:spacing w:before="0" w:beforeAutospacing="0" w:after="0"/>
              <w:rPr>
                <w:rFonts w:ascii="Verdana" w:hAnsi="Verdana"/>
                <w:bCs/>
                <w:sz w:val="20"/>
              </w:rPr>
            </w:pPr>
            <w:r w:rsidRPr="005E385F">
              <w:rPr>
                <w:rFonts w:ascii="Verdana" w:hAnsi="Verdana"/>
                <w:bCs/>
                <w:sz w:val="20"/>
              </w:rPr>
              <w:t xml:space="preserve">All end-user software such as curriculum and productivity software </w:t>
            </w:r>
          </w:p>
          <w:p w14:paraId="528CBB5D" w14:textId="77777777" w:rsidR="00F935B1" w:rsidRPr="005E385F" w:rsidRDefault="00A0395D" w:rsidP="00F935B1">
            <w:pPr>
              <w:pStyle w:val="NormalWeb"/>
              <w:numPr>
                <w:ilvl w:val="0"/>
                <w:numId w:val="19"/>
              </w:numPr>
              <w:spacing w:before="0" w:beforeAutospacing="0" w:after="0"/>
              <w:rPr>
                <w:rFonts w:ascii="Verdana" w:hAnsi="Verdana"/>
                <w:bCs/>
                <w:sz w:val="20"/>
              </w:rPr>
            </w:pPr>
            <w:hyperlink w:anchor="softphone" w:history="1">
              <w:r w:rsidR="00F935B1" w:rsidRPr="005E385F">
                <w:rPr>
                  <w:rStyle w:val="Hyperlink"/>
                  <w:rFonts w:ascii="Verdana" w:hAnsi="Verdana"/>
                  <w:bCs/>
                  <w:sz w:val="20"/>
                </w:rPr>
                <w:t>Softphones</w:t>
              </w:r>
            </w:hyperlink>
            <w:r w:rsidR="00F935B1" w:rsidRPr="005E385F">
              <w:rPr>
                <w:rFonts w:ascii="Verdana" w:hAnsi="Verdana"/>
                <w:bCs/>
                <w:sz w:val="20"/>
              </w:rPr>
              <w:t xml:space="preserve"> </w:t>
            </w:r>
            <w:r w:rsidR="00F935B1" w:rsidRPr="005E385F">
              <w:rPr>
                <w:rFonts w:ascii="Verdana" w:hAnsi="Verdana"/>
                <w:sz w:val="20"/>
              </w:rPr>
              <w:fldChar w:fldCharType="begin"/>
            </w:r>
            <w:r w:rsidR="00F935B1" w:rsidRPr="005E385F">
              <w:rPr>
                <w:rFonts w:ascii="Verdana" w:hAnsi="Verdana"/>
                <w:sz w:val="20"/>
              </w:rPr>
              <w:instrText>xe "Software"</w:instrText>
            </w:r>
            <w:r w:rsidR="00F935B1" w:rsidRPr="005E385F">
              <w:rPr>
                <w:rFonts w:ascii="Verdana" w:hAnsi="Verdana"/>
                <w:sz w:val="20"/>
              </w:rPr>
              <w:fldChar w:fldCharType="end"/>
            </w:r>
            <w:r w:rsidR="00F935B1" w:rsidRPr="005E385F">
              <w:rPr>
                <w:rFonts w:ascii="Verdana" w:hAnsi="Verdana"/>
                <w:bCs/>
                <w:sz w:val="20"/>
              </w:rPr>
              <w:t>for VoIP</w:t>
            </w:r>
          </w:p>
          <w:p w14:paraId="7BFCD000" w14:textId="77777777" w:rsidR="00F935B1" w:rsidRPr="005E385F" w:rsidRDefault="00A0395D" w:rsidP="00F935B1">
            <w:pPr>
              <w:pStyle w:val="NormalWeb"/>
              <w:numPr>
                <w:ilvl w:val="0"/>
                <w:numId w:val="19"/>
              </w:numPr>
              <w:spacing w:before="0" w:beforeAutospacing="0" w:after="0"/>
              <w:rPr>
                <w:rFonts w:ascii="Verdana" w:hAnsi="Verdana"/>
                <w:bCs/>
                <w:sz w:val="20"/>
              </w:rPr>
            </w:pPr>
            <w:hyperlink w:anchor="ApplicationSoftware" w:history="1">
              <w:r w:rsidR="00F935B1" w:rsidRPr="005E385F">
                <w:rPr>
                  <w:rStyle w:val="Hyperlink"/>
                  <w:rFonts w:ascii="Verdana" w:hAnsi="Verdana"/>
                  <w:bCs/>
                  <w:sz w:val="20"/>
                </w:rPr>
                <w:t>Application Software</w:t>
              </w:r>
              <w:r w:rsidR="00F935B1" w:rsidRPr="005E385F">
                <w:rPr>
                  <w:rFonts w:ascii="Verdana" w:hAnsi="Verdana"/>
                  <w:sz w:val="20"/>
                </w:rPr>
                <w:fldChar w:fldCharType="begin"/>
              </w:r>
              <w:r w:rsidR="00F935B1" w:rsidRPr="005E385F">
                <w:rPr>
                  <w:rFonts w:ascii="Verdana" w:hAnsi="Verdana"/>
                  <w:sz w:val="20"/>
                </w:rPr>
                <w:instrText>xe "Application Software"</w:instrText>
              </w:r>
              <w:r w:rsidR="00F935B1" w:rsidRPr="005E385F">
                <w:rPr>
                  <w:rFonts w:ascii="Verdana" w:hAnsi="Verdana"/>
                  <w:sz w:val="20"/>
                </w:rPr>
                <w:fldChar w:fldCharType="end"/>
              </w:r>
            </w:hyperlink>
            <w:r w:rsidR="00F935B1" w:rsidRPr="005E385F">
              <w:rPr>
                <w:rFonts w:ascii="Verdana" w:hAnsi="Verdana"/>
                <w:bCs/>
                <w:sz w:val="20"/>
              </w:rPr>
              <w:t xml:space="preserve"> other than server</w:t>
            </w:r>
            <w:r w:rsidR="00F935B1" w:rsidRPr="005E385F">
              <w:rPr>
                <w:rFonts w:ascii="Verdana" w:hAnsi="Verdana"/>
                <w:sz w:val="20"/>
              </w:rPr>
              <w:fldChar w:fldCharType="begin"/>
            </w:r>
            <w:r w:rsidR="00F935B1" w:rsidRPr="005E385F">
              <w:rPr>
                <w:rFonts w:ascii="Verdana" w:hAnsi="Verdana"/>
                <w:sz w:val="20"/>
              </w:rPr>
              <w:instrText>xe "Servers"</w:instrText>
            </w:r>
            <w:r w:rsidR="00F935B1" w:rsidRPr="005E385F">
              <w:rPr>
                <w:rFonts w:ascii="Verdana" w:hAnsi="Verdana"/>
                <w:sz w:val="20"/>
              </w:rPr>
              <w:fldChar w:fldCharType="end"/>
            </w:r>
            <w:r w:rsidR="00F935B1" w:rsidRPr="005E385F">
              <w:rPr>
                <w:rFonts w:ascii="Verdana" w:hAnsi="Verdana"/>
                <w:bCs/>
                <w:sz w:val="20"/>
              </w:rPr>
              <w:t>-based, shared e-mail</w:t>
            </w:r>
          </w:p>
          <w:p w14:paraId="2CC47B73" w14:textId="77777777" w:rsidR="00F935B1" w:rsidRPr="005E385F" w:rsidRDefault="00F935B1" w:rsidP="00F935B1">
            <w:pPr>
              <w:pStyle w:val="NormalWeb"/>
              <w:numPr>
                <w:ilvl w:val="0"/>
                <w:numId w:val="19"/>
              </w:numPr>
              <w:spacing w:before="0" w:beforeAutospacing="0" w:after="0"/>
              <w:rPr>
                <w:rFonts w:ascii="Verdana" w:hAnsi="Verdana"/>
                <w:bCs/>
                <w:sz w:val="20"/>
              </w:rPr>
            </w:pPr>
            <w:r w:rsidRPr="005E385F">
              <w:rPr>
                <w:rFonts w:ascii="Verdana" w:hAnsi="Verdana"/>
                <w:bCs/>
                <w:sz w:val="20"/>
              </w:rPr>
              <w:t>Software used to develop new applications</w:t>
            </w:r>
          </w:p>
          <w:p w14:paraId="08C0B064" w14:textId="77777777" w:rsidR="00F935B1" w:rsidRPr="005E385F" w:rsidRDefault="00A0395D" w:rsidP="00F935B1">
            <w:pPr>
              <w:pStyle w:val="NormalWeb"/>
              <w:numPr>
                <w:ilvl w:val="0"/>
                <w:numId w:val="19"/>
              </w:numPr>
              <w:spacing w:before="0" w:beforeAutospacing="0" w:after="0"/>
              <w:rPr>
                <w:rFonts w:ascii="Verdana" w:hAnsi="Verdana"/>
                <w:bCs/>
                <w:sz w:val="20"/>
              </w:rPr>
            </w:pPr>
            <w:hyperlink w:anchor="NetworkManagement" w:history="1">
              <w:r w:rsidR="00F935B1" w:rsidRPr="005E385F">
                <w:rPr>
                  <w:rStyle w:val="Hyperlink"/>
                  <w:rFonts w:ascii="Verdana" w:hAnsi="Verdana"/>
                  <w:bCs/>
                  <w:sz w:val="20"/>
                </w:rPr>
                <w:t>Network management</w:t>
              </w:r>
            </w:hyperlink>
            <w:r w:rsidR="00F935B1" w:rsidRPr="005E385F">
              <w:rPr>
                <w:rFonts w:ascii="Verdana" w:hAnsi="Verdana"/>
                <w:bCs/>
                <w:sz w:val="20"/>
              </w:rPr>
              <w:t xml:space="preserve"> software</w:t>
            </w:r>
            <w:r w:rsidR="00F935B1" w:rsidRPr="005E385F">
              <w:rPr>
                <w:rFonts w:ascii="Verdana" w:hAnsi="Verdana"/>
                <w:sz w:val="20"/>
              </w:rPr>
              <w:fldChar w:fldCharType="begin"/>
            </w:r>
            <w:r w:rsidR="00F935B1" w:rsidRPr="005E385F">
              <w:rPr>
                <w:rFonts w:ascii="Verdana" w:hAnsi="Verdana"/>
                <w:sz w:val="20"/>
              </w:rPr>
              <w:instrText>xe "Software"</w:instrText>
            </w:r>
            <w:r w:rsidR="00F935B1" w:rsidRPr="005E385F">
              <w:rPr>
                <w:rFonts w:ascii="Verdana" w:hAnsi="Verdana"/>
                <w:sz w:val="20"/>
              </w:rPr>
              <w:fldChar w:fldCharType="end"/>
            </w:r>
          </w:p>
          <w:p w14:paraId="633B95FD" w14:textId="77777777" w:rsidR="00F935B1" w:rsidRPr="005E385F" w:rsidRDefault="00F935B1" w:rsidP="00F935B1">
            <w:pPr>
              <w:pStyle w:val="NormalWeb"/>
              <w:numPr>
                <w:ilvl w:val="0"/>
                <w:numId w:val="19"/>
              </w:numPr>
              <w:spacing w:before="0" w:beforeAutospacing="0" w:after="0"/>
              <w:rPr>
                <w:rFonts w:ascii="Verdana" w:hAnsi="Verdana"/>
                <w:bCs/>
                <w:sz w:val="20"/>
              </w:rPr>
            </w:pPr>
            <w:r w:rsidRPr="005E385F">
              <w:rPr>
                <w:rFonts w:ascii="Verdana" w:hAnsi="Verdana"/>
                <w:bCs/>
                <w:sz w:val="20"/>
              </w:rPr>
              <w:t>Operating system software</w:t>
            </w:r>
            <w:r w:rsidRPr="005E385F">
              <w:rPr>
                <w:rFonts w:ascii="Verdana" w:hAnsi="Verdana"/>
                <w:sz w:val="20"/>
              </w:rPr>
              <w:fldChar w:fldCharType="begin"/>
            </w:r>
            <w:r w:rsidRPr="005E385F">
              <w:rPr>
                <w:rFonts w:ascii="Verdana" w:hAnsi="Verdana"/>
                <w:sz w:val="20"/>
              </w:rPr>
              <w:instrText>xe "Software"</w:instrText>
            </w:r>
            <w:r w:rsidRPr="005E385F">
              <w:rPr>
                <w:rFonts w:ascii="Verdana" w:hAnsi="Verdana"/>
                <w:sz w:val="20"/>
              </w:rPr>
              <w:fldChar w:fldCharType="end"/>
            </w:r>
            <w:r w:rsidRPr="005E385F">
              <w:rPr>
                <w:rFonts w:ascii="Verdana" w:hAnsi="Verdana"/>
                <w:bCs/>
                <w:sz w:val="20"/>
              </w:rPr>
              <w:t xml:space="preserve"> for end-user computers</w:t>
            </w:r>
          </w:p>
          <w:p w14:paraId="7FF5E472" w14:textId="77777777" w:rsidR="00F935B1" w:rsidRPr="005E385F" w:rsidRDefault="00F935B1" w:rsidP="00F935B1">
            <w:pPr>
              <w:pStyle w:val="NormalWeb"/>
              <w:numPr>
                <w:ilvl w:val="0"/>
                <w:numId w:val="19"/>
              </w:numPr>
              <w:spacing w:before="0" w:beforeAutospacing="0" w:after="0"/>
              <w:rPr>
                <w:rFonts w:ascii="Verdana" w:hAnsi="Verdana"/>
                <w:bCs/>
                <w:sz w:val="20"/>
              </w:rPr>
            </w:pPr>
            <w:r w:rsidRPr="005E385F">
              <w:rPr>
                <w:rFonts w:ascii="Verdana" w:hAnsi="Verdana"/>
                <w:bCs/>
                <w:sz w:val="20"/>
              </w:rPr>
              <w:t>Security software/</w:t>
            </w:r>
            <w:r w:rsidRPr="005E385F">
              <w:rPr>
                <w:rFonts w:ascii="Verdana" w:hAnsi="Verdana"/>
                <w:sz w:val="20"/>
              </w:rPr>
              <w:fldChar w:fldCharType="begin"/>
            </w:r>
            <w:r w:rsidRPr="005E385F">
              <w:rPr>
                <w:rFonts w:ascii="Verdana" w:hAnsi="Verdana"/>
                <w:sz w:val="20"/>
              </w:rPr>
              <w:instrText>xe "Software"</w:instrText>
            </w:r>
            <w:r w:rsidRPr="005E385F">
              <w:rPr>
                <w:rFonts w:ascii="Verdana" w:hAnsi="Verdana"/>
                <w:sz w:val="20"/>
              </w:rPr>
              <w:fldChar w:fldCharType="end"/>
            </w:r>
            <w:r w:rsidRPr="005E385F">
              <w:rPr>
                <w:rFonts w:ascii="Verdana" w:hAnsi="Verdana"/>
                <w:bCs/>
                <w:sz w:val="20"/>
              </w:rPr>
              <w:t>Utility software</w:t>
            </w:r>
            <w:r w:rsidRPr="005E385F">
              <w:rPr>
                <w:rFonts w:ascii="Verdana" w:hAnsi="Verdana"/>
                <w:sz w:val="20"/>
              </w:rPr>
              <w:fldChar w:fldCharType="begin"/>
            </w:r>
            <w:r w:rsidRPr="005E385F">
              <w:rPr>
                <w:rFonts w:ascii="Verdana" w:hAnsi="Verdana"/>
                <w:sz w:val="20"/>
              </w:rPr>
              <w:instrText>xe "Software"</w:instrText>
            </w:r>
            <w:r w:rsidRPr="005E385F">
              <w:rPr>
                <w:rFonts w:ascii="Verdana" w:hAnsi="Verdana"/>
                <w:sz w:val="20"/>
              </w:rPr>
              <w:fldChar w:fldCharType="end"/>
            </w:r>
            <w:r w:rsidRPr="005E385F">
              <w:rPr>
                <w:rFonts w:ascii="Verdana" w:hAnsi="Verdana"/>
                <w:bCs/>
                <w:sz w:val="20"/>
              </w:rPr>
              <w:t>, such as anti-virus and anti-spam</w:t>
            </w:r>
            <w:r w:rsidRPr="005E385F">
              <w:rPr>
                <w:rFonts w:ascii="Verdana" w:hAnsi="Verdana"/>
                <w:sz w:val="20"/>
              </w:rPr>
              <w:fldChar w:fldCharType="begin"/>
            </w:r>
            <w:r w:rsidRPr="005E385F">
              <w:rPr>
                <w:rFonts w:ascii="Verdana" w:hAnsi="Verdana"/>
                <w:sz w:val="20"/>
              </w:rPr>
              <w:instrText>xe "</w:instrText>
            </w:r>
            <w:r w:rsidRPr="005E385F">
              <w:rPr>
                <w:rFonts w:ascii="Verdana" w:hAnsi="Verdana"/>
                <w:bCs/>
                <w:sz w:val="20"/>
              </w:rPr>
              <w:instrText>Anti-Virus</w:instrText>
            </w:r>
            <w:r w:rsidRPr="005E385F">
              <w:rPr>
                <w:rFonts w:ascii="Verdana" w:hAnsi="Verdana"/>
                <w:sz w:val="20"/>
              </w:rPr>
              <w:instrText>"</w:instrText>
            </w:r>
            <w:r w:rsidRPr="005E385F">
              <w:rPr>
                <w:rFonts w:ascii="Verdana" w:hAnsi="Verdana"/>
                <w:sz w:val="20"/>
              </w:rPr>
              <w:fldChar w:fldCharType="end"/>
            </w:r>
            <w:r w:rsidRPr="005E385F">
              <w:rPr>
                <w:rFonts w:ascii="Verdana" w:hAnsi="Verdana"/>
                <w:bCs/>
                <w:sz w:val="20"/>
              </w:rPr>
              <w:t xml:space="preserve"> software </w:t>
            </w:r>
          </w:p>
          <w:p w14:paraId="1749EBF1" w14:textId="77777777" w:rsidR="00F935B1" w:rsidRPr="005E385F" w:rsidRDefault="00F935B1" w:rsidP="00F935B1">
            <w:pPr>
              <w:pStyle w:val="NormalWeb"/>
              <w:numPr>
                <w:ilvl w:val="0"/>
                <w:numId w:val="24"/>
              </w:numPr>
              <w:spacing w:before="0" w:beforeAutospacing="0" w:after="0"/>
              <w:rPr>
                <w:rFonts w:ascii="Verdana" w:hAnsi="Verdana"/>
                <w:bCs/>
                <w:sz w:val="20"/>
              </w:rPr>
            </w:pPr>
            <w:r w:rsidRPr="005E385F">
              <w:rPr>
                <w:rFonts w:ascii="Verdana" w:hAnsi="Verdana"/>
                <w:bCs/>
                <w:sz w:val="20"/>
              </w:rPr>
              <w:t xml:space="preserve">Client Access Licenses for ineligible software products </w:t>
            </w:r>
          </w:p>
          <w:p w14:paraId="09ED4011" w14:textId="77777777" w:rsidR="00F935B1" w:rsidRPr="005E385F" w:rsidRDefault="00F935B1" w:rsidP="0083602C">
            <w:pPr>
              <w:pStyle w:val="NormalWeb"/>
              <w:spacing w:before="0" w:beforeAutospacing="0" w:after="0"/>
              <w:ind w:left="360"/>
              <w:rPr>
                <w:rFonts w:ascii="Verdana" w:hAnsi="Verdana"/>
                <w:bCs/>
                <w:sz w:val="20"/>
              </w:rPr>
            </w:pPr>
          </w:p>
          <w:p w14:paraId="6DBF7289" w14:textId="77777777" w:rsidR="00F935B1" w:rsidRPr="005E385F" w:rsidRDefault="00F935B1" w:rsidP="0083602C">
            <w:pPr>
              <w:pStyle w:val="NormalWeb"/>
              <w:spacing w:before="0" w:beforeAutospacing="0" w:after="0"/>
              <w:rPr>
                <w:rFonts w:ascii="Verdana" w:hAnsi="Verdana"/>
                <w:bCs/>
                <w:sz w:val="20"/>
              </w:rPr>
            </w:pPr>
            <w:r w:rsidRPr="005E385F">
              <w:rPr>
                <w:rFonts w:ascii="Verdana" w:hAnsi="Verdana"/>
                <w:bCs/>
                <w:sz w:val="20"/>
                <w:u w:val="single"/>
              </w:rPr>
              <w:t>Ineligible Storage</w:t>
            </w:r>
            <w:r w:rsidRPr="005E385F">
              <w:rPr>
                <w:rFonts w:ascii="Verdana" w:hAnsi="Verdana"/>
                <w:bCs/>
                <w:sz w:val="20"/>
              </w:rPr>
              <w:t>:</w:t>
            </w:r>
          </w:p>
          <w:p w14:paraId="6499F1F8" w14:textId="77777777" w:rsidR="00F935B1" w:rsidRPr="005E385F" w:rsidRDefault="00F935B1" w:rsidP="0083602C">
            <w:pPr>
              <w:pStyle w:val="NormalWeb"/>
              <w:spacing w:before="0" w:beforeAutospacing="0" w:after="0"/>
              <w:ind w:left="360"/>
              <w:rPr>
                <w:rFonts w:ascii="Verdana" w:hAnsi="Verdana"/>
                <w:bCs/>
                <w:sz w:val="20"/>
              </w:rPr>
            </w:pPr>
          </w:p>
          <w:p w14:paraId="00E4AF35" w14:textId="77777777" w:rsidR="00F935B1" w:rsidRPr="005E385F" w:rsidRDefault="00F935B1" w:rsidP="00F935B1">
            <w:pPr>
              <w:pStyle w:val="NormalWeb"/>
              <w:numPr>
                <w:ilvl w:val="0"/>
                <w:numId w:val="24"/>
              </w:numPr>
              <w:spacing w:before="0" w:beforeAutospacing="0" w:after="0"/>
              <w:rPr>
                <w:rFonts w:ascii="Verdana" w:hAnsi="Verdana"/>
                <w:bCs/>
                <w:sz w:val="20"/>
              </w:rPr>
            </w:pPr>
            <w:r w:rsidRPr="005E385F">
              <w:rPr>
                <w:rFonts w:ascii="Verdana" w:hAnsi="Verdana"/>
                <w:bCs/>
                <w:sz w:val="20"/>
              </w:rPr>
              <w:t>Devices used to supplement storage</w:t>
            </w:r>
            <w:r w:rsidRPr="005E385F">
              <w:rPr>
                <w:rFonts w:ascii="Verdana" w:hAnsi="Verdana"/>
                <w:sz w:val="20"/>
              </w:rPr>
              <w:fldChar w:fldCharType="begin"/>
            </w:r>
            <w:r w:rsidRPr="005E385F">
              <w:rPr>
                <w:rFonts w:ascii="Verdana" w:hAnsi="Verdana"/>
                <w:sz w:val="20"/>
              </w:rPr>
              <w:instrText>xe "Storage"</w:instrText>
            </w:r>
            <w:r w:rsidRPr="005E385F">
              <w:rPr>
                <w:rFonts w:ascii="Verdana" w:hAnsi="Verdana"/>
                <w:sz w:val="20"/>
              </w:rPr>
              <w:fldChar w:fldCharType="end"/>
            </w:r>
            <w:r w:rsidRPr="005E385F">
              <w:rPr>
                <w:rFonts w:ascii="Verdana" w:hAnsi="Verdana"/>
                <w:bCs/>
                <w:sz w:val="20"/>
              </w:rPr>
              <w:t xml:space="preserve"> requirements of </w:t>
            </w:r>
          </w:p>
          <w:p w14:paraId="60223E3F" w14:textId="77777777" w:rsidR="00F935B1" w:rsidRPr="005E385F" w:rsidRDefault="00F935B1" w:rsidP="0083602C">
            <w:pPr>
              <w:pStyle w:val="NormalWeb"/>
              <w:spacing w:before="0" w:beforeAutospacing="0" w:after="0"/>
              <w:ind w:left="750"/>
              <w:rPr>
                <w:rFonts w:ascii="Verdana" w:hAnsi="Verdana"/>
                <w:bCs/>
                <w:sz w:val="20"/>
              </w:rPr>
            </w:pPr>
            <w:r w:rsidRPr="005E385F">
              <w:rPr>
                <w:rFonts w:ascii="Verdana" w:hAnsi="Verdana"/>
                <w:bCs/>
                <w:sz w:val="20"/>
              </w:rPr>
              <w:t>personal computers on a network.  For example, storage devices are not eligible if used to store the following information: end-user files other than eligible e-mail</w:t>
            </w:r>
            <w:r w:rsidRPr="005E385F">
              <w:rPr>
                <w:rFonts w:ascii="Verdana" w:hAnsi="Verdana"/>
                <w:sz w:val="20"/>
              </w:rPr>
              <w:fldChar w:fldCharType="begin"/>
            </w:r>
            <w:r w:rsidRPr="005E385F">
              <w:rPr>
                <w:rFonts w:ascii="Verdana" w:hAnsi="Verdana"/>
                <w:sz w:val="20"/>
              </w:rPr>
              <w:instrText>xe "E-Mail"</w:instrText>
            </w:r>
            <w:r w:rsidRPr="005E385F">
              <w:rPr>
                <w:rFonts w:ascii="Verdana" w:hAnsi="Verdana"/>
                <w:sz w:val="20"/>
              </w:rPr>
              <w:fldChar w:fldCharType="end"/>
            </w:r>
            <w:r w:rsidRPr="005E385F">
              <w:rPr>
                <w:rFonts w:ascii="Verdana" w:hAnsi="Verdana"/>
                <w:bCs/>
                <w:sz w:val="20"/>
              </w:rPr>
              <w:t xml:space="preserve"> files; application software; other ineligible software;</w:t>
            </w:r>
            <w:r w:rsidRPr="005E385F">
              <w:rPr>
                <w:rFonts w:ascii="Verdana" w:hAnsi="Verdana"/>
                <w:sz w:val="20"/>
              </w:rPr>
              <w:fldChar w:fldCharType="begin"/>
            </w:r>
            <w:r w:rsidRPr="005E385F">
              <w:rPr>
                <w:rFonts w:ascii="Verdana" w:hAnsi="Verdana"/>
                <w:sz w:val="20"/>
              </w:rPr>
              <w:instrText>xe "Software"</w:instrText>
            </w:r>
            <w:r w:rsidRPr="005E385F">
              <w:rPr>
                <w:rFonts w:ascii="Verdana" w:hAnsi="Verdana"/>
                <w:sz w:val="20"/>
              </w:rPr>
              <w:fldChar w:fldCharType="end"/>
            </w:r>
            <w:r w:rsidRPr="005E385F">
              <w:rPr>
                <w:rFonts w:ascii="Verdana" w:hAnsi="Verdana"/>
                <w:bCs/>
                <w:sz w:val="20"/>
              </w:rPr>
              <w:t xml:space="preserve"> archival information including archived e-mail files; </w:t>
            </w:r>
            <w:r w:rsidRPr="005E385F">
              <w:rPr>
                <w:rFonts w:ascii="Verdana" w:hAnsi="Verdana"/>
                <w:sz w:val="20"/>
              </w:rPr>
              <w:fldChar w:fldCharType="begin"/>
            </w:r>
            <w:r w:rsidRPr="005E385F">
              <w:rPr>
                <w:rFonts w:ascii="Verdana" w:hAnsi="Verdana"/>
                <w:sz w:val="20"/>
              </w:rPr>
              <w:instrText>xe "</w:instrText>
            </w:r>
            <w:r w:rsidRPr="005E385F">
              <w:rPr>
                <w:rFonts w:ascii="Verdana" w:hAnsi="Verdana"/>
                <w:bCs/>
                <w:sz w:val="20"/>
              </w:rPr>
              <w:instrText>Archiving</w:instrText>
            </w:r>
            <w:r w:rsidRPr="005E385F">
              <w:rPr>
                <w:rFonts w:ascii="Verdana" w:hAnsi="Verdana"/>
                <w:sz w:val="20"/>
              </w:rPr>
              <w:instrText>"</w:instrText>
            </w:r>
            <w:r w:rsidRPr="005E385F">
              <w:rPr>
                <w:rFonts w:ascii="Verdana" w:hAnsi="Verdana"/>
                <w:sz w:val="20"/>
              </w:rPr>
              <w:fldChar w:fldCharType="end"/>
            </w:r>
            <w:hyperlink w:anchor="CachingComponents" w:history="1">
              <w:r w:rsidRPr="005E385F">
                <w:rPr>
                  <w:rStyle w:val="Hyperlink"/>
                  <w:rFonts w:ascii="Verdana" w:hAnsi="Verdana"/>
                  <w:bCs/>
                  <w:sz w:val="20"/>
                </w:rPr>
                <w:t>caching</w:t>
              </w:r>
              <w:r w:rsidRPr="005E385F">
                <w:rPr>
                  <w:rFonts w:ascii="Verdana" w:hAnsi="Verdana"/>
                  <w:sz w:val="20"/>
                </w:rPr>
                <w:fldChar w:fldCharType="begin"/>
              </w:r>
              <w:r w:rsidRPr="005E385F">
                <w:rPr>
                  <w:rFonts w:ascii="Verdana" w:hAnsi="Verdana"/>
                  <w:sz w:val="20"/>
                </w:rPr>
                <w:instrText>xe "</w:instrText>
              </w:r>
              <w:r w:rsidRPr="005E385F">
                <w:rPr>
                  <w:rStyle w:val="Hyperlink"/>
                  <w:rFonts w:ascii="Verdana" w:hAnsi="Verdana"/>
                  <w:bCs/>
                  <w:sz w:val="20"/>
                </w:rPr>
                <w:instrText>Caching</w:instrText>
              </w:r>
              <w:r w:rsidRPr="005E385F">
                <w:rPr>
                  <w:rFonts w:ascii="Verdana" w:hAnsi="Verdana"/>
                  <w:sz w:val="20"/>
                </w:rPr>
                <w:instrText>"</w:instrText>
              </w:r>
              <w:r w:rsidRPr="005E385F">
                <w:rPr>
                  <w:rFonts w:ascii="Verdana" w:hAnsi="Verdana"/>
                  <w:sz w:val="20"/>
                </w:rPr>
                <w:fldChar w:fldCharType="end"/>
              </w:r>
            </w:hyperlink>
            <w:r w:rsidRPr="005E385F">
              <w:rPr>
                <w:rFonts w:ascii="Verdana" w:hAnsi="Verdana"/>
                <w:bCs/>
                <w:sz w:val="20"/>
              </w:rPr>
              <w:t xml:space="preserve"> information</w:t>
            </w:r>
          </w:p>
          <w:p w14:paraId="1CBAE75C" w14:textId="77777777" w:rsidR="00F935B1" w:rsidRPr="005E385F" w:rsidRDefault="00F935B1" w:rsidP="00F935B1">
            <w:pPr>
              <w:pStyle w:val="NormalWeb"/>
              <w:numPr>
                <w:ilvl w:val="0"/>
                <w:numId w:val="24"/>
              </w:numPr>
              <w:spacing w:before="0" w:beforeAutospacing="0" w:after="0"/>
              <w:rPr>
                <w:rFonts w:ascii="Verdana" w:hAnsi="Verdana"/>
                <w:bCs/>
                <w:sz w:val="20"/>
              </w:rPr>
            </w:pPr>
            <w:r w:rsidRPr="005E385F">
              <w:rPr>
                <w:rFonts w:ascii="Verdana" w:hAnsi="Verdana"/>
                <w:bCs/>
                <w:sz w:val="20"/>
              </w:rPr>
              <w:t>Storage devices in end-user components, such as end-user computer workstations</w:t>
            </w:r>
            <w:r w:rsidRPr="005E385F">
              <w:rPr>
                <w:rFonts w:ascii="Verdana" w:hAnsi="Verdana"/>
                <w:sz w:val="20"/>
              </w:rPr>
              <w:fldChar w:fldCharType="begin"/>
            </w:r>
            <w:r w:rsidRPr="005E385F">
              <w:rPr>
                <w:rFonts w:ascii="Verdana" w:hAnsi="Verdana"/>
                <w:sz w:val="20"/>
              </w:rPr>
              <w:instrText>xe "Workstations"</w:instrText>
            </w:r>
            <w:r w:rsidRPr="005E385F">
              <w:rPr>
                <w:rFonts w:ascii="Verdana" w:hAnsi="Verdana"/>
                <w:sz w:val="20"/>
              </w:rPr>
              <w:fldChar w:fldCharType="end"/>
            </w:r>
          </w:p>
          <w:p w14:paraId="494A65A6" w14:textId="77777777" w:rsidR="00F935B1" w:rsidRPr="005E385F" w:rsidRDefault="00F935B1" w:rsidP="00F935B1">
            <w:pPr>
              <w:pStyle w:val="NormalWeb"/>
              <w:numPr>
                <w:ilvl w:val="0"/>
                <w:numId w:val="24"/>
              </w:numPr>
              <w:spacing w:before="0" w:beforeAutospacing="0" w:after="0"/>
              <w:rPr>
                <w:rFonts w:ascii="Verdana" w:hAnsi="Verdana"/>
                <w:bCs/>
                <w:sz w:val="20"/>
              </w:rPr>
            </w:pPr>
            <w:r w:rsidRPr="005E385F">
              <w:rPr>
                <w:rFonts w:ascii="Verdana" w:hAnsi="Verdana"/>
                <w:bCs/>
                <w:sz w:val="20"/>
              </w:rPr>
              <w:t>Consumable</w:t>
            </w:r>
            <w:r w:rsidRPr="005E385F">
              <w:rPr>
                <w:rFonts w:ascii="Verdana" w:hAnsi="Verdana"/>
                <w:sz w:val="20"/>
              </w:rPr>
              <w:fldChar w:fldCharType="begin"/>
            </w:r>
            <w:r w:rsidRPr="005E385F">
              <w:rPr>
                <w:rFonts w:ascii="Verdana" w:hAnsi="Verdana"/>
                <w:sz w:val="20"/>
              </w:rPr>
              <w:instrText>xe "Consumables"</w:instrText>
            </w:r>
            <w:r w:rsidRPr="005E385F">
              <w:rPr>
                <w:rFonts w:ascii="Verdana" w:hAnsi="Verdana"/>
                <w:sz w:val="20"/>
              </w:rPr>
              <w:fldChar w:fldCharType="end"/>
            </w:r>
            <w:r w:rsidRPr="005E385F">
              <w:rPr>
                <w:rFonts w:ascii="Verdana" w:hAnsi="Verdana"/>
                <w:bCs/>
                <w:sz w:val="20"/>
              </w:rPr>
              <w:t xml:space="preserve"> </w:t>
            </w:r>
            <w:hyperlink w:anchor="StorageMedia" w:history="1">
              <w:r w:rsidRPr="005E385F">
                <w:rPr>
                  <w:rStyle w:val="Hyperlink"/>
                  <w:rFonts w:ascii="Verdana" w:hAnsi="Verdana"/>
                  <w:bCs/>
                  <w:sz w:val="20"/>
                </w:rPr>
                <w:t>storage</w:t>
              </w:r>
              <w:r w:rsidRPr="005E385F">
                <w:rPr>
                  <w:rFonts w:ascii="Verdana" w:hAnsi="Verdana"/>
                  <w:sz w:val="20"/>
                </w:rPr>
                <w:fldChar w:fldCharType="begin"/>
              </w:r>
              <w:r w:rsidRPr="005E385F">
                <w:rPr>
                  <w:rFonts w:ascii="Verdana" w:hAnsi="Verdana"/>
                  <w:sz w:val="20"/>
                </w:rPr>
                <w:instrText>xe "Storage"</w:instrText>
              </w:r>
              <w:r w:rsidRPr="005E385F">
                <w:rPr>
                  <w:rFonts w:ascii="Verdana" w:hAnsi="Verdana"/>
                  <w:sz w:val="20"/>
                </w:rPr>
                <w:fldChar w:fldCharType="end"/>
              </w:r>
            </w:hyperlink>
            <w:r w:rsidRPr="005E385F">
              <w:rPr>
                <w:rFonts w:ascii="Verdana" w:hAnsi="Verdana"/>
                <w:bCs/>
                <w:sz w:val="20"/>
              </w:rPr>
              <w:t>, such as floppy disks</w:t>
            </w:r>
            <w:r w:rsidRPr="005E385F">
              <w:rPr>
                <w:rFonts w:ascii="Verdana" w:hAnsi="Verdana"/>
                <w:sz w:val="20"/>
              </w:rPr>
              <w:fldChar w:fldCharType="begin"/>
            </w:r>
            <w:r w:rsidRPr="005E385F">
              <w:rPr>
                <w:rFonts w:ascii="Verdana" w:hAnsi="Verdana"/>
                <w:sz w:val="20"/>
              </w:rPr>
              <w:instrText>xe "</w:instrText>
            </w:r>
            <w:r w:rsidRPr="005E385F">
              <w:rPr>
                <w:rFonts w:ascii="Verdana" w:hAnsi="Verdana"/>
                <w:bCs/>
                <w:sz w:val="20"/>
              </w:rPr>
              <w:instrText>Floppy Disks</w:instrText>
            </w:r>
            <w:r w:rsidRPr="005E385F">
              <w:rPr>
                <w:rFonts w:ascii="Verdana" w:hAnsi="Verdana"/>
                <w:sz w:val="20"/>
              </w:rPr>
              <w:instrText>"</w:instrText>
            </w:r>
            <w:r w:rsidRPr="005E385F">
              <w:rPr>
                <w:rFonts w:ascii="Verdana" w:hAnsi="Verdana"/>
                <w:sz w:val="20"/>
              </w:rPr>
              <w:fldChar w:fldCharType="end"/>
            </w:r>
            <w:r w:rsidRPr="005E385F">
              <w:rPr>
                <w:rFonts w:ascii="Verdana" w:hAnsi="Verdana"/>
                <w:bCs/>
                <w:sz w:val="20"/>
              </w:rPr>
              <w:t>, recordable CD</w:t>
            </w:r>
            <w:r w:rsidRPr="005E385F">
              <w:rPr>
                <w:rFonts w:ascii="Verdana" w:hAnsi="Verdana"/>
                <w:sz w:val="20"/>
              </w:rPr>
              <w:fldChar w:fldCharType="begin"/>
            </w:r>
            <w:r w:rsidRPr="005E385F">
              <w:rPr>
                <w:rFonts w:ascii="Verdana" w:hAnsi="Verdana"/>
                <w:sz w:val="20"/>
              </w:rPr>
              <w:instrText>xe "CD"</w:instrText>
            </w:r>
            <w:r w:rsidRPr="005E385F">
              <w:rPr>
                <w:rFonts w:ascii="Verdana" w:hAnsi="Verdana"/>
                <w:sz w:val="20"/>
              </w:rPr>
              <w:fldChar w:fldCharType="end"/>
            </w:r>
            <w:r w:rsidRPr="005E385F">
              <w:rPr>
                <w:rFonts w:ascii="Verdana" w:hAnsi="Verdana"/>
                <w:bCs/>
                <w:sz w:val="20"/>
              </w:rPr>
              <w:t xml:space="preserve"> ROM</w:t>
            </w:r>
            <w:r w:rsidRPr="005E385F">
              <w:rPr>
                <w:rFonts w:ascii="Verdana" w:hAnsi="Verdana"/>
                <w:sz w:val="20"/>
              </w:rPr>
              <w:fldChar w:fldCharType="begin"/>
            </w:r>
            <w:r w:rsidRPr="005E385F">
              <w:rPr>
                <w:rFonts w:ascii="Verdana" w:hAnsi="Verdana"/>
                <w:sz w:val="20"/>
              </w:rPr>
              <w:instrText>xe "</w:instrText>
            </w:r>
            <w:r w:rsidRPr="005E385F">
              <w:rPr>
                <w:rFonts w:ascii="Verdana" w:hAnsi="Verdana"/>
                <w:bCs/>
                <w:sz w:val="20"/>
              </w:rPr>
              <w:instrText>CDROM</w:instrText>
            </w:r>
            <w:r w:rsidRPr="005E385F">
              <w:rPr>
                <w:rFonts w:ascii="Verdana" w:hAnsi="Verdana"/>
                <w:sz w:val="20"/>
              </w:rPr>
              <w:instrText>"</w:instrText>
            </w:r>
            <w:r w:rsidRPr="005E385F">
              <w:rPr>
                <w:rFonts w:ascii="Verdana" w:hAnsi="Verdana"/>
                <w:sz w:val="20"/>
              </w:rPr>
              <w:fldChar w:fldCharType="end"/>
            </w:r>
            <w:r w:rsidRPr="005E385F">
              <w:rPr>
                <w:rFonts w:ascii="Verdana" w:hAnsi="Verdana"/>
                <w:bCs/>
                <w:sz w:val="20"/>
              </w:rPr>
              <w:t xml:space="preserve"> media, and </w:t>
            </w:r>
            <w:hyperlink w:anchor="CartridgeMagneticTape" w:history="1">
              <w:r w:rsidRPr="005E385F">
                <w:rPr>
                  <w:rStyle w:val="Hyperlink"/>
                  <w:rFonts w:ascii="Verdana" w:hAnsi="Verdana"/>
                  <w:bCs/>
                  <w:sz w:val="20"/>
                </w:rPr>
                <w:t>cartridge magnetic tape</w:t>
              </w:r>
              <w:r w:rsidRPr="005E385F">
                <w:rPr>
                  <w:rFonts w:ascii="Verdana" w:hAnsi="Verdana"/>
                  <w:sz w:val="20"/>
                </w:rPr>
                <w:fldChar w:fldCharType="begin"/>
              </w:r>
              <w:r w:rsidRPr="005E385F">
                <w:rPr>
                  <w:rFonts w:ascii="Verdana" w:hAnsi="Verdana"/>
                  <w:sz w:val="20"/>
                </w:rPr>
                <w:instrText>xe "C</w:instrText>
              </w:r>
              <w:r w:rsidRPr="005E385F">
                <w:rPr>
                  <w:rStyle w:val="Hyperlink"/>
                  <w:rFonts w:ascii="Verdana" w:hAnsi="Verdana"/>
                  <w:bCs/>
                  <w:sz w:val="20"/>
                </w:rPr>
                <w:instrText>artridge Magnetic Tape</w:instrText>
              </w:r>
              <w:r w:rsidRPr="005E385F">
                <w:rPr>
                  <w:rFonts w:ascii="Verdana" w:hAnsi="Verdana"/>
                  <w:sz w:val="20"/>
                </w:rPr>
                <w:instrText>"</w:instrText>
              </w:r>
              <w:r w:rsidRPr="005E385F">
                <w:rPr>
                  <w:rFonts w:ascii="Verdana" w:hAnsi="Verdana"/>
                  <w:sz w:val="20"/>
                </w:rPr>
                <w:fldChar w:fldCharType="end"/>
              </w:r>
            </w:hyperlink>
          </w:p>
          <w:p w14:paraId="462A781B" w14:textId="77777777" w:rsidR="00F935B1" w:rsidRPr="005E385F" w:rsidRDefault="00F935B1" w:rsidP="00F935B1">
            <w:pPr>
              <w:pStyle w:val="NormalWeb"/>
              <w:numPr>
                <w:ilvl w:val="0"/>
                <w:numId w:val="24"/>
              </w:numPr>
              <w:spacing w:before="0" w:beforeAutospacing="0" w:after="0"/>
              <w:rPr>
                <w:rFonts w:ascii="Verdana" w:hAnsi="Verdana"/>
                <w:bCs/>
                <w:sz w:val="20"/>
              </w:rPr>
            </w:pPr>
            <w:r w:rsidRPr="005E385F">
              <w:rPr>
                <w:rFonts w:ascii="Verdana" w:hAnsi="Verdana"/>
                <w:sz w:val="20"/>
              </w:rPr>
              <w:t>Video Content Storage</w:t>
            </w:r>
          </w:p>
          <w:p w14:paraId="664E85BD" w14:textId="77777777" w:rsidR="00F935B1" w:rsidRPr="005E385F" w:rsidRDefault="00F935B1" w:rsidP="0083602C">
            <w:pPr>
              <w:pStyle w:val="NormalWeb"/>
              <w:spacing w:before="0" w:beforeAutospacing="0" w:after="0"/>
              <w:rPr>
                <w:rFonts w:ascii="Verdana" w:hAnsi="Verdana"/>
                <w:bCs/>
                <w:sz w:val="20"/>
                <w:u w:val="single"/>
              </w:rPr>
            </w:pPr>
          </w:p>
          <w:p w14:paraId="6D6D8D02" w14:textId="77777777" w:rsidR="00F935B1" w:rsidRPr="005E385F" w:rsidRDefault="00F935B1" w:rsidP="0083602C">
            <w:pPr>
              <w:pStyle w:val="NormalWeb"/>
              <w:spacing w:before="0" w:beforeAutospacing="0" w:after="0"/>
              <w:rPr>
                <w:rFonts w:ascii="Verdana" w:hAnsi="Verdana"/>
                <w:bCs/>
                <w:sz w:val="20"/>
              </w:rPr>
            </w:pPr>
            <w:r w:rsidRPr="005E385F">
              <w:rPr>
                <w:rFonts w:ascii="Verdana" w:hAnsi="Verdana"/>
                <w:bCs/>
                <w:sz w:val="20"/>
                <w:u w:val="single"/>
              </w:rPr>
              <w:t>Ineligible Data Protection Components</w:t>
            </w:r>
            <w:r w:rsidRPr="005E385F">
              <w:rPr>
                <w:rFonts w:ascii="Verdana" w:hAnsi="Verdana"/>
                <w:bCs/>
                <w:sz w:val="20"/>
              </w:rPr>
              <w:t>:</w:t>
            </w:r>
          </w:p>
          <w:p w14:paraId="1EC76E67" w14:textId="77777777" w:rsidR="00F935B1" w:rsidRPr="005E385F" w:rsidRDefault="00F935B1" w:rsidP="0083602C">
            <w:pPr>
              <w:pStyle w:val="NormalWeb"/>
              <w:spacing w:before="0" w:beforeAutospacing="0" w:after="0"/>
              <w:rPr>
                <w:rFonts w:ascii="Verdana" w:hAnsi="Verdana"/>
                <w:bCs/>
                <w:sz w:val="20"/>
              </w:rPr>
            </w:pPr>
          </w:p>
          <w:p w14:paraId="63E335D0" w14:textId="77777777" w:rsidR="00F935B1" w:rsidRPr="005E385F" w:rsidRDefault="00A0395D" w:rsidP="00F935B1">
            <w:pPr>
              <w:pStyle w:val="NormalWeb"/>
              <w:numPr>
                <w:ilvl w:val="0"/>
                <w:numId w:val="32"/>
              </w:numPr>
              <w:spacing w:before="0" w:beforeAutospacing="0" w:after="0"/>
              <w:rPr>
                <w:rFonts w:ascii="Verdana" w:hAnsi="Verdana"/>
                <w:bCs/>
                <w:sz w:val="20"/>
              </w:rPr>
            </w:pPr>
            <w:hyperlink w:anchor="IntrustionDetectionPrevention" w:history="1">
              <w:r w:rsidR="00F935B1" w:rsidRPr="005E385F">
                <w:rPr>
                  <w:rStyle w:val="Hyperlink"/>
                  <w:rFonts w:ascii="Verdana" w:hAnsi="Verdana"/>
                  <w:bCs/>
                  <w:sz w:val="20"/>
                </w:rPr>
                <w:t>Intrusion Detection/Intrusion Prevention</w:t>
              </w:r>
              <w:r w:rsidR="00F935B1" w:rsidRPr="005E385F">
                <w:rPr>
                  <w:rFonts w:ascii="Verdana" w:hAnsi="Verdana"/>
                  <w:sz w:val="20"/>
                </w:rPr>
                <w:fldChar w:fldCharType="begin"/>
              </w:r>
              <w:r w:rsidR="00F935B1" w:rsidRPr="005E385F">
                <w:rPr>
                  <w:rFonts w:ascii="Verdana" w:hAnsi="Verdana"/>
                  <w:sz w:val="20"/>
                </w:rPr>
                <w:instrText>xe "</w:instrText>
              </w:r>
              <w:r w:rsidR="00F935B1" w:rsidRPr="005E385F">
                <w:rPr>
                  <w:rStyle w:val="Hyperlink"/>
                  <w:rFonts w:ascii="Verdana" w:hAnsi="Verdana"/>
                  <w:bCs/>
                  <w:sz w:val="20"/>
                </w:rPr>
                <w:instrText>Intrusion Detection/Intrusion Prevention</w:instrText>
              </w:r>
              <w:r w:rsidR="00F935B1" w:rsidRPr="005E385F">
                <w:rPr>
                  <w:rFonts w:ascii="Verdana" w:hAnsi="Verdana"/>
                  <w:sz w:val="20"/>
                </w:rPr>
                <w:instrText>"</w:instrText>
              </w:r>
              <w:r w:rsidR="00F935B1" w:rsidRPr="005E385F">
                <w:rPr>
                  <w:rFonts w:ascii="Verdana" w:hAnsi="Verdana"/>
                  <w:sz w:val="20"/>
                </w:rPr>
                <w:fldChar w:fldCharType="end"/>
              </w:r>
            </w:hyperlink>
          </w:p>
          <w:p w14:paraId="1E9468F2" w14:textId="77777777" w:rsidR="00F935B1" w:rsidRPr="005E385F" w:rsidRDefault="00A0395D" w:rsidP="00F935B1">
            <w:pPr>
              <w:pStyle w:val="NormalWeb"/>
              <w:numPr>
                <w:ilvl w:val="0"/>
                <w:numId w:val="32"/>
              </w:numPr>
              <w:spacing w:before="0" w:beforeAutospacing="0" w:after="0"/>
              <w:rPr>
                <w:rFonts w:ascii="Verdana" w:hAnsi="Verdana"/>
                <w:bCs/>
                <w:sz w:val="20"/>
              </w:rPr>
            </w:pPr>
            <w:hyperlink w:anchor="ICOnlineBackupSolutionsdefinition" w:history="1">
              <w:r w:rsidR="00F935B1" w:rsidRPr="005E385F">
                <w:rPr>
                  <w:rStyle w:val="Hyperlink"/>
                  <w:rFonts w:ascii="Verdana" w:hAnsi="Verdana"/>
                  <w:bCs/>
                  <w:sz w:val="20"/>
                </w:rPr>
                <w:t>Online Backup Solutions</w:t>
              </w:r>
              <w:r w:rsidR="00F935B1" w:rsidRPr="005E385F">
                <w:rPr>
                  <w:rFonts w:ascii="Verdana" w:hAnsi="Verdana"/>
                  <w:sz w:val="20"/>
                </w:rPr>
                <w:fldChar w:fldCharType="begin"/>
              </w:r>
              <w:r w:rsidR="00F935B1" w:rsidRPr="005E385F">
                <w:rPr>
                  <w:rFonts w:ascii="Verdana" w:hAnsi="Verdana"/>
                  <w:sz w:val="20"/>
                </w:rPr>
                <w:instrText>xe "</w:instrText>
              </w:r>
              <w:r w:rsidR="00F935B1" w:rsidRPr="005E385F">
                <w:rPr>
                  <w:rStyle w:val="Hyperlink"/>
                  <w:rFonts w:ascii="Verdana" w:hAnsi="Verdana"/>
                  <w:bCs/>
                  <w:sz w:val="20"/>
                </w:rPr>
                <w:instrText>Online Backup Solutions</w:instrText>
              </w:r>
              <w:r w:rsidR="00F935B1" w:rsidRPr="005E385F">
                <w:rPr>
                  <w:rFonts w:ascii="Verdana" w:hAnsi="Verdana"/>
                  <w:sz w:val="20"/>
                </w:rPr>
                <w:instrText>"</w:instrText>
              </w:r>
              <w:r w:rsidR="00F935B1" w:rsidRPr="005E385F">
                <w:rPr>
                  <w:rFonts w:ascii="Verdana" w:hAnsi="Verdana"/>
                  <w:sz w:val="20"/>
                </w:rPr>
                <w:fldChar w:fldCharType="end"/>
              </w:r>
            </w:hyperlink>
            <w:r w:rsidR="00F935B1" w:rsidRPr="005E385F">
              <w:rPr>
                <w:rFonts w:ascii="Verdana" w:hAnsi="Verdana"/>
                <w:bCs/>
                <w:sz w:val="20"/>
              </w:rPr>
              <w:t xml:space="preserve"> </w:t>
            </w:r>
          </w:p>
          <w:p w14:paraId="3E8AD379" w14:textId="77777777" w:rsidR="00F935B1" w:rsidRPr="005E385F" w:rsidRDefault="00F935B1" w:rsidP="00F935B1">
            <w:pPr>
              <w:pStyle w:val="NormalWeb"/>
              <w:numPr>
                <w:ilvl w:val="0"/>
                <w:numId w:val="32"/>
              </w:numPr>
              <w:spacing w:before="0" w:beforeAutospacing="0" w:after="0"/>
              <w:rPr>
                <w:rFonts w:ascii="Verdana" w:hAnsi="Verdana"/>
                <w:bCs/>
                <w:sz w:val="20"/>
              </w:rPr>
            </w:pPr>
            <w:r w:rsidRPr="005E385F">
              <w:rPr>
                <w:rFonts w:ascii="Verdana" w:hAnsi="Verdana"/>
                <w:bCs/>
                <w:sz w:val="20"/>
              </w:rPr>
              <w:t>Tape backup</w:t>
            </w:r>
            <w:r w:rsidRPr="005E385F">
              <w:rPr>
                <w:rFonts w:ascii="Verdana" w:hAnsi="Verdana"/>
                <w:sz w:val="20"/>
              </w:rPr>
              <w:fldChar w:fldCharType="begin"/>
            </w:r>
            <w:r w:rsidRPr="005E385F">
              <w:rPr>
                <w:rFonts w:ascii="Verdana" w:hAnsi="Verdana"/>
                <w:sz w:val="20"/>
              </w:rPr>
              <w:instrText>xe "</w:instrText>
            </w:r>
            <w:r w:rsidRPr="005E385F">
              <w:rPr>
                <w:rFonts w:ascii="Verdana" w:hAnsi="Verdana"/>
                <w:bCs/>
                <w:sz w:val="20"/>
              </w:rPr>
              <w:instrText>Tape Backup</w:instrText>
            </w:r>
            <w:r w:rsidRPr="005E385F">
              <w:rPr>
                <w:rFonts w:ascii="Verdana" w:hAnsi="Verdana"/>
                <w:sz w:val="20"/>
              </w:rPr>
              <w:instrText>"</w:instrText>
            </w:r>
            <w:r w:rsidRPr="005E385F">
              <w:rPr>
                <w:rFonts w:ascii="Verdana" w:hAnsi="Verdana"/>
                <w:sz w:val="20"/>
              </w:rPr>
              <w:fldChar w:fldCharType="end"/>
            </w:r>
            <w:r w:rsidRPr="005E385F">
              <w:rPr>
                <w:rFonts w:ascii="Verdana" w:hAnsi="Verdana"/>
                <w:bCs/>
                <w:sz w:val="20"/>
              </w:rPr>
              <w:t xml:space="preserve"> cartridge units when part of a PC or workstation</w:t>
            </w:r>
          </w:p>
          <w:p w14:paraId="6EDF8E57" w14:textId="77777777" w:rsidR="00F935B1" w:rsidRPr="005E385F" w:rsidRDefault="00F935B1" w:rsidP="00F935B1">
            <w:pPr>
              <w:pStyle w:val="NormalWeb"/>
              <w:numPr>
                <w:ilvl w:val="0"/>
                <w:numId w:val="32"/>
              </w:numPr>
              <w:spacing w:before="0" w:beforeAutospacing="0" w:after="0"/>
              <w:rPr>
                <w:rFonts w:ascii="Verdana" w:hAnsi="Verdana"/>
                <w:bCs/>
                <w:sz w:val="20"/>
              </w:rPr>
            </w:pPr>
            <w:r w:rsidRPr="005E385F">
              <w:rPr>
                <w:rFonts w:ascii="Verdana" w:hAnsi="Verdana"/>
                <w:bCs/>
                <w:sz w:val="20"/>
              </w:rPr>
              <w:t>Cost of purchasing additional or separate tapes</w:t>
            </w:r>
          </w:p>
          <w:p w14:paraId="11648117" w14:textId="77777777" w:rsidR="00F935B1" w:rsidRPr="005E385F" w:rsidRDefault="00F935B1" w:rsidP="0083602C">
            <w:pPr>
              <w:pStyle w:val="NormalWeb"/>
              <w:spacing w:before="0" w:beforeAutospacing="0" w:after="0"/>
              <w:rPr>
                <w:rFonts w:ascii="Verdana" w:hAnsi="Verdana"/>
                <w:bCs/>
                <w:sz w:val="20"/>
              </w:rPr>
            </w:pPr>
          </w:p>
          <w:p w14:paraId="57B90EF8" w14:textId="77777777" w:rsidR="00F935B1" w:rsidRPr="005E385F" w:rsidRDefault="00F935B1" w:rsidP="0083602C">
            <w:pPr>
              <w:pStyle w:val="NormalWeb"/>
              <w:spacing w:before="0" w:beforeAutospacing="0" w:after="0"/>
              <w:rPr>
                <w:rFonts w:ascii="Verdana" w:hAnsi="Verdana"/>
                <w:bCs/>
                <w:sz w:val="20"/>
                <w:u w:val="single"/>
              </w:rPr>
            </w:pPr>
            <w:r w:rsidRPr="005E385F">
              <w:rPr>
                <w:rFonts w:ascii="Verdana" w:hAnsi="Verdana"/>
                <w:bCs/>
                <w:sz w:val="20"/>
                <w:u w:val="single"/>
              </w:rPr>
              <w:t>Ineligible Interfaces, Gateways, Antennas:</w:t>
            </w:r>
          </w:p>
          <w:p w14:paraId="71802219" w14:textId="77777777" w:rsidR="00F935B1" w:rsidRPr="005E385F" w:rsidRDefault="00F935B1" w:rsidP="0083602C">
            <w:pPr>
              <w:pStyle w:val="NormalWeb"/>
              <w:spacing w:before="0" w:beforeAutospacing="0" w:after="0"/>
              <w:rPr>
                <w:rFonts w:ascii="Verdana" w:hAnsi="Verdana"/>
                <w:bCs/>
                <w:sz w:val="20"/>
                <w:u w:val="single"/>
              </w:rPr>
            </w:pPr>
          </w:p>
          <w:p w14:paraId="5BA90966" w14:textId="77777777" w:rsidR="00F935B1" w:rsidRPr="005E385F" w:rsidRDefault="00F935B1" w:rsidP="0083602C">
            <w:pPr>
              <w:pStyle w:val="NormalWeb"/>
              <w:spacing w:before="0" w:beforeAutospacing="0" w:after="0"/>
              <w:rPr>
                <w:rFonts w:ascii="Verdana" w:hAnsi="Verdana"/>
                <w:bCs/>
                <w:sz w:val="20"/>
                <w:u w:val="single"/>
              </w:rPr>
            </w:pPr>
            <w:r w:rsidRPr="005E385F">
              <w:rPr>
                <w:rFonts w:ascii="Verdana" w:hAnsi="Verdana"/>
                <w:bCs/>
                <w:sz w:val="20"/>
              </w:rPr>
              <w:t>Antennas</w:t>
            </w:r>
            <w:r w:rsidRPr="005E385F">
              <w:rPr>
                <w:rFonts w:ascii="Verdana" w:hAnsi="Verdana"/>
                <w:sz w:val="20"/>
              </w:rPr>
              <w:fldChar w:fldCharType="begin"/>
            </w:r>
            <w:r w:rsidRPr="005E385F">
              <w:rPr>
                <w:rFonts w:ascii="Verdana" w:hAnsi="Verdana"/>
                <w:sz w:val="20"/>
              </w:rPr>
              <w:instrText>xe "</w:instrText>
            </w:r>
            <w:r w:rsidRPr="005E385F">
              <w:rPr>
                <w:rStyle w:val="Hyperlink"/>
                <w:rFonts w:ascii="Verdana" w:hAnsi="Verdana"/>
                <w:bCs/>
                <w:sz w:val="20"/>
              </w:rPr>
              <w:instrText>Antennas</w:instrText>
            </w:r>
            <w:r w:rsidRPr="005E385F">
              <w:rPr>
                <w:rFonts w:ascii="Verdana" w:hAnsi="Verdana"/>
                <w:sz w:val="20"/>
              </w:rPr>
              <w:instrText>"</w:instrText>
            </w:r>
            <w:r w:rsidRPr="005E385F">
              <w:rPr>
                <w:rFonts w:ascii="Verdana" w:hAnsi="Verdana"/>
                <w:sz w:val="20"/>
              </w:rPr>
              <w:fldChar w:fldCharType="end"/>
            </w:r>
            <w:r w:rsidRPr="005E385F">
              <w:rPr>
                <w:rFonts w:ascii="Verdana" w:hAnsi="Verdana"/>
                <w:bCs/>
                <w:sz w:val="20"/>
              </w:rPr>
              <w:t xml:space="preserve"> and other components</w:t>
            </w:r>
            <w:r w:rsidRPr="005E385F">
              <w:rPr>
                <w:rFonts w:ascii="Verdana" w:hAnsi="Verdana"/>
                <w:sz w:val="20"/>
              </w:rPr>
              <w:fldChar w:fldCharType="begin"/>
            </w:r>
            <w:r w:rsidRPr="005E385F">
              <w:rPr>
                <w:rFonts w:ascii="Verdana" w:hAnsi="Verdana"/>
                <w:sz w:val="20"/>
              </w:rPr>
              <w:instrText>xe "Component</w:instrText>
            </w:r>
            <w:r w:rsidRPr="005E385F">
              <w:rPr>
                <w:rFonts w:ascii="Verdana" w:hAnsi="Verdana"/>
                <w:bCs/>
                <w:sz w:val="20"/>
              </w:rPr>
              <w:instrText>s</w:instrText>
            </w:r>
            <w:r w:rsidRPr="005E385F">
              <w:rPr>
                <w:rFonts w:ascii="Verdana" w:hAnsi="Verdana"/>
                <w:sz w:val="20"/>
              </w:rPr>
              <w:instrText>"</w:instrText>
            </w:r>
            <w:r w:rsidRPr="005E385F">
              <w:rPr>
                <w:rFonts w:ascii="Verdana" w:hAnsi="Verdana"/>
                <w:sz w:val="20"/>
              </w:rPr>
              <w:fldChar w:fldCharType="end"/>
            </w:r>
            <w:r w:rsidRPr="005E385F">
              <w:rPr>
                <w:rFonts w:ascii="Verdana" w:hAnsi="Verdana"/>
                <w:bCs/>
                <w:sz w:val="20"/>
              </w:rPr>
              <w:t xml:space="preserve"> used for the receipt of over-the-air radio</w:t>
            </w:r>
            <w:r w:rsidRPr="005E385F">
              <w:rPr>
                <w:rFonts w:ascii="Verdana" w:hAnsi="Verdana"/>
                <w:sz w:val="20"/>
              </w:rPr>
              <w:fldChar w:fldCharType="begin"/>
            </w:r>
            <w:r w:rsidRPr="005E385F">
              <w:rPr>
                <w:rFonts w:ascii="Verdana" w:hAnsi="Verdana"/>
                <w:sz w:val="20"/>
              </w:rPr>
              <w:instrText>xe "</w:instrText>
            </w:r>
            <w:r w:rsidRPr="005E385F">
              <w:rPr>
                <w:rFonts w:ascii="Verdana" w:hAnsi="Verdana"/>
                <w:bCs/>
                <w:sz w:val="20"/>
              </w:rPr>
              <w:instrText>Radio</w:instrText>
            </w:r>
            <w:r w:rsidRPr="005E385F">
              <w:rPr>
                <w:rFonts w:ascii="Verdana" w:hAnsi="Verdana"/>
                <w:sz w:val="20"/>
              </w:rPr>
              <w:instrText>"</w:instrText>
            </w:r>
            <w:r w:rsidRPr="005E385F">
              <w:rPr>
                <w:rFonts w:ascii="Verdana" w:hAnsi="Verdana"/>
                <w:sz w:val="20"/>
              </w:rPr>
              <w:fldChar w:fldCharType="end"/>
            </w:r>
            <w:r w:rsidRPr="005E385F">
              <w:rPr>
                <w:rFonts w:ascii="Verdana" w:hAnsi="Verdana"/>
                <w:bCs/>
                <w:sz w:val="20"/>
              </w:rPr>
              <w:t xml:space="preserve"> and television</w:t>
            </w:r>
            <w:r w:rsidRPr="005E385F">
              <w:rPr>
                <w:rFonts w:ascii="Verdana" w:hAnsi="Verdana"/>
                <w:sz w:val="20"/>
              </w:rPr>
              <w:fldChar w:fldCharType="begin"/>
            </w:r>
            <w:r w:rsidRPr="005E385F">
              <w:rPr>
                <w:rFonts w:ascii="Verdana" w:hAnsi="Verdana"/>
                <w:sz w:val="20"/>
              </w:rPr>
              <w:instrText>xe "T</w:instrText>
            </w:r>
            <w:r w:rsidRPr="005E385F">
              <w:rPr>
                <w:rFonts w:ascii="Verdana" w:hAnsi="Verdana"/>
                <w:bCs/>
                <w:sz w:val="20"/>
              </w:rPr>
              <w:instrText>elevision</w:instrText>
            </w:r>
            <w:r w:rsidRPr="005E385F">
              <w:rPr>
                <w:rFonts w:ascii="Verdana" w:hAnsi="Verdana"/>
                <w:sz w:val="20"/>
              </w:rPr>
              <w:instrText>"</w:instrText>
            </w:r>
            <w:r w:rsidRPr="005E385F">
              <w:rPr>
                <w:rFonts w:ascii="Verdana" w:hAnsi="Verdana"/>
                <w:sz w:val="20"/>
              </w:rPr>
              <w:fldChar w:fldCharType="end"/>
            </w:r>
            <w:r w:rsidRPr="005E385F">
              <w:rPr>
                <w:rFonts w:ascii="Verdana" w:hAnsi="Verdana"/>
                <w:bCs/>
                <w:sz w:val="20"/>
              </w:rPr>
              <w:t xml:space="preserve"> broadcast signals or for radio signals from cable</w:t>
            </w:r>
            <w:r w:rsidRPr="005E385F">
              <w:rPr>
                <w:rFonts w:ascii="Verdana" w:hAnsi="Verdana"/>
                <w:sz w:val="20"/>
              </w:rPr>
              <w:fldChar w:fldCharType="begin"/>
            </w:r>
            <w:r w:rsidRPr="005E385F">
              <w:rPr>
                <w:rFonts w:ascii="Verdana" w:hAnsi="Verdana"/>
                <w:sz w:val="20"/>
              </w:rPr>
              <w:instrText>xe "C</w:instrText>
            </w:r>
            <w:r w:rsidRPr="005E385F">
              <w:rPr>
                <w:rFonts w:ascii="Verdana" w:hAnsi="Verdana"/>
                <w:bCs/>
                <w:sz w:val="20"/>
              </w:rPr>
              <w:instrText>able Television</w:instrText>
            </w:r>
            <w:r w:rsidRPr="005E385F">
              <w:rPr>
                <w:rFonts w:ascii="Verdana" w:hAnsi="Verdana"/>
                <w:sz w:val="20"/>
              </w:rPr>
              <w:instrText>"</w:instrText>
            </w:r>
            <w:r w:rsidRPr="005E385F">
              <w:rPr>
                <w:rFonts w:ascii="Verdana" w:hAnsi="Verdana"/>
                <w:sz w:val="20"/>
              </w:rPr>
              <w:fldChar w:fldCharType="end"/>
            </w:r>
            <w:r w:rsidRPr="005E385F">
              <w:rPr>
                <w:rFonts w:ascii="Verdana" w:hAnsi="Verdana"/>
                <w:bCs/>
                <w:sz w:val="20"/>
              </w:rPr>
              <w:t xml:space="preserve"> television operators. </w:t>
            </w:r>
          </w:p>
          <w:p w14:paraId="7EDA72AE" w14:textId="77777777" w:rsidR="00F935B1" w:rsidRPr="005E385F" w:rsidRDefault="00F935B1" w:rsidP="0083602C">
            <w:pPr>
              <w:pStyle w:val="NormalWeb"/>
              <w:spacing w:before="0" w:beforeAutospacing="0" w:after="0"/>
              <w:rPr>
                <w:rFonts w:ascii="Verdana" w:hAnsi="Verdana"/>
                <w:bCs/>
                <w:sz w:val="20"/>
              </w:rPr>
            </w:pPr>
          </w:p>
          <w:p w14:paraId="1D6E7B3E" w14:textId="77777777" w:rsidR="00F935B1" w:rsidRPr="005E385F" w:rsidRDefault="00F935B1" w:rsidP="0083602C">
            <w:pPr>
              <w:pStyle w:val="NormalWeb"/>
              <w:spacing w:before="0" w:beforeAutospacing="0" w:after="0"/>
              <w:rPr>
                <w:rFonts w:ascii="Verdana" w:hAnsi="Verdana"/>
                <w:bCs/>
                <w:sz w:val="20"/>
              </w:rPr>
            </w:pPr>
            <w:r w:rsidRPr="005E385F">
              <w:rPr>
                <w:rFonts w:ascii="Verdana" w:hAnsi="Verdana"/>
                <w:bCs/>
                <w:sz w:val="20"/>
                <w:u w:val="single"/>
              </w:rPr>
              <w:t>Ineligible Telephone Components</w:t>
            </w:r>
            <w:r w:rsidRPr="005E385F">
              <w:rPr>
                <w:rFonts w:ascii="Verdana" w:hAnsi="Verdana"/>
                <w:bCs/>
                <w:sz w:val="20"/>
              </w:rPr>
              <w:t>:</w:t>
            </w:r>
          </w:p>
          <w:p w14:paraId="327AC0EE" w14:textId="77777777" w:rsidR="00F935B1" w:rsidRPr="005E385F" w:rsidRDefault="00F935B1" w:rsidP="0083602C">
            <w:pPr>
              <w:pStyle w:val="NormalWeb"/>
              <w:spacing w:before="0" w:beforeAutospacing="0" w:after="0"/>
              <w:rPr>
                <w:rFonts w:ascii="Verdana" w:hAnsi="Verdana"/>
                <w:bCs/>
                <w:sz w:val="20"/>
              </w:rPr>
            </w:pPr>
          </w:p>
          <w:p w14:paraId="2A484846" w14:textId="77777777" w:rsidR="00F935B1" w:rsidRPr="005E385F" w:rsidRDefault="00A0395D" w:rsidP="00F935B1">
            <w:pPr>
              <w:pStyle w:val="NormalWeb"/>
              <w:numPr>
                <w:ilvl w:val="0"/>
                <w:numId w:val="24"/>
              </w:numPr>
              <w:spacing w:before="0" w:beforeAutospacing="0" w:after="0"/>
              <w:rPr>
                <w:rFonts w:ascii="Verdana" w:hAnsi="Verdana"/>
                <w:bCs/>
                <w:sz w:val="20"/>
              </w:rPr>
            </w:pPr>
            <w:hyperlink w:anchor="ACD" w:history="1">
              <w:r w:rsidR="00F935B1" w:rsidRPr="005E385F">
                <w:rPr>
                  <w:rStyle w:val="Hyperlink"/>
                  <w:rFonts w:ascii="Verdana" w:hAnsi="Verdana"/>
                  <w:bCs/>
                  <w:sz w:val="20"/>
                </w:rPr>
                <w:t>Automatic Call Distribution System (ACD)</w:t>
              </w:r>
              <w:r w:rsidR="00F935B1" w:rsidRPr="005E385F">
                <w:rPr>
                  <w:rFonts w:ascii="Verdana" w:hAnsi="Verdana"/>
                  <w:sz w:val="20"/>
                </w:rPr>
                <w:fldChar w:fldCharType="begin"/>
              </w:r>
              <w:r w:rsidR="00F935B1" w:rsidRPr="005E385F">
                <w:rPr>
                  <w:rFonts w:ascii="Verdana" w:hAnsi="Verdana"/>
                  <w:sz w:val="20"/>
                </w:rPr>
                <w:instrText>xe "</w:instrText>
              </w:r>
              <w:r w:rsidR="00F935B1" w:rsidRPr="005E385F">
                <w:rPr>
                  <w:rStyle w:val="Hyperlink"/>
                  <w:rFonts w:ascii="Verdana" w:hAnsi="Verdana"/>
                  <w:bCs/>
                  <w:sz w:val="20"/>
                </w:rPr>
                <w:instrText>Automatic Call Distribution System</w:instrText>
              </w:r>
              <w:r w:rsidR="00F935B1" w:rsidRPr="005E385F">
                <w:rPr>
                  <w:rFonts w:ascii="Verdana" w:hAnsi="Verdana"/>
                  <w:sz w:val="20"/>
                </w:rPr>
                <w:instrText>"</w:instrText>
              </w:r>
              <w:r w:rsidR="00F935B1" w:rsidRPr="005E385F">
                <w:rPr>
                  <w:rFonts w:ascii="Verdana" w:hAnsi="Verdana"/>
                  <w:sz w:val="20"/>
                </w:rPr>
                <w:fldChar w:fldCharType="end"/>
              </w:r>
            </w:hyperlink>
          </w:p>
          <w:p w14:paraId="320968CB" w14:textId="77777777" w:rsidR="00F935B1" w:rsidRPr="005E385F" w:rsidRDefault="00A0395D" w:rsidP="00F935B1">
            <w:pPr>
              <w:pStyle w:val="NormalWeb"/>
              <w:numPr>
                <w:ilvl w:val="0"/>
                <w:numId w:val="22"/>
              </w:numPr>
              <w:spacing w:before="0" w:beforeAutospacing="0" w:after="0"/>
              <w:rPr>
                <w:rFonts w:ascii="Verdana" w:hAnsi="Verdana"/>
                <w:bCs/>
                <w:i/>
                <w:sz w:val="20"/>
              </w:rPr>
            </w:pPr>
            <w:hyperlink w:anchor="CallAccountingSystem" w:history="1">
              <w:r w:rsidR="00F935B1" w:rsidRPr="005E385F">
                <w:rPr>
                  <w:rStyle w:val="Hyperlink"/>
                  <w:rFonts w:ascii="Verdana" w:hAnsi="Verdana"/>
                  <w:bCs/>
                  <w:sz w:val="20"/>
                </w:rPr>
                <w:t>Call Accounting System</w:t>
              </w:r>
              <w:r w:rsidR="00F935B1" w:rsidRPr="005E385F">
                <w:rPr>
                  <w:rFonts w:ascii="Verdana" w:hAnsi="Verdana"/>
                  <w:sz w:val="20"/>
                </w:rPr>
                <w:fldChar w:fldCharType="begin"/>
              </w:r>
              <w:r w:rsidR="00F935B1" w:rsidRPr="005E385F">
                <w:rPr>
                  <w:rFonts w:ascii="Verdana" w:hAnsi="Verdana"/>
                  <w:sz w:val="20"/>
                </w:rPr>
                <w:instrText>xe "</w:instrText>
              </w:r>
              <w:r w:rsidR="00F935B1" w:rsidRPr="005E385F">
                <w:rPr>
                  <w:rStyle w:val="Hyperlink"/>
                  <w:rFonts w:ascii="Verdana" w:hAnsi="Verdana"/>
                  <w:bCs/>
                  <w:sz w:val="20"/>
                </w:rPr>
                <w:instrText>Call Accounting System</w:instrText>
              </w:r>
              <w:r w:rsidR="00F935B1" w:rsidRPr="005E385F">
                <w:rPr>
                  <w:rFonts w:ascii="Verdana" w:hAnsi="Verdana"/>
                  <w:sz w:val="20"/>
                </w:rPr>
                <w:instrText>"</w:instrText>
              </w:r>
              <w:r w:rsidR="00F935B1" w:rsidRPr="005E385F">
                <w:rPr>
                  <w:rFonts w:ascii="Verdana" w:hAnsi="Verdana"/>
                  <w:sz w:val="20"/>
                </w:rPr>
                <w:fldChar w:fldCharType="end"/>
              </w:r>
            </w:hyperlink>
          </w:p>
          <w:p w14:paraId="2E05F28A" w14:textId="77777777" w:rsidR="00F935B1" w:rsidRPr="005E385F" w:rsidRDefault="00A0395D" w:rsidP="00F935B1">
            <w:pPr>
              <w:pStyle w:val="NormalWeb"/>
              <w:numPr>
                <w:ilvl w:val="0"/>
                <w:numId w:val="22"/>
              </w:numPr>
              <w:spacing w:before="0" w:beforeAutospacing="0" w:after="0"/>
              <w:rPr>
                <w:rFonts w:ascii="Verdana" w:hAnsi="Verdana"/>
                <w:bCs/>
                <w:sz w:val="20"/>
              </w:rPr>
            </w:pPr>
            <w:hyperlink w:anchor="CallSequencer" w:history="1">
              <w:r w:rsidR="00F935B1" w:rsidRPr="005E385F">
                <w:rPr>
                  <w:rStyle w:val="Hyperlink"/>
                  <w:rFonts w:ascii="Verdana" w:hAnsi="Verdana"/>
                  <w:bCs/>
                  <w:sz w:val="20"/>
                </w:rPr>
                <w:t>Call Sequencer</w:t>
              </w:r>
              <w:r w:rsidR="00F935B1" w:rsidRPr="005E385F">
                <w:rPr>
                  <w:rFonts w:ascii="Verdana" w:hAnsi="Verdana"/>
                  <w:sz w:val="20"/>
                </w:rPr>
                <w:fldChar w:fldCharType="begin"/>
              </w:r>
              <w:r w:rsidR="00F935B1" w:rsidRPr="005E385F">
                <w:rPr>
                  <w:rFonts w:ascii="Verdana" w:hAnsi="Verdana"/>
                  <w:sz w:val="20"/>
                </w:rPr>
                <w:instrText>xe "</w:instrText>
              </w:r>
              <w:r w:rsidR="00F935B1" w:rsidRPr="005E385F">
                <w:rPr>
                  <w:rStyle w:val="Hyperlink"/>
                  <w:rFonts w:ascii="Verdana" w:hAnsi="Verdana"/>
                  <w:bCs/>
                  <w:sz w:val="20"/>
                </w:rPr>
                <w:instrText>Call Sequencer</w:instrText>
              </w:r>
              <w:r w:rsidR="00F935B1" w:rsidRPr="005E385F">
                <w:rPr>
                  <w:rFonts w:ascii="Verdana" w:hAnsi="Verdana"/>
                  <w:sz w:val="20"/>
                </w:rPr>
                <w:instrText>"</w:instrText>
              </w:r>
              <w:r w:rsidR="00F935B1" w:rsidRPr="005E385F">
                <w:rPr>
                  <w:rFonts w:ascii="Verdana" w:hAnsi="Verdana"/>
                  <w:sz w:val="20"/>
                </w:rPr>
                <w:fldChar w:fldCharType="end"/>
              </w:r>
            </w:hyperlink>
          </w:p>
          <w:p w14:paraId="353653DA" w14:textId="77777777" w:rsidR="00F935B1" w:rsidRPr="005E385F" w:rsidRDefault="00A0395D" w:rsidP="00F935B1">
            <w:pPr>
              <w:pStyle w:val="NormalWeb"/>
              <w:numPr>
                <w:ilvl w:val="0"/>
                <w:numId w:val="22"/>
              </w:numPr>
              <w:spacing w:before="0" w:beforeAutospacing="0" w:after="0"/>
              <w:rPr>
                <w:rFonts w:ascii="Verdana" w:hAnsi="Verdana"/>
                <w:bCs/>
                <w:sz w:val="20"/>
              </w:rPr>
            </w:pPr>
            <w:hyperlink w:anchor="HomeworkHotlineEquipment" w:history="1">
              <w:r w:rsidR="00F935B1" w:rsidRPr="005E385F">
                <w:rPr>
                  <w:rStyle w:val="Hyperlink"/>
                  <w:rFonts w:ascii="Verdana" w:hAnsi="Verdana"/>
                  <w:bCs/>
                  <w:sz w:val="20"/>
                </w:rPr>
                <w:t>Homework Hotline</w:t>
              </w:r>
              <w:r w:rsidR="00F935B1" w:rsidRPr="005E385F">
                <w:rPr>
                  <w:rFonts w:ascii="Verdana" w:hAnsi="Verdana"/>
                  <w:sz w:val="20"/>
                </w:rPr>
                <w:fldChar w:fldCharType="begin"/>
              </w:r>
              <w:r w:rsidR="00F935B1" w:rsidRPr="005E385F">
                <w:rPr>
                  <w:rFonts w:ascii="Verdana" w:hAnsi="Verdana"/>
                  <w:sz w:val="20"/>
                </w:rPr>
                <w:instrText>xe "Homework Hotline Service"</w:instrText>
              </w:r>
              <w:r w:rsidR="00F935B1" w:rsidRPr="005E385F">
                <w:rPr>
                  <w:rFonts w:ascii="Verdana" w:hAnsi="Verdana"/>
                  <w:sz w:val="20"/>
                </w:rPr>
                <w:fldChar w:fldCharType="end"/>
              </w:r>
            </w:hyperlink>
          </w:p>
          <w:p w14:paraId="003BA31F" w14:textId="77777777" w:rsidR="00F935B1" w:rsidRPr="005E385F" w:rsidRDefault="00A0395D" w:rsidP="00F935B1">
            <w:pPr>
              <w:pStyle w:val="NormalWeb"/>
              <w:numPr>
                <w:ilvl w:val="0"/>
                <w:numId w:val="22"/>
              </w:numPr>
              <w:spacing w:before="0" w:beforeAutospacing="0" w:after="0"/>
              <w:rPr>
                <w:rFonts w:ascii="Verdana" w:hAnsi="Verdana"/>
                <w:bCs/>
                <w:sz w:val="20"/>
              </w:rPr>
            </w:pPr>
            <w:hyperlink w:anchor="StationMessageDetailRecording" w:history="1">
              <w:r w:rsidR="00F935B1" w:rsidRPr="005E385F">
                <w:rPr>
                  <w:rStyle w:val="Hyperlink"/>
                  <w:rFonts w:ascii="Verdana" w:hAnsi="Verdana"/>
                  <w:bCs/>
                  <w:sz w:val="20"/>
                </w:rPr>
                <w:t>Station Message Detail Recording (SMDR)</w:t>
              </w:r>
            </w:hyperlink>
          </w:p>
          <w:p w14:paraId="0AED9656" w14:textId="77777777" w:rsidR="00F935B1" w:rsidRPr="005E385F" w:rsidRDefault="00F935B1" w:rsidP="00F935B1">
            <w:pPr>
              <w:pStyle w:val="NormalWeb"/>
              <w:numPr>
                <w:ilvl w:val="0"/>
                <w:numId w:val="22"/>
              </w:numPr>
              <w:spacing w:before="0" w:beforeAutospacing="0" w:after="0"/>
              <w:rPr>
                <w:rFonts w:ascii="Verdana" w:hAnsi="Verdana"/>
                <w:bCs/>
                <w:sz w:val="20"/>
              </w:rPr>
            </w:pPr>
            <w:r w:rsidRPr="005E385F">
              <w:rPr>
                <w:rFonts w:ascii="Verdana" w:hAnsi="Verdana"/>
                <w:bCs/>
                <w:sz w:val="20"/>
              </w:rPr>
              <w:t xml:space="preserve">An </w:t>
            </w:r>
            <w:hyperlink w:anchor="Intercom" w:history="1">
              <w:r w:rsidRPr="005E385F">
                <w:rPr>
                  <w:rStyle w:val="Hyperlink"/>
                  <w:rFonts w:ascii="Verdana" w:hAnsi="Verdana"/>
                  <w:bCs/>
                  <w:sz w:val="20"/>
                </w:rPr>
                <w:t>intercom</w:t>
              </w:r>
              <w:r w:rsidRPr="005E385F">
                <w:rPr>
                  <w:rFonts w:ascii="Verdana" w:hAnsi="Verdana"/>
                  <w:sz w:val="20"/>
                </w:rPr>
                <w:fldChar w:fldCharType="begin"/>
              </w:r>
              <w:r w:rsidRPr="005E385F">
                <w:rPr>
                  <w:rFonts w:ascii="Verdana" w:hAnsi="Verdana"/>
                  <w:sz w:val="20"/>
                </w:rPr>
                <w:instrText>xe "I</w:instrText>
              </w:r>
              <w:r w:rsidRPr="005E385F">
                <w:rPr>
                  <w:rStyle w:val="Hyperlink"/>
                  <w:rFonts w:ascii="Verdana" w:hAnsi="Verdana"/>
                  <w:bCs/>
                  <w:sz w:val="20"/>
                </w:rPr>
                <w:instrText>ntercom</w:instrText>
              </w:r>
              <w:r w:rsidRPr="005E385F">
                <w:rPr>
                  <w:rFonts w:ascii="Verdana" w:hAnsi="Verdana"/>
                  <w:sz w:val="20"/>
                </w:rPr>
                <w:instrText>"</w:instrText>
              </w:r>
              <w:r w:rsidRPr="005E385F">
                <w:rPr>
                  <w:rFonts w:ascii="Verdana" w:hAnsi="Verdana"/>
                  <w:sz w:val="20"/>
                </w:rPr>
                <w:fldChar w:fldCharType="end"/>
              </w:r>
            </w:hyperlink>
            <w:r w:rsidRPr="005E385F">
              <w:rPr>
                <w:rFonts w:ascii="Verdana" w:hAnsi="Verdana"/>
                <w:bCs/>
                <w:sz w:val="20"/>
              </w:rPr>
              <w:t xml:space="preserve"> or </w:t>
            </w:r>
            <w:hyperlink w:anchor="PublicAddressSystem" w:history="1">
              <w:r w:rsidRPr="005E385F">
                <w:rPr>
                  <w:rStyle w:val="Hyperlink"/>
                  <w:rFonts w:ascii="Verdana" w:hAnsi="Verdana"/>
                  <w:bCs/>
                  <w:sz w:val="20"/>
                </w:rPr>
                <w:t>public address</w:t>
              </w:r>
            </w:hyperlink>
            <w:r w:rsidRPr="005E385F">
              <w:rPr>
                <w:rFonts w:ascii="Verdana" w:hAnsi="Verdana"/>
                <w:bCs/>
                <w:sz w:val="20"/>
              </w:rPr>
              <w:t xml:space="preserve"> system</w:t>
            </w:r>
            <w:r w:rsidRPr="005E385F">
              <w:rPr>
                <w:rFonts w:ascii="Verdana" w:hAnsi="Verdana"/>
                <w:sz w:val="20"/>
              </w:rPr>
              <w:fldChar w:fldCharType="begin"/>
            </w:r>
            <w:r w:rsidRPr="005E385F">
              <w:rPr>
                <w:rFonts w:ascii="Verdana" w:hAnsi="Verdana"/>
                <w:sz w:val="20"/>
              </w:rPr>
              <w:instrText>xe "</w:instrText>
            </w:r>
            <w:r w:rsidRPr="005E385F">
              <w:rPr>
                <w:rFonts w:ascii="Verdana" w:hAnsi="Verdana"/>
                <w:bCs/>
                <w:sz w:val="20"/>
              </w:rPr>
              <w:instrText>Public Address System</w:instrText>
            </w:r>
            <w:r w:rsidRPr="005E385F">
              <w:rPr>
                <w:rFonts w:ascii="Verdana" w:hAnsi="Verdana"/>
                <w:sz w:val="20"/>
              </w:rPr>
              <w:instrText>"</w:instrText>
            </w:r>
            <w:r w:rsidRPr="005E385F">
              <w:rPr>
                <w:rFonts w:ascii="Verdana" w:hAnsi="Verdana"/>
                <w:sz w:val="20"/>
              </w:rPr>
              <w:fldChar w:fldCharType="end"/>
            </w:r>
            <w:r w:rsidRPr="005E385F">
              <w:rPr>
                <w:rFonts w:ascii="Verdana" w:hAnsi="Verdana"/>
                <w:bCs/>
                <w:sz w:val="20"/>
              </w:rPr>
              <w:t xml:space="preserve"> </w:t>
            </w:r>
          </w:p>
          <w:p w14:paraId="57AD0BF4" w14:textId="77777777" w:rsidR="00F935B1" w:rsidRPr="005E385F" w:rsidRDefault="00F935B1" w:rsidP="0083602C">
            <w:pPr>
              <w:pStyle w:val="NormalWeb"/>
              <w:spacing w:before="0" w:beforeAutospacing="0" w:after="0"/>
              <w:ind w:left="360"/>
              <w:rPr>
                <w:rFonts w:ascii="Verdana" w:hAnsi="Verdana"/>
                <w:bCs/>
                <w:sz w:val="20"/>
              </w:rPr>
            </w:pPr>
          </w:p>
          <w:p w14:paraId="24B06607" w14:textId="77777777" w:rsidR="00F935B1" w:rsidRPr="005E385F" w:rsidRDefault="00F935B1" w:rsidP="0083602C">
            <w:pPr>
              <w:pStyle w:val="NormalWeb"/>
              <w:spacing w:before="0" w:beforeAutospacing="0" w:after="0"/>
              <w:rPr>
                <w:rFonts w:ascii="Verdana" w:hAnsi="Verdana"/>
                <w:bCs/>
                <w:sz w:val="20"/>
              </w:rPr>
            </w:pPr>
          </w:p>
          <w:p w14:paraId="1E46CF4B" w14:textId="77777777" w:rsidR="00F935B1" w:rsidRPr="005E385F" w:rsidRDefault="00F935B1" w:rsidP="0083602C">
            <w:pPr>
              <w:pStyle w:val="NormalWeb"/>
              <w:spacing w:before="0" w:beforeAutospacing="0" w:after="0"/>
              <w:rPr>
                <w:rFonts w:ascii="Verdana" w:hAnsi="Verdana"/>
                <w:bCs/>
                <w:sz w:val="20"/>
              </w:rPr>
            </w:pPr>
            <w:r w:rsidRPr="005E385F">
              <w:rPr>
                <w:rFonts w:ascii="Verdana" w:hAnsi="Verdana"/>
                <w:bCs/>
                <w:sz w:val="20"/>
                <w:u w:val="single"/>
              </w:rPr>
              <w:lastRenderedPageBreak/>
              <w:t>Ineligible End-user Equipment</w:t>
            </w:r>
            <w:r w:rsidRPr="005E385F">
              <w:rPr>
                <w:rFonts w:ascii="Verdana" w:hAnsi="Verdana"/>
                <w:sz w:val="20"/>
              </w:rPr>
              <w:fldChar w:fldCharType="begin"/>
            </w:r>
            <w:r w:rsidRPr="005E385F">
              <w:rPr>
                <w:rFonts w:ascii="Verdana" w:hAnsi="Verdana"/>
                <w:sz w:val="20"/>
              </w:rPr>
              <w:instrText>xe "</w:instrText>
            </w:r>
            <w:r w:rsidRPr="005E385F">
              <w:rPr>
                <w:rFonts w:ascii="Verdana" w:hAnsi="Verdana"/>
                <w:bCs/>
                <w:sz w:val="20"/>
                <w:u w:val="single"/>
              </w:rPr>
              <w:instrText>End-User Equipment</w:instrText>
            </w:r>
            <w:r w:rsidRPr="005E385F">
              <w:rPr>
                <w:rFonts w:ascii="Verdana" w:hAnsi="Verdana"/>
                <w:sz w:val="20"/>
              </w:rPr>
              <w:instrText>"</w:instrText>
            </w:r>
            <w:r w:rsidRPr="005E385F">
              <w:rPr>
                <w:rFonts w:ascii="Verdana" w:hAnsi="Verdana"/>
                <w:sz w:val="20"/>
              </w:rPr>
              <w:fldChar w:fldCharType="end"/>
            </w:r>
            <w:r w:rsidRPr="005E385F">
              <w:rPr>
                <w:rFonts w:ascii="Verdana" w:hAnsi="Verdana"/>
                <w:bCs/>
                <w:sz w:val="20"/>
              </w:rPr>
              <w:t>:</w:t>
            </w:r>
          </w:p>
          <w:p w14:paraId="1D8B454B" w14:textId="77777777" w:rsidR="00F935B1" w:rsidRPr="005E385F" w:rsidRDefault="00F935B1" w:rsidP="0083602C">
            <w:pPr>
              <w:pStyle w:val="NormalWeb"/>
              <w:spacing w:before="0" w:beforeAutospacing="0" w:after="0"/>
              <w:rPr>
                <w:rFonts w:ascii="Verdana" w:hAnsi="Verdana"/>
                <w:b/>
                <w:bCs/>
                <w:sz w:val="20"/>
                <w:u w:val="single"/>
              </w:rPr>
            </w:pPr>
          </w:p>
          <w:p w14:paraId="02EE07F2" w14:textId="77777777" w:rsidR="00F935B1" w:rsidRPr="005E385F" w:rsidRDefault="00A0395D" w:rsidP="00F935B1">
            <w:pPr>
              <w:pStyle w:val="NormalWeb"/>
              <w:numPr>
                <w:ilvl w:val="0"/>
                <w:numId w:val="16"/>
              </w:numPr>
              <w:spacing w:before="0" w:beforeAutospacing="0" w:after="0"/>
              <w:rPr>
                <w:rFonts w:ascii="Verdana" w:hAnsi="Verdana"/>
                <w:bCs/>
                <w:sz w:val="20"/>
              </w:rPr>
            </w:pPr>
            <w:hyperlink w:anchor="PersonalComputer" w:history="1">
              <w:r w:rsidR="00F935B1" w:rsidRPr="005E385F">
                <w:rPr>
                  <w:rStyle w:val="Hyperlink"/>
                  <w:rFonts w:ascii="Verdana" w:hAnsi="Verdana"/>
                  <w:bCs/>
                  <w:sz w:val="20"/>
                </w:rPr>
                <w:t>Computer workstations</w:t>
              </w:r>
              <w:r w:rsidR="00F935B1" w:rsidRPr="005E385F">
                <w:rPr>
                  <w:rFonts w:ascii="Verdana" w:hAnsi="Verdana"/>
                  <w:sz w:val="20"/>
                </w:rPr>
                <w:fldChar w:fldCharType="begin"/>
              </w:r>
              <w:r w:rsidR="00F935B1" w:rsidRPr="005E385F">
                <w:rPr>
                  <w:rFonts w:ascii="Verdana" w:hAnsi="Verdana"/>
                  <w:sz w:val="20"/>
                </w:rPr>
                <w:instrText>xe "</w:instrText>
              </w:r>
              <w:r w:rsidR="00F935B1" w:rsidRPr="005E385F">
                <w:rPr>
                  <w:rStyle w:val="Hyperlink"/>
                  <w:rFonts w:ascii="Verdana" w:hAnsi="Verdana"/>
                  <w:bCs/>
                  <w:sz w:val="20"/>
                </w:rPr>
                <w:instrText>Computer Workstations</w:instrText>
              </w:r>
              <w:r w:rsidR="00F935B1" w:rsidRPr="005E385F">
                <w:rPr>
                  <w:rFonts w:ascii="Verdana" w:hAnsi="Verdana"/>
                  <w:sz w:val="20"/>
                </w:rPr>
                <w:instrText>"</w:instrText>
              </w:r>
              <w:r w:rsidR="00F935B1" w:rsidRPr="005E385F">
                <w:rPr>
                  <w:rFonts w:ascii="Verdana" w:hAnsi="Verdana"/>
                  <w:sz w:val="20"/>
                </w:rPr>
                <w:fldChar w:fldCharType="end"/>
              </w:r>
            </w:hyperlink>
            <w:r w:rsidR="00F935B1" w:rsidRPr="005E385F">
              <w:rPr>
                <w:rFonts w:ascii="Verdana" w:hAnsi="Verdana"/>
                <w:sz w:val="20"/>
              </w:rPr>
              <w:t xml:space="preserve"> including personal computers and laptops</w:t>
            </w:r>
          </w:p>
          <w:p w14:paraId="00B37D26" w14:textId="77777777" w:rsidR="00F935B1" w:rsidRPr="005E385F" w:rsidRDefault="00F935B1" w:rsidP="00F935B1">
            <w:pPr>
              <w:pStyle w:val="NormalWeb"/>
              <w:numPr>
                <w:ilvl w:val="0"/>
                <w:numId w:val="16"/>
              </w:numPr>
              <w:spacing w:before="0" w:beforeAutospacing="0" w:after="0"/>
              <w:rPr>
                <w:rFonts w:ascii="Verdana" w:hAnsi="Verdana"/>
                <w:bCs/>
                <w:sz w:val="20"/>
              </w:rPr>
            </w:pPr>
            <w:r w:rsidRPr="005E385F">
              <w:rPr>
                <w:rFonts w:ascii="Verdana" w:hAnsi="Verdana"/>
                <w:bCs/>
                <w:sz w:val="20"/>
              </w:rPr>
              <w:t>End-user telephone sets</w:t>
            </w:r>
            <w:r w:rsidRPr="005E385F">
              <w:rPr>
                <w:rFonts w:ascii="Verdana" w:hAnsi="Verdana"/>
                <w:sz w:val="20"/>
              </w:rPr>
              <w:fldChar w:fldCharType="begin"/>
            </w:r>
            <w:r w:rsidRPr="005E385F">
              <w:rPr>
                <w:rFonts w:ascii="Verdana" w:hAnsi="Verdana"/>
                <w:sz w:val="20"/>
              </w:rPr>
              <w:instrText>xe "T</w:instrText>
            </w:r>
            <w:r w:rsidRPr="005E385F">
              <w:rPr>
                <w:rFonts w:ascii="Verdana" w:hAnsi="Verdana"/>
                <w:bCs/>
                <w:sz w:val="20"/>
              </w:rPr>
              <w:instrText>elephone Sets</w:instrText>
            </w:r>
            <w:r w:rsidRPr="005E385F">
              <w:rPr>
                <w:rFonts w:ascii="Verdana" w:hAnsi="Verdana"/>
                <w:sz w:val="20"/>
              </w:rPr>
              <w:instrText>"</w:instrText>
            </w:r>
            <w:r w:rsidRPr="005E385F">
              <w:rPr>
                <w:rFonts w:ascii="Verdana" w:hAnsi="Verdana"/>
                <w:sz w:val="20"/>
              </w:rPr>
              <w:fldChar w:fldCharType="end"/>
            </w:r>
          </w:p>
          <w:p w14:paraId="00D4D10F" w14:textId="77777777" w:rsidR="00F935B1" w:rsidRPr="005E385F" w:rsidRDefault="00A0395D" w:rsidP="00F935B1">
            <w:pPr>
              <w:pStyle w:val="NormalWeb"/>
              <w:numPr>
                <w:ilvl w:val="0"/>
                <w:numId w:val="16"/>
              </w:numPr>
              <w:spacing w:before="0" w:beforeAutospacing="0" w:after="0"/>
              <w:rPr>
                <w:rFonts w:ascii="Verdana" w:hAnsi="Verdana"/>
                <w:bCs/>
                <w:sz w:val="20"/>
              </w:rPr>
            </w:pPr>
            <w:hyperlink w:anchor="FaxMachine" w:history="1">
              <w:r w:rsidR="00F935B1" w:rsidRPr="005E385F">
                <w:rPr>
                  <w:rStyle w:val="Hyperlink"/>
                  <w:rFonts w:ascii="Verdana" w:hAnsi="Verdana"/>
                  <w:bCs/>
                  <w:sz w:val="20"/>
                </w:rPr>
                <w:t>Fax machine</w:t>
              </w:r>
              <w:r w:rsidR="00F935B1" w:rsidRPr="005E385F">
                <w:rPr>
                  <w:rFonts w:ascii="Verdana" w:hAnsi="Verdana"/>
                  <w:sz w:val="20"/>
                </w:rPr>
                <w:fldChar w:fldCharType="begin"/>
              </w:r>
              <w:r w:rsidR="00F935B1" w:rsidRPr="005E385F">
                <w:rPr>
                  <w:rFonts w:ascii="Verdana" w:hAnsi="Verdana"/>
                  <w:sz w:val="20"/>
                </w:rPr>
                <w:instrText>xe "</w:instrText>
              </w:r>
              <w:r w:rsidR="00F935B1" w:rsidRPr="005E385F">
                <w:rPr>
                  <w:rStyle w:val="Hyperlink"/>
                  <w:rFonts w:ascii="Verdana" w:hAnsi="Verdana"/>
                  <w:bCs/>
                  <w:sz w:val="20"/>
                </w:rPr>
                <w:instrText>Fax Machines</w:instrText>
              </w:r>
              <w:r w:rsidR="00F935B1" w:rsidRPr="005E385F">
                <w:rPr>
                  <w:rFonts w:ascii="Verdana" w:hAnsi="Verdana"/>
                  <w:sz w:val="20"/>
                </w:rPr>
                <w:instrText>"</w:instrText>
              </w:r>
              <w:r w:rsidR="00F935B1" w:rsidRPr="005E385F">
                <w:rPr>
                  <w:rFonts w:ascii="Verdana" w:hAnsi="Verdana"/>
                  <w:sz w:val="20"/>
                </w:rPr>
                <w:fldChar w:fldCharType="end"/>
              </w:r>
            </w:hyperlink>
          </w:p>
          <w:p w14:paraId="7F64E409" w14:textId="77777777" w:rsidR="00F935B1" w:rsidRPr="005E385F" w:rsidRDefault="00F935B1" w:rsidP="00F935B1">
            <w:pPr>
              <w:pStyle w:val="NormalWeb"/>
              <w:numPr>
                <w:ilvl w:val="0"/>
                <w:numId w:val="16"/>
              </w:numPr>
              <w:spacing w:before="0" w:beforeAutospacing="0" w:after="0"/>
              <w:rPr>
                <w:rFonts w:ascii="Verdana" w:hAnsi="Verdana"/>
                <w:bCs/>
                <w:sz w:val="20"/>
              </w:rPr>
            </w:pPr>
            <w:r w:rsidRPr="005E385F">
              <w:rPr>
                <w:rFonts w:ascii="Verdana" w:hAnsi="Verdana"/>
                <w:bCs/>
                <w:sz w:val="20"/>
              </w:rPr>
              <w:t>Cameras</w:t>
            </w:r>
            <w:r w:rsidRPr="005E385F">
              <w:rPr>
                <w:rFonts w:ascii="Verdana" w:hAnsi="Verdana"/>
                <w:sz w:val="20"/>
              </w:rPr>
              <w:fldChar w:fldCharType="begin"/>
            </w:r>
            <w:r w:rsidRPr="005E385F">
              <w:rPr>
                <w:rFonts w:ascii="Verdana" w:hAnsi="Verdana"/>
                <w:sz w:val="20"/>
              </w:rPr>
              <w:instrText>xe "</w:instrText>
            </w:r>
            <w:r w:rsidRPr="005E385F">
              <w:rPr>
                <w:rFonts w:ascii="Verdana" w:hAnsi="Verdana"/>
                <w:bCs/>
                <w:sz w:val="20"/>
              </w:rPr>
              <w:instrText>Cameras</w:instrText>
            </w:r>
            <w:r w:rsidRPr="005E385F">
              <w:rPr>
                <w:rFonts w:ascii="Verdana" w:hAnsi="Verdana"/>
                <w:sz w:val="20"/>
              </w:rPr>
              <w:instrText>"</w:instrText>
            </w:r>
            <w:r w:rsidRPr="005E385F">
              <w:rPr>
                <w:rFonts w:ascii="Verdana" w:hAnsi="Verdana"/>
                <w:sz w:val="20"/>
              </w:rPr>
              <w:fldChar w:fldCharType="end"/>
            </w:r>
          </w:p>
          <w:p w14:paraId="5C8D382B" w14:textId="77777777" w:rsidR="00F935B1" w:rsidRPr="005E385F" w:rsidRDefault="00F935B1" w:rsidP="00F935B1">
            <w:pPr>
              <w:pStyle w:val="NormalWeb"/>
              <w:numPr>
                <w:ilvl w:val="0"/>
                <w:numId w:val="16"/>
              </w:numPr>
              <w:spacing w:before="0" w:beforeAutospacing="0" w:after="0"/>
              <w:rPr>
                <w:rFonts w:ascii="Verdana" w:hAnsi="Verdana"/>
                <w:bCs/>
                <w:sz w:val="20"/>
              </w:rPr>
            </w:pPr>
            <w:r w:rsidRPr="005E385F">
              <w:rPr>
                <w:rFonts w:ascii="Verdana" w:hAnsi="Verdana"/>
                <w:bCs/>
                <w:sz w:val="20"/>
              </w:rPr>
              <w:t>Microphones</w:t>
            </w:r>
            <w:r w:rsidRPr="005E385F">
              <w:rPr>
                <w:rFonts w:ascii="Verdana" w:hAnsi="Verdana"/>
                <w:sz w:val="20"/>
              </w:rPr>
              <w:fldChar w:fldCharType="begin"/>
            </w:r>
            <w:r w:rsidRPr="005E385F">
              <w:rPr>
                <w:rFonts w:ascii="Verdana" w:hAnsi="Verdana"/>
                <w:sz w:val="20"/>
              </w:rPr>
              <w:instrText>xe "</w:instrText>
            </w:r>
            <w:r w:rsidRPr="005E385F">
              <w:rPr>
                <w:rFonts w:ascii="Verdana" w:hAnsi="Verdana"/>
                <w:bCs/>
                <w:sz w:val="20"/>
              </w:rPr>
              <w:instrText>Microphones</w:instrText>
            </w:r>
            <w:r w:rsidRPr="005E385F">
              <w:rPr>
                <w:rFonts w:ascii="Verdana" w:hAnsi="Verdana"/>
                <w:sz w:val="20"/>
              </w:rPr>
              <w:instrText>"</w:instrText>
            </w:r>
            <w:r w:rsidRPr="005E385F">
              <w:rPr>
                <w:rFonts w:ascii="Verdana" w:hAnsi="Verdana"/>
                <w:sz w:val="20"/>
              </w:rPr>
              <w:fldChar w:fldCharType="end"/>
            </w:r>
          </w:p>
          <w:p w14:paraId="30B0A21D" w14:textId="77777777" w:rsidR="00F935B1" w:rsidRPr="005E385F" w:rsidRDefault="00F935B1" w:rsidP="00F935B1">
            <w:pPr>
              <w:pStyle w:val="NormalWeb"/>
              <w:numPr>
                <w:ilvl w:val="0"/>
                <w:numId w:val="16"/>
              </w:numPr>
              <w:spacing w:before="0" w:beforeAutospacing="0" w:after="0"/>
              <w:rPr>
                <w:rFonts w:ascii="Verdana" w:hAnsi="Verdana"/>
                <w:bCs/>
                <w:sz w:val="20"/>
              </w:rPr>
            </w:pPr>
            <w:r w:rsidRPr="005E385F">
              <w:rPr>
                <w:rFonts w:ascii="Verdana" w:hAnsi="Verdana"/>
                <w:bCs/>
                <w:sz w:val="20"/>
              </w:rPr>
              <w:t>Videotape recorders</w:t>
            </w:r>
            <w:r w:rsidRPr="005E385F">
              <w:rPr>
                <w:rFonts w:ascii="Verdana" w:hAnsi="Verdana"/>
                <w:sz w:val="20"/>
              </w:rPr>
              <w:fldChar w:fldCharType="begin"/>
            </w:r>
            <w:r w:rsidRPr="005E385F">
              <w:rPr>
                <w:rFonts w:ascii="Verdana" w:hAnsi="Verdana"/>
                <w:sz w:val="20"/>
              </w:rPr>
              <w:instrText>xe "</w:instrText>
            </w:r>
            <w:r w:rsidRPr="005E385F">
              <w:rPr>
                <w:rFonts w:ascii="Verdana" w:hAnsi="Verdana"/>
                <w:bCs/>
                <w:sz w:val="20"/>
              </w:rPr>
              <w:instrText>Videocassette Recorders</w:instrText>
            </w:r>
            <w:r w:rsidRPr="005E385F">
              <w:rPr>
                <w:rFonts w:ascii="Verdana" w:hAnsi="Verdana"/>
                <w:sz w:val="20"/>
              </w:rPr>
              <w:instrText>"</w:instrText>
            </w:r>
            <w:r w:rsidRPr="005E385F">
              <w:rPr>
                <w:rFonts w:ascii="Verdana" w:hAnsi="Verdana"/>
                <w:sz w:val="20"/>
              </w:rPr>
              <w:fldChar w:fldCharType="end"/>
            </w:r>
          </w:p>
          <w:p w14:paraId="0347F9DF" w14:textId="77777777" w:rsidR="00F935B1" w:rsidRPr="005E385F" w:rsidRDefault="00A0395D" w:rsidP="00F935B1">
            <w:pPr>
              <w:pStyle w:val="NormalWeb"/>
              <w:numPr>
                <w:ilvl w:val="0"/>
                <w:numId w:val="16"/>
              </w:numPr>
              <w:spacing w:before="0" w:beforeAutospacing="0" w:after="0"/>
              <w:rPr>
                <w:rFonts w:ascii="Verdana" w:hAnsi="Verdana"/>
                <w:bCs/>
                <w:sz w:val="20"/>
              </w:rPr>
            </w:pPr>
            <w:hyperlink w:anchor="PersonalDigitalAssistant" w:history="1">
              <w:r w:rsidR="00F935B1" w:rsidRPr="005E385F">
                <w:rPr>
                  <w:rStyle w:val="Hyperlink"/>
                  <w:rFonts w:ascii="Verdana" w:hAnsi="Verdana"/>
                  <w:bCs/>
                  <w:sz w:val="20"/>
                </w:rPr>
                <w:t>Personal digital assistants</w:t>
              </w:r>
              <w:r w:rsidR="00F935B1" w:rsidRPr="005E385F">
                <w:rPr>
                  <w:rFonts w:ascii="Verdana" w:hAnsi="Verdana"/>
                  <w:sz w:val="20"/>
                </w:rPr>
                <w:fldChar w:fldCharType="begin"/>
              </w:r>
              <w:r w:rsidR="00F935B1" w:rsidRPr="005E385F">
                <w:rPr>
                  <w:rFonts w:ascii="Verdana" w:hAnsi="Verdana"/>
                  <w:sz w:val="20"/>
                </w:rPr>
                <w:instrText>xe "</w:instrText>
              </w:r>
              <w:r w:rsidR="00F935B1" w:rsidRPr="005E385F">
                <w:rPr>
                  <w:rStyle w:val="Hyperlink"/>
                  <w:rFonts w:ascii="Verdana" w:hAnsi="Verdana"/>
                  <w:bCs/>
                  <w:sz w:val="20"/>
                </w:rPr>
                <w:instrText>Personal Digital Assistants</w:instrText>
              </w:r>
              <w:r w:rsidR="00F935B1" w:rsidRPr="005E385F">
                <w:rPr>
                  <w:rFonts w:ascii="Verdana" w:hAnsi="Verdana"/>
                  <w:sz w:val="20"/>
                </w:rPr>
                <w:instrText>"</w:instrText>
              </w:r>
              <w:r w:rsidR="00F935B1" w:rsidRPr="005E385F">
                <w:rPr>
                  <w:rFonts w:ascii="Verdana" w:hAnsi="Verdana"/>
                  <w:sz w:val="20"/>
                </w:rPr>
                <w:fldChar w:fldCharType="end"/>
              </w:r>
            </w:hyperlink>
            <w:r w:rsidR="00F935B1" w:rsidRPr="005E385F">
              <w:rPr>
                <w:rFonts w:ascii="Verdana" w:hAnsi="Verdana"/>
                <w:bCs/>
                <w:sz w:val="20"/>
              </w:rPr>
              <w:t xml:space="preserve">, </w:t>
            </w:r>
            <w:hyperlink w:anchor="Smartphone" w:history="1">
              <w:r w:rsidR="00F935B1" w:rsidRPr="005E385F">
                <w:rPr>
                  <w:rStyle w:val="Hyperlink"/>
                  <w:rFonts w:ascii="Verdana" w:hAnsi="Verdana"/>
                  <w:bCs/>
                  <w:sz w:val="20"/>
                </w:rPr>
                <w:t>smartphones</w:t>
              </w:r>
            </w:hyperlink>
            <w:r w:rsidR="00F935B1" w:rsidRPr="005E385F">
              <w:rPr>
                <w:rFonts w:ascii="Verdana" w:hAnsi="Verdana"/>
                <w:sz w:val="20"/>
              </w:rPr>
              <w:fldChar w:fldCharType="begin"/>
            </w:r>
            <w:r w:rsidR="00F935B1" w:rsidRPr="005E385F">
              <w:rPr>
                <w:rFonts w:ascii="Verdana" w:hAnsi="Verdana"/>
                <w:sz w:val="20"/>
              </w:rPr>
              <w:instrText>xe "</w:instrText>
            </w:r>
            <w:r w:rsidR="00F935B1" w:rsidRPr="005E385F">
              <w:rPr>
                <w:rFonts w:ascii="Verdana" w:hAnsi="Verdana"/>
                <w:bCs/>
                <w:sz w:val="20"/>
              </w:rPr>
              <w:instrText>PDA</w:instrText>
            </w:r>
            <w:r w:rsidR="00F935B1" w:rsidRPr="005E385F">
              <w:rPr>
                <w:rFonts w:ascii="Verdana" w:hAnsi="Verdana"/>
                <w:sz w:val="20"/>
              </w:rPr>
              <w:instrText>"</w:instrText>
            </w:r>
            <w:r w:rsidR="00F935B1" w:rsidRPr="005E385F">
              <w:rPr>
                <w:rFonts w:ascii="Verdana" w:hAnsi="Verdana"/>
                <w:sz w:val="20"/>
              </w:rPr>
              <w:fldChar w:fldCharType="end"/>
            </w:r>
            <w:r w:rsidR="00F935B1" w:rsidRPr="005E385F">
              <w:rPr>
                <w:rFonts w:ascii="Verdana" w:hAnsi="Verdana"/>
                <w:bCs/>
                <w:sz w:val="20"/>
              </w:rPr>
              <w:t xml:space="preserve">, and </w:t>
            </w:r>
            <w:hyperlink w:anchor="Tablet" w:history="1">
              <w:r w:rsidR="00F935B1" w:rsidRPr="005E385F">
                <w:rPr>
                  <w:rStyle w:val="Hyperlink"/>
                  <w:rFonts w:ascii="Verdana" w:hAnsi="Verdana"/>
                  <w:bCs/>
                  <w:sz w:val="20"/>
                </w:rPr>
                <w:t>tablets</w:t>
              </w:r>
            </w:hyperlink>
          </w:p>
          <w:p w14:paraId="7B49907D" w14:textId="77777777" w:rsidR="00F935B1" w:rsidRPr="005E385F" w:rsidRDefault="00A0395D" w:rsidP="00F935B1">
            <w:pPr>
              <w:pStyle w:val="NormalWeb"/>
              <w:numPr>
                <w:ilvl w:val="0"/>
                <w:numId w:val="16"/>
              </w:numPr>
              <w:spacing w:before="0" w:beforeAutospacing="0" w:after="0"/>
              <w:rPr>
                <w:rFonts w:ascii="Verdana" w:hAnsi="Verdana"/>
                <w:bCs/>
                <w:sz w:val="20"/>
              </w:rPr>
            </w:pPr>
            <w:hyperlink w:anchor="CDDVDPlayer" w:history="1">
              <w:r w:rsidR="00F935B1" w:rsidRPr="005E385F">
                <w:rPr>
                  <w:rStyle w:val="Hyperlink"/>
                  <w:rFonts w:ascii="Verdana" w:hAnsi="Verdana"/>
                  <w:bCs/>
                  <w:sz w:val="20"/>
                </w:rPr>
                <w:t>CD/</w:t>
              </w:r>
              <w:r w:rsidR="00F935B1" w:rsidRPr="005E385F">
                <w:rPr>
                  <w:rFonts w:ascii="Verdana" w:hAnsi="Verdana"/>
                  <w:sz w:val="20"/>
                </w:rPr>
                <w:fldChar w:fldCharType="begin"/>
              </w:r>
              <w:r w:rsidR="00F935B1" w:rsidRPr="005E385F">
                <w:rPr>
                  <w:rFonts w:ascii="Verdana" w:hAnsi="Verdana"/>
                  <w:sz w:val="20"/>
                </w:rPr>
                <w:instrText>xe "CD"</w:instrText>
              </w:r>
              <w:r w:rsidR="00F935B1" w:rsidRPr="005E385F">
                <w:rPr>
                  <w:rFonts w:ascii="Verdana" w:hAnsi="Verdana"/>
                  <w:sz w:val="20"/>
                </w:rPr>
                <w:fldChar w:fldCharType="end"/>
              </w:r>
            </w:hyperlink>
            <w:r w:rsidR="00F935B1" w:rsidRPr="005E385F">
              <w:rPr>
                <w:rFonts w:ascii="Verdana" w:hAnsi="Verdana"/>
                <w:sz w:val="20"/>
              </w:rPr>
              <w:t xml:space="preserve">DVD player </w:t>
            </w:r>
          </w:p>
          <w:p w14:paraId="5038F942" w14:textId="77777777" w:rsidR="00F935B1" w:rsidRPr="005E385F" w:rsidRDefault="00A0395D" w:rsidP="00F935B1">
            <w:pPr>
              <w:pStyle w:val="NormalWeb"/>
              <w:numPr>
                <w:ilvl w:val="0"/>
                <w:numId w:val="16"/>
              </w:numPr>
              <w:spacing w:before="0" w:beforeAutospacing="0" w:after="0"/>
              <w:rPr>
                <w:rFonts w:ascii="Verdana" w:hAnsi="Verdana"/>
                <w:bCs/>
                <w:sz w:val="20"/>
              </w:rPr>
            </w:pPr>
            <w:hyperlink w:anchor="Pager" w:history="1">
              <w:r w:rsidR="00F935B1" w:rsidRPr="005E385F">
                <w:rPr>
                  <w:rStyle w:val="Hyperlink"/>
                  <w:rFonts w:ascii="Verdana" w:hAnsi="Verdana"/>
                  <w:bCs/>
                  <w:sz w:val="20"/>
                </w:rPr>
                <w:t>Pager</w:t>
              </w:r>
              <w:r w:rsidR="00F935B1" w:rsidRPr="005E385F">
                <w:rPr>
                  <w:rFonts w:ascii="Verdana" w:hAnsi="Verdana"/>
                  <w:sz w:val="20"/>
                </w:rPr>
                <w:fldChar w:fldCharType="begin"/>
              </w:r>
              <w:r w:rsidR="00F935B1" w:rsidRPr="005E385F">
                <w:rPr>
                  <w:rFonts w:ascii="Verdana" w:hAnsi="Verdana"/>
                  <w:sz w:val="20"/>
                </w:rPr>
                <w:instrText>xe "</w:instrText>
              </w:r>
              <w:r w:rsidR="00F935B1" w:rsidRPr="005E385F">
                <w:rPr>
                  <w:rStyle w:val="Hyperlink"/>
                  <w:rFonts w:ascii="Verdana" w:hAnsi="Verdana"/>
                  <w:bCs/>
                  <w:sz w:val="20"/>
                </w:rPr>
                <w:instrText>Pagers</w:instrText>
              </w:r>
              <w:r w:rsidR="00F935B1" w:rsidRPr="005E385F">
                <w:rPr>
                  <w:rFonts w:ascii="Verdana" w:hAnsi="Verdana"/>
                  <w:sz w:val="20"/>
                </w:rPr>
                <w:instrText>"</w:instrText>
              </w:r>
              <w:r w:rsidR="00F935B1" w:rsidRPr="005E385F">
                <w:rPr>
                  <w:rFonts w:ascii="Verdana" w:hAnsi="Verdana"/>
                  <w:sz w:val="20"/>
                </w:rPr>
                <w:fldChar w:fldCharType="end"/>
              </w:r>
            </w:hyperlink>
          </w:p>
          <w:p w14:paraId="34BF2E52" w14:textId="77777777" w:rsidR="00F935B1" w:rsidRPr="005E385F" w:rsidRDefault="00A0395D" w:rsidP="00F935B1">
            <w:pPr>
              <w:pStyle w:val="NormalWeb"/>
              <w:numPr>
                <w:ilvl w:val="0"/>
                <w:numId w:val="16"/>
              </w:numPr>
              <w:spacing w:before="0" w:beforeAutospacing="0" w:after="0"/>
              <w:rPr>
                <w:rFonts w:ascii="Verdana" w:hAnsi="Verdana"/>
                <w:bCs/>
                <w:sz w:val="20"/>
              </w:rPr>
            </w:pPr>
            <w:hyperlink w:anchor="Printer" w:history="1">
              <w:r w:rsidR="00F935B1" w:rsidRPr="005E385F">
                <w:rPr>
                  <w:rStyle w:val="Hyperlink"/>
                  <w:rFonts w:ascii="Verdana" w:hAnsi="Verdana"/>
                  <w:bCs/>
                  <w:sz w:val="20"/>
                </w:rPr>
                <w:t>Printer</w:t>
              </w:r>
              <w:r w:rsidR="00F935B1" w:rsidRPr="005E385F">
                <w:rPr>
                  <w:rFonts w:ascii="Verdana" w:hAnsi="Verdana"/>
                  <w:sz w:val="20"/>
                </w:rPr>
                <w:fldChar w:fldCharType="begin"/>
              </w:r>
              <w:r w:rsidR="00F935B1" w:rsidRPr="005E385F">
                <w:rPr>
                  <w:rFonts w:ascii="Verdana" w:hAnsi="Verdana"/>
                  <w:sz w:val="20"/>
                </w:rPr>
                <w:instrText>xe "</w:instrText>
              </w:r>
              <w:r w:rsidR="00F935B1" w:rsidRPr="005E385F">
                <w:rPr>
                  <w:rStyle w:val="Hyperlink"/>
                  <w:rFonts w:ascii="Verdana" w:hAnsi="Verdana"/>
                  <w:bCs/>
                  <w:sz w:val="20"/>
                </w:rPr>
                <w:instrText>Printers</w:instrText>
              </w:r>
              <w:r w:rsidR="00F935B1" w:rsidRPr="005E385F">
                <w:rPr>
                  <w:rFonts w:ascii="Verdana" w:hAnsi="Verdana"/>
                  <w:sz w:val="20"/>
                </w:rPr>
                <w:instrText>"</w:instrText>
              </w:r>
              <w:r w:rsidR="00F935B1" w:rsidRPr="005E385F">
                <w:rPr>
                  <w:rFonts w:ascii="Verdana" w:hAnsi="Verdana"/>
                  <w:sz w:val="20"/>
                </w:rPr>
                <w:fldChar w:fldCharType="end"/>
              </w:r>
            </w:hyperlink>
          </w:p>
          <w:p w14:paraId="2560D55C" w14:textId="77777777" w:rsidR="00F935B1" w:rsidRPr="005E385F" w:rsidRDefault="00A0395D" w:rsidP="00F935B1">
            <w:pPr>
              <w:pStyle w:val="NormalWeb"/>
              <w:numPr>
                <w:ilvl w:val="0"/>
                <w:numId w:val="16"/>
              </w:numPr>
              <w:spacing w:before="0" w:beforeAutospacing="0" w:after="0"/>
              <w:rPr>
                <w:rFonts w:ascii="Verdana" w:hAnsi="Verdana"/>
                <w:bCs/>
                <w:sz w:val="20"/>
              </w:rPr>
            </w:pPr>
            <w:hyperlink w:anchor="TwoWayRadio" w:history="1">
              <w:r w:rsidR="00F935B1" w:rsidRPr="005E385F">
                <w:rPr>
                  <w:rStyle w:val="Hyperlink"/>
                  <w:rFonts w:ascii="Verdana" w:hAnsi="Verdana"/>
                  <w:bCs/>
                  <w:sz w:val="20"/>
                </w:rPr>
                <w:t>Two-way radio</w:t>
              </w:r>
              <w:r w:rsidR="00F935B1" w:rsidRPr="005E385F">
                <w:rPr>
                  <w:rFonts w:ascii="Verdana" w:hAnsi="Verdana"/>
                  <w:sz w:val="20"/>
                </w:rPr>
                <w:fldChar w:fldCharType="begin"/>
              </w:r>
              <w:r w:rsidR="00F935B1" w:rsidRPr="005E385F">
                <w:rPr>
                  <w:rFonts w:ascii="Verdana" w:hAnsi="Verdana"/>
                  <w:sz w:val="20"/>
                </w:rPr>
                <w:instrText>xe "</w:instrText>
              </w:r>
              <w:r w:rsidR="00F935B1" w:rsidRPr="005E385F">
                <w:rPr>
                  <w:rStyle w:val="Hyperlink"/>
                  <w:rFonts w:ascii="Verdana" w:hAnsi="Verdana"/>
                  <w:bCs/>
                  <w:sz w:val="20"/>
                </w:rPr>
                <w:instrText>Two-Way Radios</w:instrText>
              </w:r>
              <w:r w:rsidR="00F935B1" w:rsidRPr="005E385F">
                <w:rPr>
                  <w:rFonts w:ascii="Verdana" w:hAnsi="Verdana"/>
                  <w:sz w:val="20"/>
                </w:rPr>
                <w:instrText>"</w:instrText>
              </w:r>
              <w:r w:rsidR="00F935B1" w:rsidRPr="005E385F">
                <w:rPr>
                  <w:rFonts w:ascii="Verdana" w:hAnsi="Verdana"/>
                  <w:sz w:val="20"/>
                </w:rPr>
                <w:fldChar w:fldCharType="end"/>
              </w:r>
            </w:hyperlink>
          </w:p>
          <w:p w14:paraId="0EE5EE89" w14:textId="77777777" w:rsidR="00F935B1" w:rsidRPr="005E385F" w:rsidRDefault="00F935B1" w:rsidP="00F935B1">
            <w:pPr>
              <w:pStyle w:val="NormalWeb"/>
              <w:numPr>
                <w:ilvl w:val="0"/>
                <w:numId w:val="16"/>
              </w:numPr>
              <w:spacing w:before="0" w:beforeAutospacing="0" w:after="0"/>
              <w:rPr>
                <w:rFonts w:ascii="Verdana" w:hAnsi="Verdana"/>
                <w:bCs/>
                <w:sz w:val="20"/>
              </w:rPr>
            </w:pPr>
            <w:r w:rsidRPr="005E385F">
              <w:rPr>
                <w:rFonts w:ascii="Verdana" w:hAnsi="Verdana"/>
                <w:bCs/>
                <w:sz w:val="20"/>
              </w:rPr>
              <w:t xml:space="preserve">End-user </w:t>
            </w:r>
            <w:hyperlink w:anchor="Telephones" w:history="1">
              <w:r w:rsidRPr="005E385F">
                <w:rPr>
                  <w:rStyle w:val="Hyperlink"/>
                  <w:rFonts w:ascii="Verdana" w:hAnsi="Verdana"/>
                  <w:bCs/>
                  <w:sz w:val="20"/>
                </w:rPr>
                <w:t>telephones</w:t>
              </w:r>
            </w:hyperlink>
            <w:r w:rsidRPr="005E385F">
              <w:rPr>
                <w:rFonts w:ascii="Verdana" w:hAnsi="Verdana"/>
                <w:bCs/>
                <w:sz w:val="20"/>
              </w:rPr>
              <w:t xml:space="preserve"> and end-user </w:t>
            </w:r>
            <w:hyperlink w:anchor="VoiceMailComponents" w:history="1">
              <w:r w:rsidRPr="005E385F">
                <w:rPr>
                  <w:rStyle w:val="Hyperlink"/>
                  <w:rFonts w:ascii="Verdana" w:hAnsi="Verdana"/>
                  <w:bCs/>
                  <w:sz w:val="20"/>
                </w:rPr>
                <w:t>voice mail</w:t>
              </w:r>
              <w:r w:rsidRPr="005E385F">
                <w:rPr>
                  <w:rFonts w:ascii="Verdana" w:hAnsi="Verdana"/>
                  <w:sz w:val="20"/>
                </w:rPr>
                <w:fldChar w:fldCharType="begin"/>
              </w:r>
              <w:r w:rsidRPr="005E385F">
                <w:rPr>
                  <w:rFonts w:ascii="Verdana" w:hAnsi="Verdana"/>
                  <w:sz w:val="20"/>
                </w:rPr>
                <w:instrText>xe "Voice Mail Components"</w:instrText>
              </w:r>
              <w:r w:rsidRPr="005E385F">
                <w:rPr>
                  <w:rFonts w:ascii="Verdana" w:hAnsi="Verdana"/>
                  <w:sz w:val="20"/>
                </w:rPr>
                <w:fldChar w:fldCharType="end"/>
              </w:r>
            </w:hyperlink>
            <w:r w:rsidRPr="005E385F">
              <w:rPr>
                <w:rFonts w:ascii="Verdana" w:hAnsi="Verdana"/>
                <w:bCs/>
                <w:sz w:val="20"/>
              </w:rPr>
              <w:t xml:space="preserve"> such as answering machines</w:t>
            </w:r>
            <w:r w:rsidRPr="005E385F">
              <w:rPr>
                <w:rFonts w:ascii="Verdana" w:hAnsi="Verdana"/>
                <w:sz w:val="20"/>
              </w:rPr>
              <w:fldChar w:fldCharType="begin"/>
            </w:r>
            <w:r w:rsidRPr="005E385F">
              <w:rPr>
                <w:rFonts w:ascii="Verdana" w:hAnsi="Verdana"/>
                <w:sz w:val="20"/>
              </w:rPr>
              <w:instrText>xe "A</w:instrText>
            </w:r>
            <w:r w:rsidRPr="005E385F">
              <w:rPr>
                <w:rFonts w:ascii="Verdana" w:hAnsi="Verdana"/>
                <w:bCs/>
                <w:sz w:val="20"/>
              </w:rPr>
              <w:instrText>nswering Machines</w:instrText>
            </w:r>
            <w:r w:rsidRPr="005E385F">
              <w:rPr>
                <w:rFonts w:ascii="Verdana" w:hAnsi="Verdana"/>
                <w:sz w:val="20"/>
              </w:rPr>
              <w:instrText>"</w:instrText>
            </w:r>
            <w:r w:rsidRPr="005E385F">
              <w:rPr>
                <w:rFonts w:ascii="Verdana" w:hAnsi="Verdana"/>
                <w:sz w:val="20"/>
              </w:rPr>
              <w:fldChar w:fldCharType="end"/>
            </w:r>
            <w:r w:rsidRPr="005E385F">
              <w:rPr>
                <w:rFonts w:ascii="Verdana" w:hAnsi="Verdana"/>
                <w:bCs/>
                <w:sz w:val="20"/>
              </w:rPr>
              <w:t xml:space="preserve"> are not eligible.  In addition, telephone components not essential for the transport of telephone services within the school or library are not eligible (unless included as an integral component</w:t>
            </w:r>
            <w:r w:rsidRPr="005E385F">
              <w:rPr>
                <w:rFonts w:ascii="Verdana" w:hAnsi="Verdana"/>
                <w:sz w:val="20"/>
              </w:rPr>
              <w:fldChar w:fldCharType="begin"/>
            </w:r>
            <w:r w:rsidRPr="005E385F">
              <w:rPr>
                <w:rFonts w:ascii="Verdana" w:hAnsi="Verdana"/>
                <w:sz w:val="20"/>
              </w:rPr>
              <w:instrText>xe "Integral Component"</w:instrText>
            </w:r>
            <w:r w:rsidRPr="005E385F">
              <w:rPr>
                <w:rFonts w:ascii="Verdana" w:hAnsi="Verdana"/>
                <w:sz w:val="20"/>
              </w:rPr>
              <w:fldChar w:fldCharType="end"/>
            </w:r>
            <w:r w:rsidRPr="005E385F">
              <w:rPr>
                <w:rFonts w:ascii="Verdana" w:hAnsi="Verdana"/>
                <w:bCs/>
                <w:sz w:val="20"/>
              </w:rPr>
              <w:t xml:space="preserve"> of a standard product offering for an eligible product, at no additional cost).</w:t>
            </w:r>
          </w:p>
          <w:p w14:paraId="25FCB585" w14:textId="77777777" w:rsidR="00F935B1" w:rsidRPr="005E385F" w:rsidRDefault="00A0395D" w:rsidP="00F935B1">
            <w:pPr>
              <w:pStyle w:val="NormalWeb"/>
              <w:numPr>
                <w:ilvl w:val="0"/>
                <w:numId w:val="16"/>
              </w:numPr>
              <w:spacing w:before="0" w:beforeAutospacing="0" w:after="0"/>
              <w:rPr>
                <w:rFonts w:ascii="Verdana" w:hAnsi="Verdana"/>
                <w:bCs/>
                <w:sz w:val="20"/>
              </w:rPr>
            </w:pPr>
            <w:hyperlink w:anchor="Interactivewhiteboard" w:history="1">
              <w:r w:rsidR="00F935B1" w:rsidRPr="005E385F">
                <w:rPr>
                  <w:rStyle w:val="Hyperlink"/>
                  <w:rFonts w:ascii="Verdana" w:hAnsi="Verdana"/>
                  <w:bCs/>
                  <w:sz w:val="20"/>
                </w:rPr>
                <w:t>Interactive White Boards</w:t>
              </w:r>
              <w:r w:rsidR="00F935B1" w:rsidRPr="005E385F">
                <w:rPr>
                  <w:rFonts w:ascii="Verdana" w:hAnsi="Verdana"/>
                  <w:sz w:val="20"/>
                </w:rPr>
                <w:fldChar w:fldCharType="begin"/>
              </w:r>
              <w:r w:rsidR="00F935B1" w:rsidRPr="005E385F">
                <w:rPr>
                  <w:rFonts w:ascii="Verdana" w:hAnsi="Verdana"/>
                  <w:sz w:val="20"/>
                </w:rPr>
                <w:instrText>xe "</w:instrText>
              </w:r>
              <w:r w:rsidR="00F935B1" w:rsidRPr="005E385F">
                <w:rPr>
                  <w:rStyle w:val="Hyperlink"/>
                  <w:rFonts w:ascii="Verdana" w:hAnsi="Verdana"/>
                  <w:bCs/>
                  <w:sz w:val="20"/>
                </w:rPr>
                <w:instrText>Interactive White Board</w:instrText>
              </w:r>
              <w:r w:rsidR="00F935B1" w:rsidRPr="005E385F">
                <w:rPr>
                  <w:rFonts w:ascii="Verdana" w:hAnsi="Verdana"/>
                  <w:sz w:val="20"/>
                </w:rPr>
                <w:instrText>"</w:instrText>
              </w:r>
              <w:r w:rsidR="00F935B1" w:rsidRPr="005E385F">
                <w:rPr>
                  <w:rFonts w:ascii="Verdana" w:hAnsi="Verdana"/>
                  <w:sz w:val="20"/>
                </w:rPr>
                <w:fldChar w:fldCharType="end"/>
              </w:r>
            </w:hyperlink>
          </w:p>
          <w:p w14:paraId="6ACC682F" w14:textId="77777777" w:rsidR="00F935B1" w:rsidRPr="005E385F" w:rsidRDefault="00F935B1" w:rsidP="0083602C">
            <w:pPr>
              <w:pStyle w:val="NormalWeb"/>
              <w:spacing w:before="0" w:beforeAutospacing="0" w:after="0"/>
              <w:ind w:left="360"/>
              <w:rPr>
                <w:rFonts w:ascii="Verdana" w:hAnsi="Verdana"/>
                <w:bCs/>
                <w:sz w:val="20"/>
              </w:rPr>
            </w:pPr>
          </w:p>
          <w:p w14:paraId="3EC5CE1B" w14:textId="77777777" w:rsidR="00F935B1" w:rsidRPr="005E385F" w:rsidRDefault="00F935B1" w:rsidP="0083602C">
            <w:pPr>
              <w:pStyle w:val="NormalWeb"/>
              <w:spacing w:before="0" w:beforeAutospacing="0" w:after="0"/>
              <w:rPr>
                <w:rFonts w:ascii="Verdana" w:hAnsi="Verdana"/>
                <w:bCs/>
                <w:sz w:val="20"/>
              </w:rPr>
            </w:pPr>
            <w:r w:rsidRPr="005E385F">
              <w:rPr>
                <w:rFonts w:ascii="Verdana" w:hAnsi="Verdana"/>
                <w:bCs/>
                <w:sz w:val="20"/>
                <w:u w:val="single"/>
              </w:rPr>
              <w:t>Ineligible Video Components</w:t>
            </w:r>
            <w:r w:rsidRPr="005E385F">
              <w:rPr>
                <w:rFonts w:ascii="Verdana" w:hAnsi="Verdana"/>
                <w:bCs/>
                <w:sz w:val="20"/>
              </w:rPr>
              <w:t>:</w:t>
            </w:r>
          </w:p>
          <w:p w14:paraId="4580C563" w14:textId="77777777" w:rsidR="00F935B1" w:rsidRPr="005E385F" w:rsidRDefault="00F935B1" w:rsidP="0083602C">
            <w:pPr>
              <w:pStyle w:val="NormalWeb"/>
              <w:spacing w:before="0" w:beforeAutospacing="0" w:after="0"/>
              <w:rPr>
                <w:rFonts w:ascii="Verdana" w:hAnsi="Verdana"/>
                <w:bCs/>
                <w:sz w:val="20"/>
              </w:rPr>
            </w:pPr>
          </w:p>
          <w:p w14:paraId="78215029" w14:textId="77777777" w:rsidR="00F935B1" w:rsidRPr="005E385F" w:rsidRDefault="00F935B1" w:rsidP="00F935B1">
            <w:pPr>
              <w:pStyle w:val="NormalWeb"/>
              <w:numPr>
                <w:ilvl w:val="0"/>
                <w:numId w:val="31"/>
              </w:numPr>
              <w:spacing w:before="0" w:beforeAutospacing="0" w:after="0"/>
              <w:rPr>
                <w:rFonts w:ascii="Verdana" w:hAnsi="Verdana"/>
                <w:sz w:val="20"/>
              </w:rPr>
            </w:pPr>
            <w:r w:rsidRPr="005E385F">
              <w:rPr>
                <w:rFonts w:ascii="Verdana" w:hAnsi="Verdana"/>
                <w:sz w:val="20"/>
              </w:rPr>
              <w:t>End-user video</w:t>
            </w:r>
            <w:r w:rsidRPr="005E385F">
              <w:rPr>
                <w:rFonts w:ascii="Verdana" w:hAnsi="Verdana"/>
                <w:sz w:val="20"/>
              </w:rPr>
              <w:fldChar w:fldCharType="begin"/>
            </w:r>
            <w:r w:rsidRPr="005E385F">
              <w:rPr>
                <w:rFonts w:ascii="Verdana" w:hAnsi="Verdana"/>
                <w:sz w:val="20"/>
              </w:rPr>
              <w:instrText>xe "Video"</w:instrText>
            </w:r>
            <w:r w:rsidRPr="005E385F">
              <w:rPr>
                <w:rFonts w:ascii="Verdana" w:hAnsi="Verdana"/>
                <w:sz w:val="20"/>
              </w:rPr>
              <w:fldChar w:fldCharType="end"/>
            </w:r>
            <w:r w:rsidRPr="005E385F">
              <w:rPr>
                <w:rFonts w:ascii="Verdana" w:hAnsi="Verdana"/>
                <w:sz w:val="20"/>
              </w:rPr>
              <w:t xml:space="preserve"> equipment and equipment for the creation</w:t>
            </w:r>
            <w:r w:rsidRPr="005E385F">
              <w:rPr>
                <w:rFonts w:ascii="Verdana" w:hAnsi="Verdana"/>
                <w:sz w:val="20"/>
              </w:rPr>
              <w:fldChar w:fldCharType="begin"/>
            </w:r>
            <w:r w:rsidRPr="005E385F">
              <w:rPr>
                <w:rFonts w:ascii="Verdana" w:hAnsi="Verdana"/>
                <w:sz w:val="20"/>
              </w:rPr>
              <w:instrText>xe "Creation of Video Content"</w:instrText>
            </w:r>
            <w:r w:rsidRPr="005E385F">
              <w:rPr>
                <w:rFonts w:ascii="Verdana" w:hAnsi="Verdana"/>
                <w:sz w:val="20"/>
              </w:rPr>
              <w:fldChar w:fldCharType="end"/>
            </w:r>
            <w:r w:rsidRPr="005E385F">
              <w:rPr>
                <w:rFonts w:ascii="Verdana" w:hAnsi="Verdana"/>
                <w:sz w:val="20"/>
              </w:rPr>
              <w:t xml:space="preserve"> of video content</w:t>
            </w:r>
            <w:r w:rsidRPr="005E385F">
              <w:rPr>
                <w:rFonts w:ascii="Verdana" w:hAnsi="Verdana"/>
                <w:sz w:val="20"/>
              </w:rPr>
              <w:fldChar w:fldCharType="begin"/>
            </w:r>
            <w:r w:rsidRPr="005E385F">
              <w:rPr>
                <w:rFonts w:ascii="Verdana" w:hAnsi="Verdana"/>
                <w:sz w:val="20"/>
              </w:rPr>
              <w:instrText>xe "Content"</w:instrText>
            </w:r>
            <w:r w:rsidRPr="005E385F">
              <w:rPr>
                <w:rFonts w:ascii="Verdana" w:hAnsi="Verdana"/>
                <w:sz w:val="20"/>
              </w:rPr>
              <w:fldChar w:fldCharType="end"/>
            </w:r>
            <w:r w:rsidRPr="005E385F">
              <w:rPr>
                <w:rFonts w:ascii="Verdana" w:hAnsi="Verdana"/>
                <w:sz w:val="20"/>
              </w:rPr>
              <w:t xml:space="preserve"> is not eligible for discount.  Examples include video monitors, televisions</w:t>
            </w:r>
            <w:r w:rsidRPr="005E385F">
              <w:rPr>
                <w:rFonts w:ascii="Verdana" w:hAnsi="Verdana"/>
                <w:sz w:val="20"/>
              </w:rPr>
              <w:fldChar w:fldCharType="begin"/>
            </w:r>
            <w:r w:rsidRPr="005E385F">
              <w:rPr>
                <w:rFonts w:ascii="Verdana" w:hAnsi="Verdana"/>
                <w:sz w:val="20"/>
              </w:rPr>
              <w:instrText>xe "Television"</w:instrText>
            </w:r>
            <w:r w:rsidRPr="005E385F">
              <w:rPr>
                <w:rFonts w:ascii="Verdana" w:hAnsi="Verdana"/>
                <w:sz w:val="20"/>
              </w:rPr>
              <w:fldChar w:fldCharType="end"/>
            </w:r>
            <w:r w:rsidRPr="005E385F">
              <w:rPr>
                <w:rFonts w:ascii="Verdana" w:hAnsi="Verdana"/>
                <w:sz w:val="20"/>
              </w:rPr>
              <w:t>, video cameras</w:t>
            </w:r>
            <w:r w:rsidRPr="005E385F">
              <w:rPr>
                <w:rFonts w:ascii="Verdana" w:hAnsi="Verdana"/>
                <w:sz w:val="20"/>
              </w:rPr>
              <w:fldChar w:fldCharType="begin"/>
            </w:r>
            <w:r w:rsidRPr="005E385F">
              <w:rPr>
                <w:rFonts w:ascii="Verdana" w:hAnsi="Verdana"/>
                <w:sz w:val="20"/>
              </w:rPr>
              <w:instrText>xe "Cameras"</w:instrText>
            </w:r>
            <w:r w:rsidRPr="005E385F">
              <w:rPr>
                <w:rFonts w:ascii="Verdana" w:hAnsi="Verdana"/>
                <w:sz w:val="20"/>
              </w:rPr>
              <w:fldChar w:fldCharType="end"/>
            </w:r>
            <w:r w:rsidRPr="005E385F">
              <w:rPr>
                <w:rFonts w:ascii="Verdana" w:hAnsi="Verdana"/>
                <w:sz w:val="20"/>
              </w:rPr>
              <w:t>, and video recorders</w:t>
            </w:r>
            <w:r w:rsidRPr="005E385F">
              <w:rPr>
                <w:rFonts w:ascii="Verdana" w:hAnsi="Verdana"/>
                <w:sz w:val="20"/>
              </w:rPr>
              <w:fldChar w:fldCharType="begin"/>
            </w:r>
            <w:r w:rsidRPr="005E385F">
              <w:rPr>
                <w:rFonts w:ascii="Verdana" w:hAnsi="Verdana"/>
                <w:sz w:val="20"/>
              </w:rPr>
              <w:instrText>xe "Recorders"</w:instrText>
            </w:r>
            <w:r w:rsidRPr="005E385F">
              <w:rPr>
                <w:rFonts w:ascii="Verdana" w:hAnsi="Verdana"/>
                <w:sz w:val="20"/>
              </w:rPr>
              <w:fldChar w:fldCharType="end"/>
            </w:r>
            <w:r w:rsidRPr="005E385F">
              <w:rPr>
                <w:rFonts w:ascii="Verdana" w:hAnsi="Verdana"/>
                <w:sz w:val="20"/>
              </w:rPr>
              <w:t xml:space="preserve"> and playback devices.</w:t>
            </w:r>
          </w:p>
          <w:p w14:paraId="310D35FF" w14:textId="77777777" w:rsidR="00F935B1" w:rsidRPr="005E385F" w:rsidRDefault="00A0395D" w:rsidP="00F935B1">
            <w:pPr>
              <w:pStyle w:val="NormalWeb"/>
              <w:numPr>
                <w:ilvl w:val="0"/>
                <w:numId w:val="31"/>
              </w:numPr>
              <w:spacing w:before="0" w:beforeAutospacing="0" w:after="0"/>
              <w:rPr>
                <w:rFonts w:ascii="Verdana" w:hAnsi="Verdana"/>
                <w:bCs/>
                <w:sz w:val="20"/>
              </w:rPr>
            </w:pPr>
            <w:hyperlink w:anchor="BroadcastCableEquip" w:history="1">
              <w:r w:rsidR="00F935B1" w:rsidRPr="005E385F">
                <w:rPr>
                  <w:rStyle w:val="Hyperlink"/>
                  <w:rFonts w:ascii="Verdana" w:hAnsi="Verdana"/>
                  <w:sz w:val="20"/>
                </w:rPr>
                <w:t>Broadcast and cable television equipment</w:t>
              </w:r>
            </w:hyperlink>
            <w:r w:rsidR="00F935B1" w:rsidRPr="005E385F">
              <w:rPr>
                <w:rFonts w:ascii="Verdana" w:hAnsi="Verdana"/>
                <w:sz w:val="20"/>
              </w:rPr>
              <w:t xml:space="preserve"> used for the display or distribution of broadcast and cable</w:t>
            </w:r>
            <w:r w:rsidR="00F935B1" w:rsidRPr="005E385F">
              <w:rPr>
                <w:rFonts w:ascii="Verdana" w:hAnsi="Verdana"/>
                <w:sz w:val="20"/>
              </w:rPr>
              <w:fldChar w:fldCharType="begin"/>
            </w:r>
            <w:r w:rsidR="00F935B1" w:rsidRPr="005E385F">
              <w:rPr>
                <w:rFonts w:ascii="Verdana" w:hAnsi="Verdana"/>
                <w:sz w:val="20"/>
              </w:rPr>
              <w:instrText>xe "Cable Television"</w:instrText>
            </w:r>
            <w:r w:rsidR="00F935B1" w:rsidRPr="005E385F">
              <w:rPr>
                <w:rFonts w:ascii="Verdana" w:hAnsi="Verdana"/>
                <w:sz w:val="20"/>
              </w:rPr>
              <w:fldChar w:fldCharType="end"/>
            </w:r>
            <w:r w:rsidR="00F935B1" w:rsidRPr="005E385F">
              <w:rPr>
                <w:rFonts w:ascii="Verdana" w:hAnsi="Verdana"/>
                <w:sz w:val="20"/>
              </w:rPr>
              <w:t xml:space="preserve"> television</w:t>
            </w:r>
            <w:r w:rsidR="00F935B1" w:rsidRPr="005E385F">
              <w:rPr>
                <w:rFonts w:ascii="Verdana" w:hAnsi="Verdana"/>
                <w:sz w:val="20"/>
              </w:rPr>
              <w:fldChar w:fldCharType="begin"/>
            </w:r>
            <w:r w:rsidR="00F935B1" w:rsidRPr="005E385F">
              <w:rPr>
                <w:rFonts w:ascii="Verdana" w:hAnsi="Verdana"/>
                <w:sz w:val="20"/>
              </w:rPr>
              <w:instrText>xe "Television"</w:instrText>
            </w:r>
            <w:r w:rsidR="00F935B1" w:rsidRPr="005E385F">
              <w:rPr>
                <w:rFonts w:ascii="Verdana" w:hAnsi="Verdana"/>
                <w:sz w:val="20"/>
              </w:rPr>
              <w:fldChar w:fldCharType="end"/>
            </w:r>
            <w:r w:rsidR="00F935B1" w:rsidRPr="005E385F">
              <w:rPr>
                <w:rFonts w:ascii="Verdana" w:hAnsi="Verdana"/>
                <w:sz w:val="20"/>
              </w:rPr>
              <w:t xml:space="preserve"> signals</w:t>
            </w:r>
          </w:p>
          <w:p w14:paraId="62DD5046" w14:textId="77777777" w:rsidR="00F935B1" w:rsidRPr="005E385F" w:rsidRDefault="00F935B1" w:rsidP="0083602C">
            <w:pPr>
              <w:pStyle w:val="NormalWeb"/>
              <w:ind w:left="360"/>
              <w:rPr>
                <w:rFonts w:ascii="Verdana" w:hAnsi="Verdana"/>
                <w:bCs/>
                <w:sz w:val="20"/>
              </w:rPr>
            </w:pPr>
            <w:r w:rsidRPr="005E385F">
              <w:rPr>
                <w:rFonts w:ascii="Verdana" w:hAnsi="Verdana"/>
                <w:bCs/>
                <w:sz w:val="20"/>
              </w:rPr>
              <w:t xml:space="preserve">See the </w:t>
            </w:r>
            <w:hyperlink w:anchor="xxMiscellaneous" w:history="1">
              <w:r w:rsidRPr="005E385F">
                <w:rPr>
                  <w:rStyle w:val="Hyperlink"/>
                  <w:rFonts w:ascii="Verdana" w:hAnsi="Verdana"/>
                  <w:bCs/>
                  <w:sz w:val="20"/>
                </w:rPr>
                <w:t>Miscellaneous</w:t>
              </w:r>
              <w:r w:rsidRPr="005E385F">
                <w:rPr>
                  <w:rFonts w:ascii="Verdana" w:hAnsi="Verdana"/>
                  <w:sz w:val="20"/>
                </w:rPr>
                <w:fldChar w:fldCharType="begin"/>
              </w:r>
              <w:r w:rsidRPr="005E385F">
                <w:rPr>
                  <w:rFonts w:ascii="Verdana" w:hAnsi="Verdana"/>
                  <w:sz w:val="20"/>
                </w:rPr>
                <w:instrText>xe "Miscellaneous Services"</w:instrText>
              </w:r>
              <w:r w:rsidRPr="005E385F">
                <w:rPr>
                  <w:rFonts w:ascii="Verdana" w:hAnsi="Verdana"/>
                  <w:sz w:val="20"/>
                </w:rPr>
                <w:fldChar w:fldCharType="end"/>
              </w:r>
            </w:hyperlink>
            <w:r w:rsidRPr="005E385F">
              <w:rPr>
                <w:rFonts w:ascii="Verdana" w:hAnsi="Verdana"/>
                <w:bCs/>
                <w:sz w:val="20"/>
              </w:rPr>
              <w:t xml:space="preserve"> section of this document for additional entries applicable to Internal Connections</w:t>
            </w:r>
            <w:r w:rsidRPr="005E385F">
              <w:rPr>
                <w:rFonts w:ascii="Verdana" w:hAnsi="Verdana"/>
                <w:sz w:val="20"/>
              </w:rPr>
              <w:fldChar w:fldCharType="begin"/>
            </w:r>
            <w:r w:rsidRPr="005E385F">
              <w:rPr>
                <w:rFonts w:ascii="Verdana" w:hAnsi="Verdana"/>
                <w:sz w:val="20"/>
              </w:rPr>
              <w:instrText>xe "</w:instrText>
            </w:r>
            <w:r w:rsidRPr="005E385F">
              <w:rPr>
                <w:rStyle w:val="Hyperlink"/>
                <w:rFonts w:ascii="Verdana" w:hAnsi="Verdana"/>
                <w:sz w:val="20"/>
              </w:rPr>
              <w:instrText>Internal Connections</w:instrText>
            </w:r>
            <w:r w:rsidRPr="005E385F">
              <w:rPr>
                <w:rFonts w:ascii="Verdana" w:hAnsi="Verdana"/>
                <w:sz w:val="20"/>
              </w:rPr>
              <w:instrText>"</w:instrText>
            </w:r>
            <w:r w:rsidRPr="005E385F">
              <w:rPr>
                <w:rFonts w:ascii="Verdana" w:hAnsi="Verdana"/>
                <w:sz w:val="20"/>
              </w:rPr>
              <w:fldChar w:fldCharType="end"/>
            </w:r>
            <w:r w:rsidRPr="005E385F">
              <w:rPr>
                <w:rFonts w:ascii="Verdana" w:hAnsi="Verdana"/>
                <w:bCs/>
                <w:sz w:val="20"/>
              </w:rPr>
              <w:t>.  For example, finance charges</w:t>
            </w:r>
            <w:r w:rsidRPr="005E385F">
              <w:rPr>
                <w:rFonts w:ascii="Verdana" w:hAnsi="Verdana"/>
                <w:sz w:val="20"/>
              </w:rPr>
              <w:fldChar w:fldCharType="begin"/>
            </w:r>
            <w:r w:rsidRPr="005E385F">
              <w:rPr>
                <w:rFonts w:ascii="Verdana" w:hAnsi="Verdana"/>
                <w:sz w:val="20"/>
              </w:rPr>
              <w:instrText>xe "F</w:instrText>
            </w:r>
            <w:r w:rsidRPr="005E385F">
              <w:rPr>
                <w:rFonts w:ascii="Verdana" w:hAnsi="Verdana"/>
                <w:bCs/>
                <w:sz w:val="20"/>
              </w:rPr>
              <w:instrText>inance Charges</w:instrText>
            </w:r>
            <w:r w:rsidRPr="005E385F">
              <w:rPr>
                <w:rFonts w:ascii="Verdana" w:hAnsi="Verdana"/>
                <w:sz w:val="20"/>
              </w:rPr>
              <w:instrText>"</w:instrText>
            </w:r>
            <w:r w:rsidRPr="005E385F">
              <w:rPr>
                <w:rFonts w:ascii="Verdana" w:hAnsi="Verdana"/>
                <w:sz w:val="20"/>
              </w:rPr>
              <w:fldChar w:fldCharType="end"/>
            </w:r>
            <w:r w:rsidRPr="005E385F">
              <w:rPr>
                <w:rFonts w:ascii="Verdana" w:hAnsi="Verdana"/>
                <w:bCs/>
                <w:sz w:val="20"/>
              </w:rPr>
              <w:t xml:space="preserve"> and termination charges</w:t>
            </w:r>
            <w:r w:rsidRPr="005E385F">
              <w:rPr>
                <w:rFonts w:ascii="Verdana" w:hAnsi="Verdana"/>
                <w:sz w:val="20"/>
              </w:rPr>
              <w:fldChar w:fldCharType="begin"/>
            </w:r>
            <w:r w:rsidRPr="005E385F">
              <w:rPr>
                <w:rFonts w:ascii="Verdana" w:hAnsi="Verdana"/>
                <w:sz w:val="20"/>
              </w:rPr>
              <w:instrText>xe "T</w:instrText>
            </w:r>
            <w:r w:rsidRPr="005E385F">
              <w:rPr>
                <w:rFonts w:ascii="Verdana" w:hAnsi="Verdana"/>
                <w:bCs/>
                <w:sz w:val="20"/>
              </w:rPr>
              <w:instrText>ermination Charges</w:instrText>
            </w:r>
            <w:r w:rsidRPr="005E385F">
              <w:rPr>
                <w:rFonts w:ascii="Verdana" w:hAnsi="Verdana"/>
                <w:sz w:val="20"/>
              </w:rPr>
              <w:instrText>"</w:instrText>
            </w:r>
            <w:r w:rsidRPr="005E385F">
              <w:rPr>
                <w:rFonts w:ascii="Verdana" w:hAnsi="Verdana"/>
                <w:sz w:val="20"/>
              </w:rPr>
              <w:fldChar w:fldCharType="end"/>
            </w:r>
            <w:r w:rsidRPr="005E385F">
              <w:rPr>
                <w:rFonts w:ascii="Verdana" w:hAnsi="Verdana"/>
                <w:bCs/>
                <w:sz w:val="20"/>
              </w:rPr>
              <w:t xml:space="preserve"> are not eligible.</w:t>
            </w:r>
          </w:p>
        </w:tc>
      </w:tr>
    </w:tbl>
    <w:p w14:paraId="225FF96A" w14:textId="77777777" w:rsidR="00F935B1" w:rsidRPr="005E385F" w:rsidRDefault="00F935B1" w:rsidP="00F935B1">
      <w:pPr>
        <w:rPr>
          <w:rFonts w:ascii="Verdana" w:hAnsi="Verdana"/>
          <w:sz w:val="20"/>
        </w:rPr>
      </w:pPr>
    </w:p>
    <w:p w14:paraId="56F01FBD" w14:textId="77777777" w:rsidR="00F935B1" w:rsidRPr="005E385F" w:rsidRDefault="00F935B1" w:rsidP="00F935B1">
      <w:pPr>
        <w:rPr>
          <w:rFonts w:ascii="Verdana" w:hAnsi="Verdana"/>
          <w:sz w:val="20"/>
        </w:rPr>
      </w:pPr>
    </w:p>
    <w:p w14:paraId="409DCC72" w14:textId="77777777" w:rsidR="00F935B1" w:rsidRPr="005E385F" w:rsidRDefault="00F935B1" w:rsidP="00F935B1">
      <w:pPr>
        <w:rPr>
          <w:rFonts w:ascii="Verdana" w:hAnsi="Verdana"/>
          <w:sz w:val="20"/>
        </w:rPr>
      </w:pPr>
    </w:p>
    <w:p w14:paraId="00B91AB1" w14:textId="77777777" w:rsidR="00F935B1" w:rsidRPr="005E385F" w:rsidRDefault="00F935B1" w:rsidP="00F935B1">
      <w:pPr>
        <w:rPr>
          <w:rFonts w:ascii="Verdana" w:hAnsi="Verdana"/>
          <w:sz w:val="20"/>
        </w:rPr>
      </w:pPr>
    </w:p>
    <w:p w14:paraId="5841B3A5" w14:textId="77777777" w:rsidR="00F935B1" w:rsidRPr="005E385F" w:rsidRDefault="00F935B1" w:rsidP="00F935B1">
      <w:pPr>
        <w:rPr>
          <w:rFonts w:ascii="Verdana" w:hAnsi="Verdana"/>
          <w:sz w:val="20"/>
        </w:rPr>
      </w:pPr>
    </w:p>
    <w:p w14:paraId="6B959562" w14:textId="77777777" w:rsidR="00F935B1" w:rsidRPr="005E385F" w:rsidRDefault="00F935B1" w:rsidP="00F935B1">
      <w:pPr>
        <w:rPr>
          <w:rFonts w:ascii="Verdana" w:hAnsi="Verdana"/>
          <w:sz w:val="20"/>
        </w:rPr>
      </w:pPr>
    </w:p>
    <w:p w14:paraId="6490D11A" w14:textId="77777777" w:rsidR="00F935B1" w:rsidRPr="005E385F" w:rsidRDefault="00F935B1" w:rsidP="00F935B1">
      <w:pPr>
        <w:rPr>
          <w:rFonts w:ascii="Verdana" w:hAnsi="Verdana"/>
          <w:sz w:val="20"/>
        </w:rPr>
      </w:pPr>
    </w:p>
    <w:p w14:paraId="22B2C011" w14:textId="77777777" w:rsidR="00F935B1" w:rsidRPr="005E385F" w:rsidRDefault="00F935B1" w:rsidP="00F935B1">
      <w:pPr>
        <w:rPr>
          <w:rFonts w:ascii="Verdana" w:hAnsi="Verdana"/>
          <w:sz w:val="20"/>
        </w:rPr>
      </w:pPr>
    </w:p>
    <w:p w14:paraId="3E7F1C0D" w14:textId="77777777" w:rsidR="00F935B1" w:rsidRPr="005E385F" w:rsidRDefault="00F935B1" w:rsidP="00F935B1">
      <w:pPr>
        <w:rPr>
          <w:rFonts w:ascii="Verdana" w:hAnsi="Verdana"/>
          <w:sz w:val="20"/>
        </w:rPr>
      </w:pPr>
    </w:p>
    <w:p w14:paraId="2D63EA54" w14:textId="77777777" w:rsidR="00F935B1" w:rsidRPr="005E385F" w:rsidRDefault="00F935B1" w:rsidP="00F935B1">
      <w:pPr>
        <w:rPr>
          <w:rFonts w:ascii="Verdana" w:hAnsi="Verdana"/>
          <w:sz w:val="20"/>
        </w:rPr>
      </w:pPr>
    </w:p>
    <w:p w14:paraId="6D21568E" w14:textId="77777777" w:rsidR="00F935B1" w:rsidRDefault="00F935B1" w:rsidP="00F935B1">
      <w:pPr>
        <w:rPr>
          <w:rFonts w:ascii="Verdana" w:hAnsi="Verdana"/>
        </w:rPr>
        <w:sectPr w:rsidR="00F935B1" w:rsidSect="0083602C">
          <w:footerReference w:type="default" r:id="rId36"/>
          <w:pgSz w:w="12240" w:h="15840"/>
          <w:pgMar w:top="1440" w:right="1800" w:bottom="1440" w:left="1800" w:header="720" w:footer="720" w:gutter="0"/>
          <w:cols w:space="720"/>
          <w:docGrid w:linePitch="360"/>
        </w:sectPr>
      </w:pPr>
    </w:p>
    <w:tbl>
      <w:tblPr>
        <w:tblW w:w="9302" w:type="dxa"/>
        <w:tblCellSpacing w:w="15" w:type="dxa"/>
        <w:tblInd w:w="150" w:type="dxa"/>
        <w:tblBorders>
          <w:top w:val="outset" w:sz="6" w:space="0" w:color="auto"/>
          <w:left w:val="single" w:sz="4" w:space="0" w:color="auto"/>
          <w:bottom w:val="outset" w:sz="6" w:space="0" w:color="auto"/>
          <w:right w:val="outset" w:sz="6" w:space="0" w:color="auto"/>
          <w:insideH w:val="outset" w:sz="6" w:space="0" w:color="auto"/>
          <w:insideV w:val="outset" w:sz="6" w:space="0" w:color="auto"/>
        </w:tblBorders>
        <w:tblLayout w:type="fixed"/>
        <w:tblCellMar>
          <w:top w:w="43" w:type="dxa"/>
          <w:left w:w="288" w:type="dxa"/>
          <w:bottom w:w="43" w:type="dxa"/>
          <w:right w:w="288" w:type="dxa"/>
        </w:tblCellMar>
        <w:tblLook w:val="0000" w:firstRow="0" w:lastRow="0" w:firstColumn="0" w:lastColumn="0" w:noHBand="0" w:noVBand="0"/>
      </w:tblPr>
      <w:tblGrid>
        <w:gridCol w:w="2208"/>
        <w:gridCol w:w="7094"/>
      </w:tblGrid>
      <w:tr w:rsidR="00F935B1" w14:paraId="01B393FD" w14:textId="77777777" w:rsidTr="0083602C">
        <w:trPr>
          <w:cantSplit/>
          <w:tblCellSpacing w:w="15" w:type="dxa"/>
        </w:trPr>
        <w:tc>
          <w:tcPr>
            <w:tcW w:w="4968" w:type="pct"/>
            <w:gridSpan w:val="2"/>
            <w:shd w:val="clear" w:color="auto" w:fill="FFCC00"/>
          </w:tcPr>
          <w:p w14:paraId="33026EB6" w14:textId="77777777" w:rsidR="00F935B1" w:rsidRDefault="00F935B1" w:rsidP="0083602C">
            <w:pPr>
              <w:tabs>
                <w:tab w:val="left" w:pos="750"/>
              </w:tabs>
              <w:rPr>
                <w:rFonts w:ascii="Verdana" w:hAnsi="Verdana" w:cs="Arial"/>
                <w:b/>
                <w:bCs/>
              </w:rPr>
            </w:pPr>
          </w:p>
          <w:p w14:paraId="7F5E0FF5" w14:textId="77777777" w:rsidR="00F935B1" w:rsidRDefault="00F935B1" w:rsidP="0083602C">
            <w:pPr>
              <w:jc w:val="center"/>
              <w:rPr>
                <w:rFonts w:ascii="Verdana" w:hAnsi="Verdana" w:cs="Arial"/>
                <w:b/>
                <w:bCs/>
              </w:rPr>
            </w:pPr>
            <w:r>
              <w:rPr>
                <w:rFonts w:ascii="Verdana" w:hAnsi="Verdana" w:cs="Arial"/>
                <w:b/>
                <w:bCs/>
              </w:rPr>
              <w:t>Priority Two: Basic Maintenance of Internal Connections</w:t>
            </w:r>
            <w:r w:rsidRPr="001647BA">
              <w:rPr>
                <w:rFonts w:ascii="Verdana" w:hAnsi="Verdana"/>
                <w:sz w:val="20"/>
              </w:rPr>
              <w:fldChar w:fldCharType="begin"/>
            </w:r>
            <w:r w:rsidRPr="001647BA">
              <w:rPr>
                <w:rFonts w:ascii="Verdana" w:hAnsi="Verdana"/>
                <w:sz w:val="20"/>
              </w:rPr>
              <w:instrText xml:space="preserve">xe "Basic Maintenance of </w:instrText>
            </w:r>
            <w:r w:rsidRPr="001647BA">
              <w:rPr>
                <w:rStyle w:val="Hyperlink"/>
                <w:rFonts w:ascii="Verdana" w:hAnsi="Verdana"/>
                <w:sz w:val="20"/>
              </w:rPr>
              <w:instrText>Internal Connections</w:instrText>
            </w:r>
            <w:r w:rsidRPr="001647BA">
              <w:rPr>
                <w:rFonts w:ascii="Verdana" w:hAnsi="Verdana"/>
                <w:sz w:val="20"/>
              </w:rPr>
              <w:instrText>"</w:instrText>
            </w:r>
            <w:r w:rsidRPr="001647BA">
              <w:rPr>
                <w:rFonts w:ascii="Verdana" w:hAnsi="Verdana"/>
                <w:sz w:val="20"/>
              </w:rPr>
              <w:fldChar w:fldCharType="end"/>
            </w:r>
            <w:r>
              <w:rPr>
                <w:rFonts w:ascii="Verdana" w:hAnsi="Verdana" w:cs="Arial"/>
                <w:b/>
                <w:bCs/>
              </w:rPr>
              <w:t xml:space="preserve"> </w:t>
            </w:r>
          </w:p>
          <w:p w14:paraId="56973405" w14:textId="77777777" w:rsidR="00F935B1" w:rsidRDefault="00F935B1" w:rsidP="0083602C">
            <w:pPr>
              <w:jc w:val="center"/>
              <w:rPr>
                <w:rFonts w:ascii="Verdana" w:hAnsi="Verdana"/>
                <w:sz w:val="20"/>
              </w:rPr>
            </w:pPr>
          </w:p>
        </w:tc>
      </w:tr>
      <w:tr w:rsidR="00F935B1" w:rsidRPr="005E385F" w14:paraId="48DA47F7" w14:textId="77777777" w:rsidTr="0083602C">
        <w:trPr>
          <w:cantSplit/>
          <w:tblCellSpacing w:w="15" w:type="dxa"/>
        </w:trPr>
        <w:tc>
          <w:tcPr>
            <w:tcW w:w="4968" w:type="pct"/>
            <w:gridSpan w:val="2"/>
          </w:tcPr>
          <w:p w14:paraId="6141012A" w14:textId="77777777" w:rsidR="00F935B1" w:rsidRPr="005E385F" w:rsidRDefault="00F935B1" w:rsidP="0083602C">
            <w:pPr>
              <w:pStyle w:val="NormalWeb"/>
              <w:spacing w:before="0" w:beforeAutospacing="0" w:after="0"/>
              <w:rPr>
                <w:rFonts w:ascii="Verdana" w:hAnsi="Verdana"/>
                <w:sz w:val="20"/>
              </w:rPr>
            </w:pPr>
          </w:p>
          <w:p w14:paraId="15D68134" w14:textId="77777777" w:rsidR="00F935B1" w:rsidRPr="005E385F" w:rsidRDefault="00F935B1" w:rsidP="0083602C">
            <w:pPr>
              <w:pStyle w:val="NormalWeb"/>
              <w:spacing w:before="0" w:beforeAutospacing="0" w:after="0"/>
              <w:rPr>
                <w:rFonts w:ascii="Verdana" w:hAnsi="Verdana"/>
                <w:sz w:val="20"/>
              </w:rPr>
            </w:pPr>
            <w:r w:rsidRPr="005E385F">
              <w:rPr>
                <w:rFonts w:ascii="Verdana" w:hAnsi="Verdana"/>
                <w:sz w:val="20"/>
              </w:rPr>
              <w:t>Basic maintenance</w:t>
            </w:r>
            <w:r w:rsidRPr="005E385F">
              <w:rPr>
                <w:rFonts w:ascii="Verdana" w:hAnsi="Verdana"/>
                <w:sz w:val="20"/>
              </w:rPr>
              <w:fldChar w:fldCharType="begin"/>
            </w:r>
            <w:r w:rsidRPr="005E385F">
              <w:rPr>
                <w:rFonts w:ascii="Verdana" w:hAnsi="Verdana"/>
                <w:sz w:val="20"/>
              </w:rPr>
              <w:instrText xml:space="preserve">xe "Basic </w:instrText>
            </w:r>
            <w:r w:rsidRPr="005E385F">
              <w:rPr>
                <w:rFonts w:ascii="Verdana" w:hAnsi="Verdana"/>
                <w:bCs/>
                <w:sz w:val="20"/>
              </w:rPr>
              <w:instrText>Maintenance of Internal Connections</w:instrText>
            </w:r>
            <w:r w:rsidRPr="005E385F">
              <w:rPr>
                <w:rFonts w:ascii="Verdana" w:hAnsi="Verdana"/>
                <w:sz w:val="20"/>
              </w:rPr>
              <w:instrText>"</w:instrText>
            </w:r>
            <w:r w:rsidRPr="005E385F">
              <w:rPr>
                <w:rFonts w:ascii="Verdana" w:hAnsi="Verdana"/>
                <w:sz w:val="20"/>
              </w:rPr>
              <w:fldChar w:fldCharType="end"/>
            </w:r>
            <w:r w:rsidRPr="005E385F">
              <w:rPr>
                <w:rFonts w:ascii="Verdana" w:hAnsi="Verdana"/>
                <w:sz w:val="20"/>
              </w:rPr>
              <w:t xml:space="preserve"> of internal connections (BMIC) ensures the necessary and continued operation of eligible internal connection components at eligible locations.</w:t>
            </w:r>
          </w:p>
          <w:p w14:paraId="6127634F" w14:textId="77777777" w:rsidR="00F935B1" w:rsidRPr="005E385F" w:rsidRDefault="00F935B1" w:rsidP="0083602C">
            <w:pPr>
              <w:pStyle w:val="NormalWeb"/>
              <w:spacing w:before="0" w:beforeAutospacing="0" w:after="0"/>
              <w:rPr>
                <w:rFonts w:ascii="Verdana" w:hAnsi="Verdana"/>
                <w:sz w:val="20"/>
              </w:rPr>
            </w:pPr>
          </w:p>
          <w:p w14:paraId="3F19A91D" w14:textId="77777777" w:rsidR="00F935B1" w:rsidRPr="005E385F" w:rsidRDefault="00F935B1" w:rsidP="0083602C">
            <w:pPr>
              <w:pStyle w:val="NormalWeb"/>
              <w:spacing w:before="0" w:beforeAutospacing="0" w:after="0"/>
              <w:rPr>
                <w:rFonts w:ascii="Verdana" w:hAnsi="Verdana"/>
                <w:sz w:val="20"/>
              </w:rPr>
            </w:pPr>
            <w:r w:rsidRPr="005E385F">
              <w:rPr>
                <w:rFonts w:ascii="Verdana" w:hAnsi="Verdana"/>
                <w:sz w:val="20"/>
              </w:rPr>
              <w:t>Funding will be provided for the eligible portion of a technical support contract that includes services that exceed BMIC, if the ineligible portion of the contract can be cost allocated.  Technical support contracts</w:t>
            </w:r>
            <w:r w:rsidRPr="005E385F">
              <w:rPr>
                <w:rFonts w:ascii="Verdana" w:hAnsi="Verdana"/>
                <w:sz w:val="20"/>
              </w:rPr>
              <w:fldChar w:fldCharType="begin"/>
            </w:r>
            <w:r w:rsidRPr="005E385F">
              <w:rPr>
                <w:rFonts w:ascii="Verdana" w:hAnsi="Verdana"/>
                <w:sz w:val="20"/>
              </w:rPr>
              <w:instrText>xe "Technical Support Contracts"</w:instrText>
            </w:r>
            <w:r w:rsidRPr="005E385F">
              <w:rPr>
                <w:rFonts w:ascii="Verdana" w:hAnsi="Verdana"/>
                <w:sz w:val="20"/>
              </w:rPr>
              <w:fldChar w:fldCharType="end"/>
            </w:r>
            <w:r w:rsidRPr="005E385F">
              <w:rPr>
                <w:rFonts w:ascii="Verdana" w:hAnsi="Verdana"/>
                <w:sz w:val="20"/>
              </w:rPr>
              <w:t xml:space="preserve"> that cannot be cost allocated to remove costs that are beyond BMIC, are ineligible in their entirety.</w:t>
            </w:r>
          </w:p>
          <w:p w14:paraId="56798816" w14:textId="77777777" w:rsidR="00F935B1" w:rsidRPr="005E385F" w:rsidRDefault="00F935B1" w:rsidP="0083602C">
            <w:pPr>
              <w:rPr>
                <w:rFonts w:ascii="Verdana" w:hAnsi="Verdana"/>
                <w:sz w:val="20"/>
              </w:rPr>
            </w:pPr>
          </w:p>
          <w:p w14:paraId="0F66A9EF" w14:textId="77777777" w:rsidR="00F935B1" w:rsidRPr="005E385F" w:rsidRDefault="00F935B1" w:rsidP="0083602C">
            <w:pPr>
              <w:rPr>
                <w:rFonts w:ascii="Verdana" w:hAnsi="Verdana"/>
                <w:sz w:val="20"/>
              </w:rPr>
            </w:pPr>
            <w:r w:rsidRPr="005E385F">
              <w:rPr>
                <w:rFonts w:ascii="Verdana" w:hAnsi="Verdana"/>
                <w:sz w:val="20"/>
              </w:rPr>
              <w:t>All requests in this category are for services to be delivered within the July 1 to June 30 Funding Year.</w:t>
            </w:r>
          </w:p>
          <w:p w14:paraId="7091E58D" w14:textId="77777777" w:rsidR="00F935B1" w:rsidRPr="005E385F" w:rsidRDefault="00F935B1" w:rsidP="0083602C">
            <w:pPr>
              <w:rPr>
                <w:rFonts w:ascii="Verdana" w:hAnsi="Verdana"/>
                <w:sz w:val="20"/>
              </w:rPr>
            </w:pPr>
          </w:p>
          <w:p w14:paraId="2820471D" w14:textId="77777777" w:rsidR="00F935B1" w:rsidRPr="005E385F" w:rsidRDefault="00F935B1" w:rsidP="0083602C">
            <w:pPr>
              <w:pStyle w:val="NormalWeb"/>
              <w:spacing w:before="0" w:beforeAutospacing="0" w:after="0"/>
              <w:rPr>
                <w:rFonts w:ascii="Verdana" w:hAnsi="Verdana"/>
                <w:sz w:val="20"/>
              </w:rPr>
            </w:pPr>
            <w:r w:rsidRPr="005E385F">
              <w:rPr>
                <w:rFonts w:ascii="Verdana" w:hAnsi="Verdana"/>
                <w:sz w:val="20"/>
              </w:rPr>
              <w:t>Although Internal Connections</w:t>
            </w:r>
            <w:r w:rsidRPr="005E385F">
              <w:rPr>
                <w:rFonts w:ascii="Verdana" w:hAnsi="Verdana"/>
                <w:sz w:val="20"/>
              </w:rPr>
              <w:fldChar w:fldCharType="begin"/>
            </w:r>
            <w:r w:rsidRPr="005E385F">
              <w:rPr>
                <w:rFonts w:ascii="Verdana" w:hAnsi="Verdana"/>
                <w:sz w:val="20"/>
              </w:rPr>
              <w:instrText>xe "</w:instrText>
            </w:r>
            <w:r w:rsidRPr="005E385F">
              <w:rPr>
                <w:rStyle w:val="Hyperlink"/>
                <w:rFonts w:ascii="Verdana" w:hAnsi="Verdana"/>
                <w:sz w:val="20"/>
              </w:rPr>
              <w:instrText>Internal Connections</w:instrText>
            </w:r>
            <w:r w:rsidRPr="005E385F">
              <w:rPr>
                <w:rFonts w:ascii="Verdana" w:hAnsi="Verdana"/>
                <w:sz w:val="20"/>
              </w:rPr>
              <w:instrText>"</w:instrText>
            </w:r>
            <w:r w:rsidRPr="005E385F">
              <w:rPr>
                <w:rFonts w:ascii="Verdana" w:hAnsi="Verdana"/>
                <w:sz w:val="20"/>
              </w:rPr>
              <w:fldChar w:fldCharType="end"/>
            </w:r>
            <w:r w:rsidRPr="005E385F">
              <w:rPr>
                <w:rFonts w:ascii="Verdana" w:hAnsi="Verdana"/>
                <w:sz w:val="20"/>
              </w:rPr>
              <w:t xml:space="preserve"> is subject to the provisions of the “</w:t>
            </w:r>
            <w:hyperlink w:anchor="xxAddlRefInfo2OutOf5Rule" w:history="1">
              <w:r w:rsidRPr="005E385F">
                <w:rPr>
                  <w:rStyle w:val="Hyperlink"/>
                  <w:rFonts w:ascii="Verdana" w:hAnsi="Verdana"/>
                  <w:sz w:val="20"/>
                </w:rPr>
                <w:t>Two-in-Five Rule</w:t>
              </w:r>
              <w:r w:rsidRPr="005E385F">
                <w:rPr>
                  <w:rFonts w:ascii="Verdana" w:hAnsi="Verdana"/>
                  <w:sz w:val="20"/>
                </w:rPr>
                <w:fldChar w:fldCharType="begin"/>
              </w:r>
              <w:r w:rsidRPr="005E385F">
                <w:rPr>
                  <w:rFonts w:ascii="Verdana" w:hAnsi="Verdana"/>
                  <w:sz w:val="20"/>
                </w:rPr>
                <w:instrText>xe "Two-in-Five Rule"</w:instrText>
              </w:r>
              <w:r w:rsidRPr="005E385F">
                <w:rPr>
                  <w:rFonts w:ascii="Verdana" w:hAnsi="Verdana"/>
                  <w:sz w:val="20"/>
                </w:rPr>
                <w:fldChar w:fldCharType="end"/>
              </w:r>
            </w:hyperlink>
            <w:r w:rsidRPr="005E385F">
              <w:rPr>
                <w:rFonts w:ascii="Verdana" w:hAnsi="Verdana"/>
                <w:sz w:val="20"/>
              </w:rPr>
              <w:t>,” this rule does not apply to Basic Maintenance of Internal Connections (“BMIC”).</w:t>
            </w:r>
          </w:p>
          <w:p w14:paraId="7954E4CB" w14:textId="77777777" w:rsidR="00F935B1" w:rsidRPr="005E385F" w:rsidRDefault="00F935B1" w:rsidP="0083602C">
            <w:pPr>
              <w:pStyle w:val="NormalWeb"/>
              <w:spacing w:before="0" w:beforeAutospacing="0" w:after="0"/>
              <w:rPr>
                <w:rFonts w:ascii="Verdana" w:hAnsi="Verdana"/>
                <w:sz w:val="20"/>
              </w:rPr>
            </w:pPr>
          </w:p>
        </w:tc>
      </w:tr>
      <w:tr w:rsidR="00F935B1" w:rsidRPr="005E385F" w14:paraId="3B611BE4" w14:textId="77777777" w:rsidTr="0083602C">
        <w:trPr>
          <w:tblCellSpacing w:w="15" w:type="dxa"/>
        </w:trPr>
        <w:tc>
          <w:tcPr>
            <w:tcW w:w="1166" w:type="pct"/>
          </w:tcPr>
          <w:p w14:paraId="7907B11C" w14:textId="77777777" w:rsidR="00F935B1" w:rsidRPr="005E385F" w:rsidRDefault="00F935B1" w:rsidP="0083602C">
            <w:pPr>
              <w:rPr>
                <w:rFonts w:ascii="Verdana" w:hAnsi="Verdana"/>
                <w:sz w:val="20"/>
              </w:rPr>
            </w:pPr>
            <w:r w:rsidRPr="005E385F">
              <w:rPr>
                <w:rFonts w:ascii="Verdana" w:hAnsi="Verdana"/>
                <w:sz w:val="20"/>
              </w:rPr>
              <w:t>Maintenance and Technical Support</w:t>
            </w:r>
            <w:r w:rsidRPr="005E385F">
              <w:rPr>
                <w:rFonts w:ascii="Verdana" w:hAnsi="Verdana"/>
                <w:sz w:val="20"/>
              </w:rPr>
              <w:fldChar w:fldCharType="begin"/>
            </w:r>
            <w:r w:rsidRPr="005E385F">
              <w:rPr>
                <w:rFonts w:ascii="Verdana" w:hAnsi="Verdana"/>
                <w:sz w:val="20"/>
              </w:rPr>
              <w:instrText>xe "Technical Support"</w:instrText>
            </w:r>
            <w:r w:rsidRPr="005E385F">
              <w:rPr>
                <w:rFonts w:ascii="Verdana" w:hAnsi="Verdana"/>
                <w:sz w:val="20"/>
              </w:rPr>
              <w:fldChar w:fldCharType="end"/>
            </w:r>
            <w:r w:rsidRPr="005E385F">
              <w:rPr>
                <w:rFonts w:ascii="Verdana" w:hAnsi="Verdana"/>
                <w:sz w:val="20"/>
              </w:rPr>
              <w:t xml:space="preserve"> of Internal Connections</w:t>
            </w:r>
            <w:r w:rsidRPr="005E385F">
              <w:rPr>
                <w:rFonts w:ascii="Verdana" w:hAnsi="Verdana"/>
                <w:sz w:val="20"/>
              </w:rPr>
              <w:fldChar w:fldCharType="begin"/>
            </w:r>
            <w:r w:rsidRPr="005E385F">
              <w:rPr>
                <w:rFonts w:ascii="Verdana" w:hAnsi="Verdana"/>
                <w:sz w:val="20"/>
              </w:rPr>
              <w:instrText>xe "</w:instrText>
            </w:r>
            <w:r w:rsidRPr="005E385F">
              <w:rPr>
                <w:rStyle w:val="Hyperlink"/>
                <w:rFonts w:ascii="Verdana" w:hAnsi="Verdana"/>
                <w:sz w:val="20"/>
              </w:rPr>
              <w:instrText>Internal Connections</w:instrText>
            </w:r>
            <w:r w:rsidRPr="005E385F">
              <w:rPr>
                <w:rFonts w:ascii="Verdana" w:hAnsi="Verdana"/>
                <w:sz w:val="20"/>
              </w:rPr>
              <w:instrText>"</w:instrText>
            </w:r>
            <w:r w:rsidRPr="005E385F">
              <w:rPr>
                <w:rFonts w:ascii="Verdana" w:hAnsi="Verdana"/>
                <w:sz w:val="20"/>
              </w:rPr>
              <w:fldChar w:fldCharType="end"/>
            </w:r>
          </w:p>
          <w:p w14:paraId="37226BF8" w14:textId="77777777" w:rsidR="00F935B1" w:rsidRPr="005E385F" w:rsidRDefault="00F935B1" w:rsidP="0083602C">
            <w:pPr>
              <w:jc w:val="center"/>
              <w:rPr>
                <w:rFonts w:ascii="Verdana" w:hAnsi="Verdana"/>
                <w:sz w:val="20"/>
              </w:rPr>
            </w:pPr>
          </w:p>
          <w:p w14:paraId="3E94D90B" w14:textId="77777777" w:rsidR="00F935B1" w:rsidRPr="005E385F" w:rsidRDefault="00F935B1" w:rsidP="0083602C">
            <w:pPr>
              <w:jc w:val="center"/>
              <w:rPr>
                <w:rFonts w:ascii="Verdana" w:hAnsi="Verdana"/>
                <w:sz w:val="20"/>
              </w:rPr>
            </w:pPr>
          </w:p>
        </w:tc>
        <w:tc>
          <w:tcPr>
            <w:tcW w:w="3785" w:type="pct"/>
          </w:tcPr>
          <w:p w14:paraId="6F574D91" w14:textId="77777777" w:rsidR="00F935B1" w:rsidRPr="005E385F" w:rsidRDefault="00F935B1" w:rsidP="0083602C">
            <w:pPr>
              <w:pStyle w:val="NormalWeb"/>
              <w:spacing w:before="0" w:beforeAutospacing="0" w:after="0"/>
              <w:rPr>
                <w:rFonts w:ascii="Verdana" w:hAnsi="Verdana"/>
                <w:bCs/>
                <w:sz w:val="20"/>
              </w:rPr>
            </w:pPr>
            <w:r w:rsidRPr="005E385F">
              <w:rPr>
                <w:rFonts w:ascii="Verdana" w:hAnsi="Verdana"/>
                <w:bCs/>
                <w:sz w:val="20"/>
              </w:rPr>
              <w:t>Necessary basic maintenance</w:t>
            </w:r>
            <w:r w:rsidRPr="005E385F">
              <w:rPr>
                <w:rFonts w:ascii="Verdana" w:hAnsi="Verdana"/>
                <w:sz w:val="20"/>
              </w:rPr>
              <w:fldChar w:fldCharType="begin"/>
            </w:r>
            <w:r w:rsidRPr="005E385F">
              <w:rPr>
                <w:rFonts w:ascii="Verdana" w:hAnsi="Verdana"/>
                <w:sz w:val="20"/>
              </w:rPr>
              <w:instrText>xe "Basic Maintenance of Internal Connections"</w:instrText>
            </w:r>
            <w:r w:rsidRPr="005E385F">
              <w:rPr>
                <w:rFonts w:ascii="Verdana" w:hAnsi="Verdana"/>
                <w:sz w:val="20"/>
              </w:rPr>
              <w:fldChar w:fldCharType="end"/>
            </w:r>
            <w:r w:rsidRPr="005E385F">
              <w:rPr>
                <w:rFonts w:ascii="Verdana" w:hAnsi="Verdana"/>
                <w:bCs/>
                <w:sz w:val="20"/>
              </w:rPr>
              <w:t xml:space="preserve"> services are defined as follows:  “</w:t>
            </w:r>
            <w:r w:rsidRPr="005E385F">
              <w:rPr>
                <w:rFonts w:ascii="Verdana" w:hAnsi="Verdana"/>
                <w:sz w:val="20"/>
              </w:rPr>
              <w:t xml:space="preserve">but for the maintenance at issue, the connection would not function and serve its intended purpose with the degree of reliability ordinarily provided in the marketplace to entities receiving such services without E-rate discounts.”  47 C.F.R. § 54.506(b).  </w:t>
            </w:r>
            <w:r w:rsidRPr="005E385F">
              <w:rPr>
                <w:rFonts w:ascii="Verdana" w:hAnsi="Verdana"/>
                <w:bCs/>
                <w:sz w:val="20"/>
              </w:rPr>
              <w:t xml:space="preserve">The following basic maintenance services are eligible: </w:t>
            </w:r>
          </w:p>
          <w:p w14:paraId="034793F6" w14:textId="77777777" w:rsidR="00F935B1" w:rsidRPr="005E385F" w:rsidRDefault="00F935B1" w:rsidP="0083602C">
            <w:pPr>
              <w:pStyle w:val="NormalWeb"/>
              <w:spacing w:before="0" w:beforeAutospacing="0" w:after="0"/>
              <w:rPr>
                <w:rFonts w:ascii="Verdana" w:hAnsi="Verdana"/>
                <w:bCs/>
                <w:sz w:val="20"/>
              </w:rPr>
            </w:pPr>
          </w:p>
          <w:p w14:paraId="6C040793" w14:textId="77777777" w:rsidR="00F935B1" w:rsidRPr="005E385F" w:rsidRDefault="00F935B1" w:rsidP="00F935B1">
            <w:pPr>
              <w:numPr>
                <w:ilvl w:val="0"/>
                <w:numId w:val="25"/>
              </w:numPr>
              <w:rPr>
                <w:rFonts w:ascii="Verdana" w:hAnsi="Verdana"/>
                <w:sz w:val="20"/>
              </w:rPr>
            </w:pPr>
            <w:r w:rsidRPr="005E385F">
              <w:rPr>
                <w:rFonts w:ascii="Verdana" w:hAnsi="Verdana"/>
                <w:sz w:val="20"/>
              </w:rPr>
              <w:t>Repair and upkeep</w:t>
            </w:r>
            <w:r w:rsidRPr="005E385F">
              <w:rPr>
                <w:rFonts w:ascii="Verdana" w:hAnsi="Verdana"/>
                <w:sz w:val="20"/>
              </w:rPr>
              <w:fldChar w:fldCharType="begin"/>
            </w:r>
            <w:r w:rsidRPr="005E385F">
              <w:rPr>
                <w:rFonts w:ascii="Verdana" w:hAnsi="Verdana"/>
                <w:sz w:val="20"/>
              </w:rPr>
              <w:instrText>xe "Repair and Upkeep"</w:instrText>
            </w:r>
            <w:r w:rsidRPr="005E385F">
              <w:rPr>
                <w:rFonts w:ascii="Verdana" w:hAnsi="Verdana"/>
                <w:sz w:val="20"/>
              </w:rPr>
              <w:fldChar w:fldCharType="end"/>
            </w:r>
            <w:r w:rsidRPr="005E385F">
              <w:rPr>
                <w:rFonts w:ascii="Verdana" w:hAnsi="Verdana"/>
                <w:sz w:val="20"/>
              </w:rPr>
              <w:t xml:space="preserve"> of eligible hardware</w:t>
            </w:r>
          </w:p>
          <w:p w14:paraId="71A38FFB" w14:textId="77777777" w:rsidR="00F935B1" w:rsidRPr="005E385F" w:rsidRDefault="00F935B1" w:rsidP="00F935B1">
            <w:pPr>
              <w:numPr>
                <w:ilvl w:val="0"/>
                <w:numId w:val="25"/>
              </w:numPr>
              <w:rPr>
                <w:rFonts w:ascii="Verdana" w:hAnsi="Verdana"/>
                <w:sz w:val="20"/>
              </w:rPr>
            </w:pPr>
            <w:r w:rsidRPr="005E385F">
              <w:rPr>
                <w:rFonts w:ascii="Verdana" w:hAnsi="Verdana"/>
                <w:sz w:val="20"/>
              </w:rPr>
              <w:t>Wire</w:t>
            </w:r>
            <w:r w:rsidRPr="005E385F">
              <w:rPr>
                <w:rFonts w:ascii="Verdana" w:hAnsi="Verdana"/>
                <w:sz w:val="20"/>
              </w:rPr>
              <w:fldChar w:fldCharType="begin"/>
            </w:r>
            <w:r w:rsidRPr="005E385F">
              <w:rPr>
                <w:rFonts w:ascii="Verdana" w:hAnsi="Verdana"/>
                <w:sz w:val="20"/>
              </w:rPr>
              <w:instrText>xe "Wire Maintenance"</w:instrText>
            </w:r>
            <w:r w:rsidRPr="005E385F">
              <w:rPr>
                <w:rFonts w:ascii="Verdana" w:hAnsi="Verdana"/>
                <w:sz w:val="20"/>
              </w:rPr>
              <w:fldChar w:fldCharType="end"/>
            </w:r>
            <w:r w:rsidRPr="005E385F">
              <w:rPr>
                <w:rFonts w:ascii="Verdana" w:hAnsi="Verdana"/>
                <w:sz w:val="20"/>
              </w:rPr>
              <w:t xml:space="preserve"> and cable</w:t>
            </w:r>
            <w:r w:rsidRPr="005E385F">
              <w:rPr>
                <w:rFonts w:ascii="Verdana" w:hAnsi="Verdana"/>
                <w:sz w:val="20"/>
              </w:rPr>
              <w:fldChar w:fldCharType="begin"/>
            </w:r>
            <w:r w:rsidRPr="005E385F">
              <w:rPr>
                <w:rFonts w:ascii="Verdana" w:hAnsi="Verdana"/>
                <w:sz w:val="20"/>
              </w:rPr>
              <w:instrText>xe "Cable Maintenance"</w:instrText>
            </w:r>
            <w:r w:rsidRPr="005E385F">
              <w:rPr>
                <w:rFonts w:ascii="Verdana" w:hAnsi="Verdana"/>
                <w:sz w:val="20"/>
              </w:rPr>
              <w:fldChar w:fldCharType="end"/>
            </w:r>
            <w:r w:rsidRPr="005E385F">
              <w:rPr>
                <w:rFonts w:ascii="Verdana" w:hAnsi="Verdana"/>
                <w:sz w:val="20"/>
              </w:rPr>
              <w:t xml:space="preserve"> maintenance</w:t>
            </w:r>
          </w:p>
          <w:p w14:paraId="2AD79170" w14:textId="77777777" w:rsidR="00F935B1" w:rsidRPr="005E385F" w:rsidRDefault="00F935B1" w:rsidP="00F935B1">
            <w:pPr>
              <w:numPr>
                <w:ilvl w:val="0"/>
                <w:numId w:val="25"/>
              </w:numPr>
              <w:rPr>
                <w:rFonts w:ascii="Verdana" w:hAnsi="Verdana"/>
                <w:sz w:val="20"/>
              </w:rPr>
            </w:pPr>
            <w:r w:rsidRPr="005E385F">
              <w:rPr>
                <w:rFonts w:ascii="Verdana" w:hAnsi="Verdana"/>
                <w:sz w:val="20"/>
              </w:rPr>
              <w:t>Basic technical support</w:t>
            </w:r>
            <w:r w:rsidRPr="005E385F">
              <w:rPr>
                <w:rFonts w:ascii="Verdana" w:hAnsi="Verdana"/>
                <w:sz w:val="20"/>
              </w:rPr>
              <w:fldChar w:fldCharType="begin"/>
            </w:r>
            <w:r w:rsidRPr="005E385F">
              <w:rPr>
                <w:rFonts w:ascii="Verdana" w:hAnsi="Verdana"/>
                <w:sz w:val="20"/>
              </w:rPr>
              <w:instrText>xe "Technical Support"</w:instrText>
            </w:r>
            <w:r w:rsidRPr="005E385F">
              <w:rPr>
                <w:rFonts w:ascii="Verdana" w:hAnsi="Verdana"/>
                <w:sz w:val="20"/>
              </w:rPr>
              <w:fldChar w:fldCharType="end"/>
            </w:r>
          </w:p>
          <w:p w14:paraId="2AF335E7" w14:textId="77777777" w:rsidR="00F935B1" w:rsidRPr="005E385F" w:rsidRDefault="00F935B1" w:rsidP="00F935B1">
            <w:pPr>
              <w:numPr>
                <w:ilvl w:val="0"/>
                <w:numId w:val="25"/>
              </w:numPr>
              <w:rPr>
                <w:rFonts w:ascii="Verdana" w:hAnsi="Verdana"/>
                <w:sz w:val="20"/>
              </w:rPr>
            </w:pPr>
            <w:r w:rsidRPr="005E385F">
              <w:rPr>
                <w:rFonts w:ascii="Verdana" w:hAnsi="Verdana"/>
                <w:sz w:val="20"/>
              </w:rPr>
              <w:t>Configuration</w:t>
            </w:r>
            <w:r w:rsidRPr="005E385F">
              <w:rPr>
                <w:rFonts w:ascii="Verdana" w:hAnsi="Verdana"/>
                <w:sz w:val="20"/>
              </w:rPr>
              <w:fldChar w:fldCharType="begin"/>
            </w:r>
            <w:r w:rsidRPr="005E385F">
              <w:rPr>
                <w:rFonts w:ascii="Verdana" w:hAnsi="Verdana"/>
                <w:sz w:val="20"/>
              </w:rPr>
              <w:instrText>xe "Configuration"</w:instrText>
            </w:r>
            <w:r w:rsidRPr="005E385F">
              <w:rPr>
                <w:rFonts w:ascii="Verdana" w:hAnsi="Verdana"/>
                <w:sz w:val="20"/>
              </w:rPr>
              <w:fldChar w:fldCharType="end"/>
            </w:r>
            <w:r w:rsidRPr="005E385F">
              <w:rPr>
                <w:rFonts w:ascii="Verdana" w:hAnsi="Verdana"/>
                <w:sz w:val="20"/>
              </w:rPr>
              <w:t xml:space="preserve"> changes</w:t>
            </w:r>
          </w:p>
          <w:p w14:paraId="4F67ABF2" w14:textId="77777777" w:rsidR="00F935B1" w:rsidRPr="005E385F" w:rsidRDefault="00F935B1" w:rsidP="0083602C">
            <w:pPr>
              <w:ind w:left="360"/>
              <w:rPr>
                <w:rFonts w:ascii="Verdana" w:hAnsi="Verdana"/>
                <w:sz w:val="20"/>
              </w:rPr>
            </w:pPr>
          </w:p>
          <w:p w14:paraId="573C3243" w14:textId="77777777" w:rsidR="00F935B1" w:rsidRPr="005E385F" w:rsidRDefault="00F935B1" w:rsidP="0083602C">
            <w:pPr>
              <w:pStyle w:val="NormalWeb"/>
              <w:spacing w:before="0" w:beforeAutospacing="0" w:after="0"/>
              <w:rPr>
                <w:rFonts w:ascii="Verdana" w:hAnsi="Verdana"/>
                <w:sz w:val="20"/>
              </w:rPr>
            </w:pPr>
            <w:r w:rsidRPr="005E385F">
              <w:rPr>
                <w:rFonts w:ascii="Verdana" w:hAnsi="Verdana"/>
                <w:sz w:val="20"/>
              </w:rPr>
              <w:t>Basic maintenance</w:t>
            </w:r>
            <w:r w:rsidRPr="005E385F">
              <w:rPr>
                <w:rFonts w:ascii="Verdana" w:hAnsi="Verdana"/>
                <w:sz w:val="20"/>
              </w:rPr>
              <w:fldChar w:fldCharType="begin"/>
            </w:r>
            <w:r w:rsidRPr="005E385F">
              <w:rPr>
                <w:rFonts w:ascii="Verdana" w:hAnsi="Verdana"/>
                <w:sz w:val="20"/>
              </w:rPr>
              <w:instrText>xe "Basic Maintenance of Internal Connections"</w:instrText>
            </w:r>
            <w:r w:rsidRPr="005E385F">
              <w:rPr>
                <w:rFonts w:ascii="Verdana" w:hAnsi="Verdana"/>
                <w:sz w:val="20"/>
              </w:rPr>
              <w:fldChar w:fldCharType="end"/>
            </w:r>
            <w:r w:rsidRPr="005E385F">
              <w:rPr>
                <w:rFonts w:ascii="Verdana" w:hAnsi="Verdana"/>
                <w:sz w:val="20"/>
              </w:rPr>
              <w:t xml:space="preserve"> is eligible for discount only if it is a component of a maintenance agreement or contract for eligible components.  The agreement or contract must specifically identify the eligible components covered, including product name, model number, and location.  Reimbursements for BMIC will be paid for the actual work performed under the agreement or contract.</w:t>
            </w:r>
          </w:p>
        </w:tc>
      </w:tr>
      <w:tr w:rsidR="00F935B1" w:rsidRPr="005E385F" w14:paraId="08692EE9" w14:textId="77777777" w:rsidTr="0083602C">
        <w:trPr>
          <w:tblCellSpacing w:w="15" w:type="dxa"/>
        </w:trPr>
        <w:tc>
          <w:tcPr>
            <w:tcW w:w="1166" w:type="pct"/>
          </w:tcPr>
          <w:p w14:paraId="1777D4B8" w14:textId="77777777" w:rsidR="00F935B1" w:rsidRPr="005E385F" w:rsidRDefault="00F935B1" w:rsidP="0083602C">
            <w:pPr>
              <w:rPr>
                <w:rFonts w:ascii="Verdana" w:hAnsi="Verdana"/>
                <w:sz w:val="20"/>
              </w:rPr>
            </w:pPr>
            <w:r w:rsidRPr="005E385F">
              <w:rPr>
                <w:rFonts w:ascii="Verdana" w:hAnsi="Verdana"/>
                <w:sz w:val="20"/>
              </w:rPr>
              <w:t>NOT Eligible for E-rate Funding as Basic Maintenance of Internal Connections</w:t>
            </w:r>
          </w:p>
          <w:p w14:paraId="6B2856FB" w14:textId="77777777" w:rsidR="00F935B1" w:rsidRPr="005E385F" w:rsidRDefault="00F935B1" w:rsidP="0083602C">
            <w:pPr>
              <w:jc w:val="center"/>
              <w:rPr>
                <w:rFonts w:ascii="Verdana" w:hAnsi="Verdana"/>
                <w:sz w:val="20"/>
              </w:rPr>
            </w:pPr>
          </w:p>
          <w:p w14:paraId="059DC79C" w14:textId="77777777" w:rsidR="00F935B1" w:rsidRPr="005E385F" w:rsidRDefault="00F935B1" w:rsidP="0083602C">
            <w:pPr>
              <w:jc w:val="center"/>
              <w:rPr>
                <w:rFonts w:ascii="Verdana" w:hAnsi="Verdana"/>
                <w:i/>
                <w:sz w:val="20"/>
              </w:rPr>
            </w:pPr>
          </w:p>
        </w:tc>
        <w:tc>
          <w:tcPr>
            <w:tcW w:w="3785" w:type="pct"/>
          </w:tcPr>
          <w:p w14:paraId="10FF58DB" w14:textId="77777777" w:rsidR="00F935B1" w:rsidRPr="005E385F" w:rsidRDefault="00F935B1" w:rsidP="0083602C">
            <w:pPr>
              <w:pStyle w:val="NormalWeb"/>
              <w:spacing w:before="0" w:beforeAutospacing="0" w:after="0"/>
              <w:rPr>
                <w:rFonts w:ascii="Verdana" w:hAnsi="Verdana"/>
                <w:sz w:val="20"/>
                <w:u w:val="single"/>
              </w:rPr>
            </w:pPr>
            <w:r w:rsidRPr="005E385F">
              <w:rPr>
                <w:rFonts w:ascii="Verdana" w:hAnsi="Verdana"/>
                <w:sz w:val="20"/>
              </w:rPr>
              <w:t xml:space="preserve">The following products and services are </w:t>
            </w:r>
            <w:r w:rsidRPr="005E385F">
              <w:rPr>
                <w:rFonts w:ascii="Verdana" w:hAnsi="Verdana"/>
                <w:b/>
                <w:sz w:val="20"/>
              </w:rPr>
              <w:t>NOT ELIGIBLE</w:t>
            </w:r>
            <w:r w:rsidRPr="005E385F">
              <w:rPr>
                <w:rFonts w:ascii="Verdana" w:hAnsi="Verdana"/>
                <w:sz w:val="20"/>
              </w:rPr>
              <w:t>:</w:t>
            </w:r>
          </w:p>
          <w:p w14:paraId="2F009157" w14:textId="77777777" w:rsidR="00F935B1" w:rsidRPr="005E385F" w:rsidRDefault="00F935B1" w:rsidP="0083602C">
            <w:pPr>
              <w:pStyle w:val="NormalWeb"/>
              <w:spacing w:before="0" w:beforeAutospacing="0" w:after="0"/>
              <w:rPr>
                <w:rFonts w:ascii="Verdana" w:hAnsi="Verdana"/>
                <w:sz w:val="20"/>
              </w:rPr>
            </w:pPr>
          </w:p>
          <w:p w14:paraId="43D490E5" w14:textId="77777777" w:rsidR="00F935B1" w:rsidRPr="005E385F" w:rsidRDefault="00A0395D" w:rsidP="00F935B1">
            <w:pPr>
              <w:pStyle w:val="NormalWeb"/>
              <w:numPr>
                <w:ilvl w:val="0"/>
                <w:numId w:val="25"/>
              </w:numPr>
              <w:spacing w:before="0" w:beforeAutospacing="0" w:after="0"/>
              <w:rPr>
                <w:rFonts w:ascii="Verdana" w:hAnsi="Verdana"/>
                <w:sz w:val="20"/>
              </w:rPr>
            </w:pPr>
            <w:hyperlink w:anchor="UnbundledWarranty" w:history="1">
              <w:r w:rsidR="00F935B1" w:rsidRPr="005E385F">
                <w:rPr>
                  <w:rStyle w:val="Hyperlink"/>
                  <w:rFonts w:ascii="Verdana" w:hAnsi="Verdana"/>
                  <w:sz w:val="20"/>
                </w:rPr>
                <w:t>Unbundled Warranties</w:t>
              </w:r>
            </w:hyperlink>
            <w:r w:rsidR="00F935B1" w:rsidRPr="005E385F">
              <w:rPr>
                <w:rFonts w:ascii="Verdana" w:hAnsi="Verdana"/>
                <w:sz w:val="20"/>
              </w:rPr>
              <w:fldChar w:fldCharType="begin"/>
            </w:r>
            <w:r w:rsidR="00F935B1" w:rsidRPr="005E385F">
              <w:rPr>
                <w:rFonts w:ascii="Verdana" w:hAnsi="Verdana"/>
                <w:sz w:val="20"/>
              </w:rPr>
              <w:instrText>xe "Unbundled Warranty"</w:instrText>
            </w:r>
            <w:r w:rsidR="00F935B1" w:rsidRPr="005E385F">
              <w:rPr>
                <w:rFonts w:ascii="Verdana" w:hAnsi="Verdana"/>
                <w:sz w:val="20"/>
              </w:rPr>
              <w:fldChar w:fldCharType="end"/>
            </w:r>
            <w:r w:rsidR="00F935B1" w:rsidRPr="005E385F">
              <w:rPr>
                <w:rFonts w:ascii="Verdana" w:hAnsi="Verdana"/>
                <w:sz w:val="20"/>
              </w:rPr>
              <w:t xml:space="preserve">, including prepaid retainers for service that may not actually need to be performed. </w:t>
            </w:r>
          </w:p>
          <w:p w14:paraId="4CC7764F" w14:textId="77777777" w:rsidR="00F935B1" w:rsidRPr="005E385F" w:rsidRDefault="00F935B1" w:rsidP="00F935B1">
            <w:pPr>
              <w:pStyle w:val="NormalWeb"/>
              <w:numPr>
                <w:ilvl w:val="0"/>
                <w:numId w:val="25"/>
              </w:numPr>
              <w:spacing w:before="0" w:beforeAutospacing="0" w:after="0"/>
              <w:rPr>
                <w:rFonts w:ascii="Verdana" w:hAnsi="Verdana"/>
                <w:sz w:val="20"/>
              </w:rPr>
            </w:pPr>
            <w:r w:rsidRPr="005E385F">
              <w:rPr>
                <w:rFonts w:ascii="Verdana" w:hAnsi="Verdana"/>
                <w:sz w:val="20"/>
              </w:rPr>
              <w:t>On-site</w:t>
            </w:r>
            <w:r w:rsidRPr="005E385F">
              <w:rPr>
                <w:rFonts w:ascii="Verdana" w:hAnsi="Verdana"/>
                <w:sz w:val="20"/>
              </w:rPr>
              <w:fldChar w:fldCharType="begin"/>
            </w:r>
            <w:r w:rsidRPr="005E385F">
              <w:rPr>
                <w:rFonts w:ascii="Verdana" w:hAnsi="Verdana"/>
                <w:sz w:val="20"/>
              </w:rPr>
              <w:instrText>xe "On-Site Technical Support"</w:instrText>
            </w:r>
            <w:r w:rsidRPr="005E385F">
              <w:rPr>
                <w:rFonts w:ascii="Verdana" w:hAnsi="Verdana"/>
                <w:sz w:val="20"/>
              </w:rPr>
              <w:fldChar w:fldCharType="end"/>
            </w:r>
            <w:r w:rsidRPr="005E385F">
              <w:rPr>
                <w:rFonts w:ascii="Verdana" w:hAnsi="Verdana"/>
                <w:sz w:val="20"/>
              </w:rPr>
              <w:t xml:space="preserve"> technical support</w:t>
            </w:r>
            <w:r w:rsidRPr="005E385F">
              <w:rPr>
                <w:rFonts w:ascii="Verdana" w:hAnsi="Verdana"/>
                <w:sz w:val="20"/>
              </w:rPr>
              <w:fldChar w:fldCharType="begin"/>
            </w:r>
            <w:r w:rsidRPr="005E385F">
              <w:rPr>
                <w:rFonts w:ascii="Verdana" w:hAnsi="Verdana"/>
                <w:sz w:val="20"/>
              </w:rPr>
              <w:instrText>xe "Technical Support"</w:instrText>
            </w:r>
            <w:r w:rsidRPr="005E385F">
              <w:rPr>
                <w:rFonts w:ascii="Verdana" w:hAnsi="Verdana"/>
                <w:sz w:val="20"/>
              </w:rPr>
              <w:fldChar w:fldCharType="end"/>
            </w:r>
            <w:r w:rsidRPr="005E385F">
              <w:rPr>
                <w:rFonts w:ascii="Verdana" w:hAnsi="Verdana"/>
                <w:sz w:val="20"/>
              </w:rPr>
              <w:t xml:space="preserve"> (</w:t>
            </w:r>
            <w:r w:rsidRPr="005E385F">
              <w:rPr>
                <w:rFonts w:ascii="Verdana" w:hAnsi="Verdana"/>
                <w:i/>
                <w:sz w:val="20"/>
              </w:rPr>
              <w:t>i.e.</w:t>
            </w:r>
            <w:r w:rsidRPr="005E385F">
              <w:rPr>
                <w:rFonts w:ascii="Verdana" w:hAnsi="Verdana"/>
                <w:sz w:val="20"/>
              </w:rPr>
              <w:t>, contractor duty station</w:t>
            </w:r>
            <w:r w:rsidRPr="005E385F">
              <w:rPr>
                <w:rFonts w:ascii="Verdana" w:hAnsi="Verdana"/>
                <w:sz w:val="20"/>
              </w:rPr>
              <w:fldChar w:fldCharType="begin"/>
            </w:r>
            <w:r w:rsidRPr="005E385F">
              <w:rPr>
                <w:rFonts w:ascii="Verdana" w:hAnsi="Verdana"/>
                <w:sz w:val="20"/>
              </w:rPr>
              <w:instrText>xe "Contractor Duty Station"</w:instrText>
            </w:r>
            <w:r w:rsidRPr="005E385F">
              <w:rPr>
                <w:rFonts w:ascii="Verdana" w:hAnsi="Verdana"/>
                <w:sz w:val="20"/>
              </w:rPr>
              <w:fldChar w:fldCharType="end"/>
            </w:r>
            <w:r w:rsidRPr="005E385F">
              <w:rPr>
                <w:rFonts w:ascii="Verdana" w:hAnsi="Verdana"/>
                <w:sz w:val="20"/>
              </w:rPr>
              <w:t xml:space="preserve"> at the applicant site) when off-site</w:t>
            </w:r>
            <w:r w:rsidRPr="005E385F">
              <w:rPr>
                <w:rFonts w:ascii="Verdana" w:hAnsi="Verdana"/>
                <w:sz w:val="20"/>
              </w:rPr>
              <w:fldChar w:fldCharType="begin"/>
            </w:r>
            <w:r w:rsidRPr="005E385F">
              <w:rPr>
                <w:rFonts w:ascii="Verdana" w:hAnsi="Verdana"/>
                <w:sz w:val="20"/>
              </w:rPr>
              <w:instrText>xe "Off-Site Location"</w:instrText>
            </w:r>
            <w:r w:rsidRPr="005E385F">
              <w:rPr>
                <w:rFonts w:ascii="Verdana" w:hAnsi="Verdana"/>
                <w:sz w:val="20"/>
              </w:rPr>
              <w:fldChar w:fldCharType="end"/>
            </w:r>
            <w:r w:rsidRPr="005E385F">
              <w:rPr>
                <w:rFonts w:ascii="Verdana" w:hAnsi="Verdana"/>
                <w:sz w:val="20"/>
              </w:rPr>
              <w:t xml:space="preserve"> technical support can provide</w:t>
            </w:r>
            <w:r w:rsidRPr="005E385F">
              <w:rPr>
                <w:rFonts w:ascii="Verdana" w:hAnsi="Verdana"/>
                <w:sz w:val="20"/>
              </w:rPr>
              <w:fldChar w:fldCharType="begin"/>
            </w:r>
            <w:r w:rsidRPr="005E385F">
              <w:rPr>
                <w:rFonts w:ascii="Verdana" w:hAnsi="Verdana"/>
                <w:sz w:val="20"/>
              </w:rPr>
              <w:instrText>xe "Cost-Effective"</w:instrText>
            </w:r>
            <w:r w:rsidRPr="005E385F">
              <w:rPr>
                <w:rFonts w:ascii="Verdana" w:hAnsi="Verdana"/>
                <w:sz w:val="20"/>
              </w:rPr>
              <w:fldChar w:fldCharType="end"/>
            </w:r>
            <w:r w:rsidRPr="005E385F">
              <w:rPr>
                <w:rFonts w:ascii="Verdana" w:hAnsi="Verdana"/>
                <w:sz w:val="20"/>
              </w:rPr>
              <w:t xml:space="preserve"> basic maintenance</w:t>
            </w:r>
            <w:r w:rsidRPr="005E385F">
              <w:rPr>
                <w:rFonts w:ascii="Verdana" w:hAnsi="Verdana"/>
                <w:sz w:val="20"/>
              </w:rPr>
              <w:fldChar w:fldCharType="begin"/>
            </w:r>
            <w:r w:rsidRPr="005E385F">
              <w:rPr>
                <w:rFonts w:ascii="Verdana" w:hAnsi="Verdana"/>
                <w:sz w:val="20"/>
              </w:rPr>
              <w:instrText>xe "Basic Maintenance of Internal Connections"</w:instrText>
            </w:r>
            <w:r w:rsidRPr="005E385F">
              <w:rPr>
                <w:rFonts w:ascii="Verdana" w:hAnsi="Verdana"/>
                <w:sz w:val="20"/>
              </w:rPr>
              <w:fldChar w:fldCharType="end"/>
            </w:r>
            <w:r w:rsidRPr="005E385F">
              <w:rPr>
                <w:rFonts w:ascii="Verdana" w:hAnsi="Verdana"/>
                <w:sz w:val="20"/>
              </w:rPr>
              <w:t xml:space="preserve"> on an as-needed basis, unless applicants present sufficient evidence demonstrating that on-site technical support is more cost-effective than utilizing off-site support.</w:t>
            </w:r>
          </w:p>
          <w:p w14:paraId="1B129BBA" w14:textId="77777777" w:rsidR="00F935B1" w:rsidRPr="005E385F" w:rsidRDefault="00F935B1" w:rsidP="00F935B1">
            <w:pPr>
              <w:pStyle w:val="NormalWeb"/>
              <w:numPr>
                <w:ilvl w:val="0"/>
                <w:numId w:val="25"/>
              </w:numPr>
              <w:spacing w:before="0" w:beforeAutospacing="0" w:after="0"/>
              <w:rPr>
                <w:rFonts w:ascii="Verdana" w:hAnsi="Verdana"/>
                <w:sz w:val="20"/>
              </w:rPr>
            </w:pPr>
            <w:r w:rsidRPr="005E385F">
              <w:rPr>
                <w:rFonts w:ascii="Verdana" w:hAnsi="Verdana"/>
                <w:sz w:val="20"/>
              </w:rPr>
              <w:t>Services such as network management</w:t>
            </w:r>
            <w:r w:rsidRPr="005E385F">
              <w:rPr>
                <w:rFonts w:ascii="Verdana" w:hAnsi="Verdana"/>
                <w:sz w:val="20"/>
              </w:rPr>
              <w:fldChar w:fldCharType="begin"/>
            </w:r>
            <w:r w:rsidRPr="005E385F">
              <w:rPr>
                <w:rFonts w:ascii="Verdana" w:hAnsi="Verdana"/>
                <w:sz w:val="20"/>
              </w:rPr>
              <w:instrText>xe "N</w:instrText>
            </w:r>
            <w:r w:rsidRPr="005E385F">
              <w:rPr>
                <w:rStyle w:val="Hyperlink"/>
                <w:rFonts w:ascii="Verdana" w:hAnsi="Verdana"/>
                <w:sz w:val="20"/>
              </w:rPr>
              <w:instrText>etwork Management</w:instrText>
            </w:r>
            <w:r w:rsidRPr="005E385F">
              <w:rPr>
                <w:rFonts w:ascii="Verdana" w:hAnsi="Verdana"/>
                <w:sz w:val="20"/>
              </w:rPr>
              <w:instrText>"</w:instrText>
            </w:r>
            <w:r w:rsidRPr="005E385F">
              <w:rPr>
                <w:rFonts w:ascii="Verdana" w:hAnsi="Verdana"/>
                <w:sz w:val="20"/>
              </w:rPr>
              <w:fldChar w:fldCharType="end"/>
            </w:r>
            <w:r w:rsidRPr="005E385F">
              <w:rPr>
                <w:rFonts w:ascii="Verdana" w:hAnsi="Verdana"/>
                <w:sz w:val="20"/>
              </w:rPr>
              <w:t xml:space="preserve"> and 24-hour network monitoring</w:t>
            </w:r>
            <w:r w:rsidRPr="005E385F">
              <w:rPr>
                <w:rFonts w:ascii="Verdana" w:hAnsi="Verdana"/>
                <w:sz w:val="20"/>
              </w:rPr>
              <w:fldChar w:fldCharType="begin"/>
            </w:r>
            <w:r w:rsidRPr="005E385F">
              <w:rPr>
                <w:rFonts w:ascii="Verdana" w:hAnsi="Verdana"/>
                <w:sz w:val="20"/>
              </w:rPr>
              <w:instrText>xe "M</w:instrText>
            </w:r>
            <w:r w:rsidRPr="005E385F">
              <w:rPr>
                <w:rFonts w:ascii="Verdana" w:hAnsi="Verdana"/>
                <w:bCs/>
                <w:sz w:val="20"/>
              </w:rPr>
              <w:instrText>onitoring</w:instrText>
            </w:r>
            <w:r w:rsidRPr="005E385F">
              <w:rPr>
                <w:rFonts w:ascii="Verdana" w:hAnsi="Verdana"/>
                <w:sz w:val="20"/>
              </w:rPr>
              <w:instrText>"</w:instrText>
            </w:r>
            <w:r w:rsidRPr="005E385F">
              <w:rPr>
                <w:rFonts w:ascii="Verdana" w:hAnsi="Verdana"/>
                <w:sz w:val="20"/>
              </w:rPr>
              <w:fldChar w:fldCharType="end"/>
            </w:r>
            <w:r w:rsidRPr="005E385F">
              <w:rPr>
                <w:rFonts w:ascii="Verdana" w:hAnsi="Verdana"/>
                <w:sz w:val="20"/>
              </w:rPr>
              <w:t>.</w:t>
            </w:r>
          </w:p>
          <w:p w14:paraId="33ECFF0B" w14:textId="77777777" w:rsidR="00F935B1" w:rsidRPr="005E385F" w:rsidRDefault="00F935B1" w:rsidP="00F935B1">
            <w:pPr>
              <w:pStyle w:val="NormalWeb"/>
              <w:numPr>
                <w:ilvl w:val="0"/>
                <w:numId w:val="25"/>
              </w:numPr>
              <w:spacing w:before="0" w:beforeAutospacing="0" w:after="0"/>
              <w:rPr>
                <w:rFonts w:ascii="Verdana" w:hAnsi="Verdana"/>
                <w:sz w:val="20"/>
              </w:rPr>
            </w:pPr>
            <w:r w:rsidRPr="005E385F">
              <w:rPr>
                <w:rFonts w:ascii="Verdana" w:hAnsi="Verdana"/>
                <w:sz w:val="20"/>
              </w:rPr>
              <w:lastRenderedPageBreak/>
              <w:t>Help desks that provide a comprehensive level of support beyond basic maintenance</w:t>
            </w:r>
            <w:r w:rsidRPr="005E385F">
              <w:rPr>
                <w:rFonts w:ascii="Verdana" w:hAnsi="Verdana"/>
                <w:sz w:val="20"/>
              </w:rPr>
              <w:fldChar w:fldCharType="begin"/>
            </w:r>
            <w:r w:rsidRPr="005E385F">
              <w:rPr>
                <w:rFonts w:ascii="Verdana" w:hAnsi="Verdana"/>
                <w:sz w:val="20"/>
              </w:rPr>
              <w:instrText>xe "Basic Maintenance of Internal Connections"</w:instrText>
            </w:r>
            <w:r w:rsidRPr="005E385F">
              <w:rPr>
                <w:rFonts w:ascii="Verdana" w:hAnsi="Verdana"/>
                <w:sz w:val="20"/>
              </w:rPr>
              <w:fldChar w:fldCharType="end"/>
            </w:r>
            <w:r w:rsidRPr="005E385F">
              <w:rPr>
                <w:rFonts w:ascii="Verdana" w:hAnsi="Verdana"/>
                <w:sz w:val="20"/>
              </w:rPr>
              <w:t xml:space="preserve"> of only eligible components.</w:t>
            </w:r>
          </w:p>
          <w:p w14:paraId="260125FC" w14:textId="77777777" w:rsidR="00F935B1" w:rsidRPr="005E385F" w:rsidRDefault="00F935B1" w:rsidP="0083602C">
            <w:pPr>
              <w:pStyle w:val="NormalWeb"/>
              <w:spacing w:before="0" w:beforeAutospacing="0" w:after="0"/>
              <w:rPr>
                <w:rFonts w:ascii="Verdana" w:hAnsi="Verdana"/>
                <w:sz w:val="20"/>
              </w:rPr>
            </w:pPr>
          </w:p>
          <w:p w14:paraId="151AF7FC" w14:textId="77777777" w:rsidR="00F935B1" w:rsidRPr="005E385F" w:rsidRDefault="00F935B1" w:rsidP="0083602C">
            <w:pPr>
              <w:pStyle w:val="NormalWeb"/>
              <w:spacing w:before="0" w:beforeAutospacing="0" w:after="0"/>
              <w:rPr>
                <w:rFonts w:ascii="Verdana" w:hAnsi="Verdana"/>
                <w:sz w:val="20"/>
              </w:rPr>
            </w:pPr>
            <w:r w:rsidRPr="005E385F">
              <w:rPr>
                <w:rFonts w:ascii="Verdana" w:hAnsi="Verdana"/>
                <w:sz w:val="20"/>
              </w:rPr>
              <w:t>In addition, software</w:t>
            </w:r>
            <w:r w:rsidRPr="005E385F">
              <w:rPr>
                <w:rFonts w:ascii="Verdana" w:hAnsi="Verdana"/>
                <w:sz w:val="20"/>
              </w:rPr>
              <w:fldChar w:fldCharType="begin"/>
            </w:r>
            <w:r w:rsidRPr="005E385F">
              <w:rPr>
                <w:rFonts w:ascii="Verdana" w:hAnsi="Verdana"/>
                <w:sz w:val="20"/>
              </w:rPr>
              <w:instrText>xe "Software"</w:instrText>
            </w:r>
            <w:r w:rsidRPr="005E385F">
              <w:rPr>
                <w:rFonts w:ascii="Verdana" w:hAnsi="Verdana"/>
                <w:sz w:val="20"/>
              </w:rPr>
              <w:fldChar w:fldCharType="end"/>
            </w:r>
            <w:r w:rsidRPr="005E385F">
              <w:rPr>
                <w:rFonts w:ascii="Verdana" w:hAnsi="Verdana"/>
                <w:sz w:val="20"/>
              </w:rPr>
              <w:t xml:space="preserve"> </w:t>
            </w:r>
            <w:hyperlink w:anchor="ClientAccessLicense" w:history="1">
              <w:r w:rsidRPr="005E385F">
                <w:rPr>
                  <w:rStyle w:val="Hyperlink"/>
                  <w:rFonts w:ascii="Verdana" w:hAnsi="Verdana"/>
                  <w:sz w:val="20"/>
                </w:rPr>
                <w:t>Client Access Licenses</w:t>
              </w:r>
              <w:r w:rsidRPr="005E385F">
                <w:rPr>
                  <w:rFonts w:ascii="Verdana" w:hAnsi="Verdana"/>
                  <w:sz w:val="20"/>
                </w:rPr>
                <w:fldChar w:fldCharType="begin"/>
              </w:r>
              <w:r w:rsidRPr="005E385F">
                <w:rPr>
                  <w:rFonts w:ascii="Verdana" w:hAnsi="Verdana"/>
                  <w:sz w:val="20"/>
                </w:rPr>
                <w:instrText>xe "Client Access Licenses"</w:instrText>
              </w:r>
              <w:r w:rsidRPr="005E385F">
                <w:rPr>
                  <w:rFonts w:ascii="Verdana" w:hAnsi="Verdana"/>
                  <w:sz w:val="20"/>
                </w:rPr>
                <w:fldChar w:fldCharType="end"/>
              </w:r>
            </w:hyperlink>
            <w:r w:rsidRPr="005E385F">
              <w:rPr>
                <w:rFonts w:ascii="Verdana" w:hAnsi="Verdana"/>
                <w:sz w:val="20"/>
              </w:rPr>
              <w:t xml:space="preserve"> are not eligible as Basic Maintenance</w:t>
            </w:r>
            <w:r w:rsidRPr="005E385F">
              <w:rPr>
                <w:rFonts w:ascii="Verdana" w:hAnsi="Verdana"/>
                <w:sz w:val="20"/>
              </w:rPr>
              <w:fldChar w:fldCharType="begin"/>
            </w:r>
            <w:r w:rsidRPr="005E385F">
              <w:rPr>
                <w:rFonts w:ascii="Verdana" w:hAnsi="Verdana"/>
                <w:sz w:val="20"/>
              </w:rPr>
              <w:instrText>xe "</w:instrText>
            </w:r>
            <w:r w:rsidRPr="005E385F">
              <w:rPr>
                <w:rFonts w:ascii="Verdana" w:hAnsi="Verdana"/>
                <w:bCs/>
                <w:sz w:val="20"/>
              </w:rPr>
              <w:instrText>Maintenance</w:instrText>
            </w:r>
            <w:r w:rsidRPr="005E385F">
              <w:rPr>
                <w:rFonts w:ascii="Verdana" w:hAnsi="Verdana"/>
                <w:sz w:val="20"/>
              </w:rPr>
              <w:instrText>"</w:instrText>
            </w:r>
            <w:r w:rsidRPr="005E385F">
              <w:rPr>
                <w:rFonts w:ascii="Verdana" w:hAnsi="Verdana"/>
                <w:sz w:val="20"/>
              </w:rPr>
              <w:fldChar w:fldCharType="end"/>
            </w:r>
            <w:r w:rsidRPr="005E385F">
              <w:rPr>
                <w:rFonts w:ascii="Verdana" w:hAnsi="Verdana"/>
                <w:sz w:val="20"/>
              </w:rPr>
              <w:t>.  However, Client Access Licenses for eligible software products may be eligible in the Internal Connections</w:t>
            </w:r>
            <w:r w:rsidRPr="005E385F">
              <w:rPr>
                <w:rFonts w:ascii="Verdana" w:hAnsi="Verdana"/>
                <w:sz w:val="20"/>
              </w:rPr>
              <w:fldChar w:fldCharType="begin"/>
            </w:r>
            <w:r w:rsidRPr="005E385F">
              <w:rPr>
                <w:rFonts w:ascii="Verdana" w:hAnsi="Verdana"/>
                <w:sz w:val="20"/>
              </w:rPr>
              <w:instrText>xe "</w:instrText>
            </w:r>
            <w:r w:rsidRPr="005E385F">
              <w:rPr>
                <w:rStyle w:val="Hyperlink"/>
                <w:rFonts w:ascii="Verdana" w:hAnsi="Verdana"/>
                <w:sz w:val="20"/>
              </w:rPr>
              <w:instrText>Internal Connections</w:instrText>
            </w:r>
            <w:r w:rsidRPr="005E385F">
              <w:rPr>
                <w:rFonts w:ascii="Verdana" w:hAnsi="Verdana"/>
                <w:sz w:val="20"/>
              </w:rPr>
              <w:instrText>"</w:instrText>
            </w:r>
            <w:r w:rsidRPr="005E385F">
              <w:rPr>
                <w:rFonts w:ascii="Verdana" w:hAnsi="Verdana"/>
                <w:sz w:val="20"/>
              </w:rPr>
              <w:fldChar w:fldCharType="end"/>
            </w:r>
            <w:r w:rsidRPr="005E385F">
              <w:rPr>
                <w:rFonts w:ascii="Verdana" w:hAnsi="Verdana"/>
                <w:sz w:val="20"/>
              </w:rPr>
              <w:t xml:space="preserve"> funding category.</w:t>
            </w:r>
          </w:p>
          <w:p w14:paraId="46A8444E" w14:textId="77777777" w:rsidR="00F935B1" w:rsidRPr="005E385F" w:rsidRDefault="00F935B1" w:rsidP="0083602C">
            <w:pPr>
              <w:pStyle w:val="NormalWeb"/>
              <w:spacing w:before="0" w:beforeAutospacing="0" w:after="0"/>
              <w:rPr>
                <w:rFonts w:ascii="Verdana" w:hAnsi="Verdana"/>
                <w:sz w:val="20"/>
              </w:rPr>
            </w:pPr>
          </w:p>
          <w:p w14:paraId="4051424C" w14:textId="77777777" w:rsidR="00F935B1" w:rsidRPr="005E385F" w:rsidRDefault="00F935B1" w:rsidP="0083602C">
            <w:pPr>
              <w:pStyle w:val="NormalWeb"/>
              <w:spacing w:before="0" w:beforeAutospacing="0" w:after="0"/>
              <w:rPr>
                <w:rFonts w:ascii="Verdana" w:hAnsi="Verdana"/>
                <w:sz w:val="20"/>
              </w:rPr>
            </w:pPr>
            <w:r w:rsidRPr="005E385F">
              <w:rPr>
                <w:rFonts w:ascii="Verdana" w:hAnsi="Verdana"/>
                <w:sz w:val="20"/>
              </w:rPr>
              <w:t>Eligible basic maintenance</w:t>
            </w:r>
            <w:r w:rsidRPr="005E385F">
              <w:rPr>
                <w:rFonts w:ascii="Verdana" w:hAnsi="Verdana"/>
                <w:sz w:val="20"/>
              </w:rPr>
              <w:fldChar w:fldCharType="begin"/>
            </w:r>
            <w:r w:rsidRPr="005E385F">
              <w:rPr>
                <w:rFonts w:ascii="Verdana" w:hAnsi="Verdana"/>
                <w:sz w:val="20"/>
              </w:rPr>
              <w:instrText>xe "Basic Maintenance of Internal Connections"</w:instrText>
            </w:r>
            <w:r w:rsidRPr="005E385F">
              <w:rPr>
                <w:rFonts w:ascii="Verdana" w:hAnsi="Verdana"/>
                <w:sz w:val="20"/>
              </w:rPr>
              <w:fldChar w:fldCharType="end"/>
            </w:r>
            <w:r w:rsidRPr="005E385F">
              <w:rPr>
                <w:rFonts w:ascii="Verdana" w:hAnsi="Verdana"/>
                <w:sz w:val="20"/>
              </w:rPr>
              <w:t xml:space="preserve"> does not include services to maintain ineligible equipment, to enhance the utility of equipment beyond the transport of information, or to provide diagnostic services</w:t>
            </w:r>
            <w:r w:rsidRPr="005E385F">
              <w:rPr>
                <w:rFonts w:ascii="Verdana" w:hAnsi="Verdana"/>
                <w:sz w:val="20"/>
              </w:rPr>
              <w:fldChar w:fldCharType="begin"/>
            </w:r>
            <w:r w:rsidRPr="005E385F">
              <w:rPr>
                <w:rFonts w:ascii="Verdana" w:hAnsi="Verdana"/>
                <w:sz w:val="20"/>
              </w:rPr>
              <w:instrText>xe "Diagnostic Services"</w:instrText>
            </w:r>
            <w:r w:rsidRPr="005E385F">
              <w:rPr>
                <w:rFonts w:ascii="Verdana" w:hAnsi="Verdana"/>
                <w:sz w:val="20"/>
              </w:rPr>
              <w:fldChar w:fldCharType="end"/>
            </w:r>
            <w:r w:rsidRPr="005E385F">
              <w:rPr>
                <w:rFonts w:ascii="Verdana" w:hAnsi="Verdana"/>
                <w:sz w:val="20"/>
              </w:rPr>
              <w:t xml:space="preserve"> in excess of those necessary to maintain the equipment’s ability to transport information.</w:t>
            </w:r>
          </w:p>
        </w:tc>
      </w:tr>
    </w:tbl>
    <w:p w14:paraId="46395731" w14:textId="77777777" w:rsidR="00F935B1" w:rsidRPr="005E385F" w:rsidRDefault="00F935B1" w:rsidP="00F935B1">
      <w:pPr>
        <w:rPr>
          <w:rFonts w:ascii="Verdana" w:hAnsi="Verdana"/>
          <w:sz w:val="20"/>
        </w:rPr>
      </w:pPr>
    </w:p>
    <w:p w14:paraId="20D2D5A2" w14:textId="77777777" w:rsidR="00F935B1" w:rsidRPr="005E385F" w:rsidRDefault="00F935B1" w:rsidP="00F935B1">
      <w:pPr>
        <w:rPr>
          <w:rFonts w:ascii="Verdana" w:hAnsi="Verdana"/>
          <w:sz w:val="20"/>
        </w:rPr>
      </w:pPr>
    </w:p>
    <w:p w14:paraId="535A71BB" w14:textId="77777777" w:rsidR="00F935B1" w:rsidRDefault="00F935B1" w:rsidP="00F935B1">
      <w:pPr>
        <w:rPr>
          <w:rFonts w:ascii="Verdana" w:hAnsi="Verdana"/>
        </w:rPr>
        <w:sectPr w:rsidR="00F935B1" w:rsidSect="0083602C">
          <w:footerReference w:type="default" r:id="rId37"/>
          <w:pgSz w:w="12240" w:h="15840"/>
          <w:pgMar w:top="1440" w:right="1800" w:bottom="1440" w:left="1800" w:header="720" w:footer="720" w:gutter="0"/>
          <w:cols w:space="720"/>
          <w:docGrid w:linePitch="360"/>
        </w:sectPr>
      </w:pPr>
    </w:p>
    <w:tbl>
      <w:tblPr>
        <w:tblW w:w="9304" w:type="dxa"/>
        <w:tblCellSpacing w:w="15" w:type="dxa"/>
        <w:tblInd w:w="148"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43" w:type="dxa"/>
          <w:left w:w="288" w:type="dxa"/>
          <w:bottom w:w="43" w:type="dxa"/>
          <w:right w:w="288" w:type="dxa"/>
        </w:tblCellMar>
        <w:tblLook w:val="0000" w:firstRow="0" w:lastRow="0" w:firstColumn="0" w:lastColumn="0" w:noHBand="0" w:noVBand="0"/>
      </w:tblPr>
      <w:tblGrid>
        <w:gridCol w:w="2397"/>
        <w:gridCol w:w="6907"/>
      </w:tblGrid>
      <w:tr w:rsidR="00F935B1" w14:paraId="3A33359B" w14:textId="77777777" w:rsidTr="0083602C">
        <w:trPr>
          <w:tblCellSpacing w:w="15" w:type="dxa"/>
        </w:trPr>
        <w:tc>
          <w:tcPr>
            <w:tcW w:w="9244" w:type="dxa"/>
            <w:gridSpan w:val="2"/>
            <w:shd w:val="clear" w:color="auto" w:fill="FFCC00"/>
          </w:tcPr>
          <w:p w14:paraId="4FC9F085" w14:textId="77777777" w:rsidR="00F935B1" w:rsidRDefault="00F935B1" w:rsidP="0083602C">
            <w:pPr>
              <w:jc w:val="center"/>
              <w:rPr>
                <w:rFonts w:ascii="Verdana" w:hAnsi="Verdana" w:cs="Arial"/>
                <w:b/>
                <w:bCs/>
              </w:rPr>
            </w:pPr>
          </w:p>
          <w:p w14:paraId="111CF323" w14:textId="77777777" w:rsidR="00F935B1" w:rsidRDefault="00F935B1" w:rsidP="0083602C">
            <w:pPr>
              <w:jc w:val="center"/>
              <w:rPr>
                <w:rFonts w:ascii="Verdana" w:hAnsi="Verdana" w:cs="Arial"/>
                <w:b/>
                <w:bCs/>
              </w:rPr>
            </w:pPr>
            <w:r>
              <w:rPr>
                <w:rFonts w:ascii="Verdana" w:hAnsi="Verdana" w:cs="Arial"/>
                <w:b/>
                <w:bCs/>
              </w:rPr>
              <w:t>Miscellaneous</w:t>
            </w:r>
            <w:r>
              <w:fldChar w:fldCharType="begin"/>
            </w:r>
            <w:r>
              <w:instrText>xe "Miscellaneous Services"</w:instrText>
            </w:r>
            <w:r>
              <w:fldChar w:fldCharType="end"/>
            </w:r>
            <w:r>
              <w:rPr>
                <w:rFonts w:ascii="Verdana" w:hAnsi="Verdana" w:cs="Arial"/>
                <w:b/>
                <w:bCs/>
              </w:rPr>
              <w:t xml:space="preserve"> </w:t>
            </w:r>
          </w:p>
          <w:p w14:paraId="1EA850DF" w14:textId="77777777" w:rsidR="00F935B1" w:rsidRDefault="00F935B1" w:rsidP="0083602C">
            <w:pPr>
              <w:jc w:val="center"/>
              <w:rPr>
                <w:rFonts w:ascii="Verdana" w:hAnsi="Verdana" w:cs="Arial"/>
                <w:b/>
                <w:bCs/>
              </w:rPr>
            </w:pPr>
          </w:p>
        </w:tc>
      </w:tr>
      <w:tr w:rsidR="00F935B1" w14:paraId="77A179CD" w14:textId="77777777" w:rsidTr="0083602C">
        <w:trPr>
          <w:tblCellSpacing w:w="15" w:type="dxa"/>
        </w:trPr>
        <w:tc>
          <w:tcPr>
            <w:tcW w:w="9244" w:type="dxa"/>
            <w:gridSpan w:val="2"/>
          </w:tcPr>
          <w:p w14:paraId="599C56CB" w14:textId="77777777" w:rsidR="00F935B1" w:rsidRPr="005E385F" w:rsidRDefault="00F935B1" w:rsidP="0083602C">
            <w:pPr>
              <w:pStyle w:val="NormalWeb"/>
              <w:spacing w:before="0" w:beforeAutospacing="0" w:after="0"/>
              <w:rPr>
                <w:rFonts w:ascii="Verdana" w:hAnsi="Verdana"/>
                <w:sz w:val="20"/>
              </w:rPr>
            </w:pPr>
          </w:p>
          <w:p w14:paraId="5DBAA1A1" w14:textId="77777777" w:rsidR="00F935B1" w:rsidRPr="005E385F" w:rsidRDefault="00F935B1" w:rsidP="0083602C">
            <w:pPr>
              <w:pStyle w:val="NormalWeb"/>
              <w:spacing w:before="0" w:beforeAutospacing="0" w:after="0"/>
              <w:rPr>
                <w:rFonts w:ascii="Verdana" w:hAnsi="Verdana"/>
                <w:sz w:val="20"/>
              </w:rPr>
            </w:pPr>
            <w:r w:rsidRPr="005E385F">
              <w:rPr>
                <w:rFonts w:ascii="Verdana" w:hAnsi="Verdana"/>
                <w:sz w:val="20"/>
              </w:rPr>
              <w:t>Additional miscellaneous services associated with Priority One and Priority Two services are eligible for funding.  When requesting these services on the FCC Form 471, applicants should list these miscellaneous services in the same category as the product or service being installed or obtained—Telecommunications Services</w:t>
            </w:r>
            <w:r w:rsidRPr="005E385F">
              <w:rPr>
                <w:rFonts w:ascii="Verdana" w:hAnsi="Verdana"/>
                <w:sz w:val="20"/>
              </w:rPr>
              <w:fldChar w:fldCharType="begin"/>
            </w:r>
            <w:r w:rsidRPr="005E385F">
              <w:rPr>
                <w:rFonts w:ascii="Verdana" w:hAnsi="Verdana"/>
                <w:sz w:val="20"/>
              </w:rPr>
              <w:instrText>xe "</w:instrText>
            </w:r>
            <w:r w:rsidRPr="005E385F">
              <w:rPr>
                <w:rStyle w:val="Hyperlink"/>
                <w:rFonts w:ascii="Verdana" w:hAnsi="Verdana"/>
                <w:sz w:val="20"/>
              </w:rPr>
              <w:instrText>Telecommunications Services</w:instrText>
            </w:r>
            <w:r w:rsidRPr="005E385F">
              <w:rPr>
                <w:rFonts w:ascii="Verdana" w:hAnsi="Verdana"/>
                <w:sz w:val="20"/>
              </w:rPr>
              <w:instrText>"</w:instrText>
            </w:r>
            <w:r w:rsidRPr="005E385F">
              <w:rPr>
                <w:rFonts w:ascii="Verdana" w:hAnsi="Verdana"/>
                <w:sz w:val="20"/>
              </w:rPr>
              <w:fldChar w:fldCharType="end"/>
            </w:r>
            <w:r w:rsidRPr="005E385F">
              <w:rPr>
                <w:rFonts w:ascii="Verdana" w:hAnsi="Verdana"/>
                <w:sz w:val="20"/>
              </w:rPr>
              <w:t>, Internet Access</w:t>
            </w:r>
            <w:r w:rsidRPr="005E385F">
              <w:rPr>
                <w:rFonts w:ascii="Verdana" w:hAnsi="Verdana"/>
                <w:sz w:val="20"/>
              </w:rPr>
              <w:fldChar w:fldCharType="begin"/>
            </w:r>
            <w:r w:rsidRPr="005E385F">
              <w:rPr>
                <w:rFonts w:ascii="Verdana" w:hAnsi="Verdana"/>
                <w:sz w:val="20"/>
              </w:rPr>
              <w:instrText>xe "</w:instrText>
            </w:r>
            <w:r w:rsidRPr="005E385F">
              <w:rPr>
                <w:rStyle w:val="Hyperlink"/>
                <w:rFonts w:ascii="Verdana" w:hAnsi="Verdana"/>
                <w:sz w:val="20"/>
              </w:rPr>
              <w:instrText>Internet Access</w:instrText>
            </w:r>
            <w:r w:rsidRPr="005E385F">
              <w:rPr>
                <w:rFonts w:ascii="Verdana" w:hAnsi="Verdana"/>
                <w:sz w:val="20"/>
              </w:rPr>
              <w:instrText>"</w:instrText>
            </w:r>
            <w:r w:rsidRPr="005E385F">
              <w:rPr>
                <w:rFonts w:ascii="Verdana" w:hAnsi="Verdana"/>
                <w:sz w:val="20"/>
              </w:rPr>
              <w:fldChar w:fldCharType="end"/>
            </w:r>
            <w:r w:rsidRPr="005E385F">
              <w:rPr>
                <w:rFonts w:ascii="Verdana" w:hAnsi="Verdana"/>
                <w:sz w:val="20"/>
              </w:rPr>
              <w:t>, Internal Connections, or Basic Maintenance of Internal Connections</w:t>
            </w:r>
            <w:r w:rsidRPr="005E385F">
              <w:rPr>
                <w:rFonts w:ascii="Verdana" w:hAnsi="Verdana"/>
                <w:sz w:val="20"/>
              </w:rPr>
              <w:fldChar w:fldCharType="begin"/>
            </w:r>
            <w:r w:rsidRPr="005E385F">
              <w:rPr>
                <w:rFonts w:ascii="Verdana" w:hAnsi="Verdana"/>
                <w:sz w:val="20"/>
              </w:rPr>
              <w:instrText>xe "</w:instrText>
            </w:r>
            <w:r w:rsidRPr="005E385F">
              <w:rPr>
                <w:rStyle w:val="Hyperlink"/>
                <w:rFonts w:ascii="Verdana" w:hAnsi="Verdana"/>
                <w:sz w:val="20"/>
              </w:rPr>
              <w:instrText>Internal Connections</w:instrText>
            </w:r>
            <w:r w:rsidRPr="005E385F">
              <w:rPr>
                <w:rFonts w:ascii="Verdana" w:hAnsi="Verdana"/>
                <w:sz w:val="20"/>
              </w:rPr>
              <w:instrText>"</w:instrText>
            </w:r>
            <w:r w:rsidRPr="005E385F">
              <w:rPr>
                <w:rFonts w:ascii="Verdana" w:hAnsi="Verdana"/>
                <w:sz w:val="20"/>
              </w:rPr>
              <w:fldChar w:fldCharType="end"/>
            </w:r>
            <w:r w:rsidRPr="005E385F">
              <w:rPr>
                <w:rFonts w:ascii="Verdana" w:hAnsi="Verdana"/>
                <w:sz w:val="20"/>
              </w:rPr>
              <w:t>.  The miscellaneous services and products in this section related to Telecommunications should be requested in the Telecommunications Services or Internet Access category, depending upon the nature of the service provider.</w:t>
            </w:r>
          </w:p>
          <w:p w14:paraId="5BD78F4E" w14:textId="77777777" w:rsidR="00F935B1" w:rsidRPr="005E385F" w:rsidRDefault="00F935B1" w:rsidP="0083602C">
            <w:pPr>
              <w:pStyle w:val="NormalWeb"/>
              <w:spacing w:before="0" w:beforeAutospacing="0" w:after="0"/>
              <w:rPr>
                <w:rFonts w:ascii="Verdana" w:hAnsi="Verdana"/>
                <w:sz w:val="20"/>
              </w:rPr>
            </w:pPr>
          </w:p>
        </w:tc>
      </w:tr>
      <w:tr w:rsidR="00F935B1" w14:paraId="09CF9C3B" w14:textId="77777777" w:rsidTr="0083602C">
        <w:trPr>
          <w:tblCellSpacing w:w="15" w:type="dxa"/>
        </w:trPr>
        <w:tc>
          <w:tcPr>
            <w:tcW w:w="2352" w:type="dxa"/>
          </w:tcPr>
          <w:p w14:paraId="08CA9ED8" w14:textId="77777777" w:rsidR="00F935B1" w:rsidRPr="005E385F" w:rsidRDefault="00F935B1" w:rsidP="0083602C">
            <w:pPr>
              <w:jc w:val="center"/>
              <w:rPr>
                <w:rFonts w:ascii="Verdana" w:hAnsi="Verdana"/>
                <w:sz w:val="20"/>
              </w:rPr>
            </w:pPr>
            <w:r w:rsidRPr="005E385F">
              <w:rPr>
                <w:rFonts w:ascii="Verdana" w:hAnsi="Verdana"/>
                <w:b/>
                <w:bCs/>
                <w:sz w:val="20"/>
              </w:rPr>
              <w:t>Product Type</w:t>
            </w:r>
            <w:r w:rsidRPr="005E385F">
              <w:rPr>
                <w:rFonts w:ascii="Verdana" w:hAnsi="Verdana"/>
                <w:b/>
                <w:bCs/>
                <w:sz w:val="20"/>
              </w:rPr>
              <w:br/>
              <w:t>(Function)</w:t>
            </w:r>
            <w:r w:rsidRPr="005E385F">
              <w:rPr>
                <w:rFonts w:ascii="Verdana" w:hAnsi="Verdana"/>
                <w:sz w:val="20"/>
              </w:rPr>
              <w:t xml:space="preserve"> </w:t>
            </w:r>
          </w:p>
        </w:tc>
        <w:tc>
          <w:tcPr>
            <w:tcW w:w="6862" w:type="dxa"/>
          </w:tcPr>
          <w:p w14:paraId="603C7133" w14:textId="77777777" w:rsidR="00F935B1" w:rsidRPr="005E385F" w:rsidRDefault="00F935B1" w:rsidP="0083602C">
            <w:pPr>
              <w:jc w:val="center"/>
              <w:rPr>
                <w:rFonts w:ascii="Verdana" w:hAnsi="Verdana"/>
                <w:sz w:val="20"/>
              </w:rPr>
            </w:pPr>
            <w:r w:rsidRPr="005E385F">
              <w:rPr>
                <w:rFonts w:ascii="Verdana" w:hAnsi="Verdana"/>
                <w:b/>
                <w:bCs/>
                <w:sz w:val="20"/>
              </w:rPr>
              <w:t>Description</w:t>
            </w:r>
            <w:r w:rsidRPr="005E385F">
              <w:rPr>
                <w:rFonts w:ascii="Verdana" w:hAnsi="Verdana"/>
                <w:sz w:val="20"/>
              </w:rPr>
              <w:t xml:space="preserve"> </w:t>
            </w:r>
          </w:p>
        </w:tc>
      </w:tr>
      <w:tr w:rsidR="00F935B1" w14:paraId="51D4E316" w14:textId="77777777" w:rsidTr="0083602C">
        <w:trPr>
          <w:tblCellSpacing w:w="15" w:type="dxa"/>
        </w:trPr>
        <w:tc>
          <w:tcPr>
            <w:tcW w:w="2352" w:type="dxa"/>
          </w:tcPr>
          <w:p w14:paraId="7CA929B8" w14:textId="77777777" w:rsidR="00F935B1" w:rsidRPr="005E385F" w:rsidRDefault="00F935B1" w:rsidP="0083602C">
            <w:pPr>
              <w:rPr>
                <w:rFonts w:ascii="Verdana" w:hAnsi="Verdana"/>
                <w:sz w:val="20"/>
              </w:rPr>
            </w:pPr>
            <w:r w:rsidRPr="005E385F">
              <w:rPr>
                <w:rFonts w:ascii="Verdana" w:hAnsi="Verdana"/>
                <w:sz w:val="20"/>
              </w:rPr>
              <w:t>Installation</w:t>
            </w:r>
            <w:r w:rsidRPr="005E385F">
              <w:rPr>
                <w:rFonts w:ascii="Verdana" w:hAnsi="Verdana"/>
                <w:sz w:val="20"/>
              </w:rPr>
              <w:fldChar w:fldCharType="begin"/>
            </w:r>
            <w:r w:rsidRPr="005E385F">
              <w:rPr>
                <w:rFonts w:ascii="Verdana" w:hAnsi="Verdana"/>
                <w:sz w:val="20"/>
              </w:rPr>
              <w:instrText>xe "</w:instrText>
            </w:r>
            <w:r w:rsidRPr="005E385F">
              <w:rPr>
                <w:rFonts w:ascii="Verdana" w:hAnsi="Verdana"/>
                <w:bCs/>
                <w:sz w:val="20"/>
              </w:rPr>
              <w:instrText>Installation</w:instrText>
            </w:r>
            <w:r w:rsidRPr="005E385F">
              <w:rPr>
                <w:rFonts w:ascii="Verdana" w:hAnsi="Verdana"/>
                <w:sz w:val="20"/>
              </w:rPr>
              <w:instrText>"</w:instrText>
            </w:r>
            <w:r w:rsidRPr="005E385F">
              <w:rPr>
                <w:rFonts w:ascii="Verdana" w:hAnsi="Verdana"/>
                <w:sz w:val="20"/>
              </w:rPr>
              <w:fldChar w:fldCharType="end"/>
            </w:r>
            <w:r w:rsidRPr="005E385F">
              <w:rPr>
                <w:rFonts w:ascii="Verdana" w:hAnsi="Verdana"/>
                <w:sz w:val="20"/>
              </w:rPr>
              <w:t xml:space="preserve"> and Configuration</w:t>
            </w:r>
            <w:r w:rsidRPr="005E385F">
              <w:rPr>
                <w:rFonts w:ascii="Verdana" w:hAnsi="Verdana"/>
                <w:sz w:val="20"/>
              </w:rPr>
              <w:fldChar w:fldCharType="begin"/>
            </w:r>
            <w:r w:rsidRPr="005E385F">
              <w:rPr>
                <w:rFonts w:ascii="Verdana" w:hAnsi="Verdana"/>
                <w:sz w:val="20"/>
              </w:rPr>
              <w:instrText>xe "Configuration"</w:instrText>
            </w:r>
            <w:r w:rsidRPr="005E385F">
              <w:rPr>
                <w:rFonts w:ascii="Verdana" w:hAnsi="Verdana"/>
                <w:sz w:val="20"/>
              </w:rPr>
              <w:fldChar w:fldCharType="end"/>
            </w:r>
          </w:p>
          <w:p w14:paraId="00B27115" w14:textId="77777777" w:rsidR="00F935B1" w:rsidRPr="005E385F" w:rsidRDefault="00F935B1" w:rsidP="0083602C">
            <w:pPr>
              <w:rPr>
                <w:rFonts w:ascii="Verdana" w:hAnsi="Verdana"/>
                <w:sz w:val="20"/>
              </w:rPr>
            </w:pPr>
          </w:p>
          <w:p w14:paraId="58A8E20F" w14:textId="77777777" w:rsidR="00F935B1" w:rsidRPr="005E385F" w:rsidRDefault="00F935B1" w:rsidP="0083602C">
            <w:pPr>
              <w:rPr>
                <w:rFonts w:ascii="Verdana" w:hAnsi="Verdana"/>
                <w:sz w:val="20"/>
              </w:rPr>
            </w:pPr>
          </w:p>
        </w:tc>
        <w:tc>
          <w:tcPr>
            <w:tcW w:w="6862" w:type="dxa"/>
          </w:tcPr>
          <w:p w14:paraId="61F53277" w14:textId="77777777" w:rsidR="00F935B1" w:rsidRPr="005E385F" w:rsidRDefault="00F935B1" w:rsidP="0083602C">
            <w:pPr>
              <w:pStyle w:val="NormalWeb"/>
              <w:spacing w:before="0" w:beforeAutospacing="0" w:after="0"/>
              <w:rPr>
                <w:rFonts w:ascii="Verdana" w:hAnsi="Verdana"/>
                <w:bCs/>
                <w:sz w:val="20"/>
              </w:rPr>
            </w:pPr>
            <w:r w:rsidRPr="005E385F">
              <w:rPr>
                <w:rFonts w:ascii="Verdana" w:hAnsi="Verdana"/>
                <w:bCs/>
                <w:sz w:val="20"/>
              </w:rPr>
              <w:t>Installation</w:t>
            </w:r>
            <w:r w:rsidRPr="005E385F">
              <w:rPr>
                <w:rFonts w:ascii="Verdana" w:hAnsi="Verdana"/>
                <w:sz w:val="20"/>
              </w:rPr>
              <w:fldChar w:fldCharType="begin"/>
            </w:r>
            <w:r w:rsidRPr="005E385F">
              <w:rPr>
                <w:rFonts w:ascii="Verdana" w:hAnsi="Verdana"/>
                <w:sz w:val="20"/>
              </w:rPr>
              <w:instrText>xe "Installation"</w:instrText>
            </w:r>
            <w:r w:rsidRPr="005E385F">
              <w:rPr>
                <w:rFonts w:ascii="Verdana" w:hAnsi="Verdana"/>
                <w:sz w:val="20"/>
              </w:rPr>
              <w:fldChar w:fldCharType="end"/>
            </w:r>
            <w:r w:rsidRPr="005E385F">
              <w:rPr>
                <w:rFonts w:ascii="Verdana" w:hAnsi="Verdana"/>
                <w:bCs/>
                <w:sz w:val="20"/>
              </w:rPr>
              <w:t>, activation</w:t>
            </w:r>
            <w:r w:rsidRPr="005E385F">
              <w:rPr>
                <w:rFonts w:ascii="Verdana" w:hAnsi="Verdana"/>
                <w:sz w:val="20"/>
              </w:rPr>
              <w:fldChar w:fldCharType="begin"/>
            </w:r>
            <w:r w:rsidRPr="005E385F">
              <w:rPr>
                <w:rFonts w:ascii="Verdana" w:hAnsi="Verdana"/>
                <w:sz w:val="20"/>
              </w:rPr>
              <w:instrText>xe "Activation"</w:instrText>
            </w:r>
            <w:r w:rsidRPr="005E385F">
              <w:rPr>
                <w:rFonts w:ascii="Verdana" w:hAnsi="Verdana"/>
                <w:sz w:val="20"/>
              </w:rPr>
              <w:fldChar w:fldCharType="end"/>
            </w:r>
            <w:r w:rsidRPr="005E385F">
              <w:rPr>
                <w:rFonts w:ascii="Verdana" w:hAnsi="Verdana"/>
                <w:bCs/>
                <w:sz w:val="20"/>
              </w:rPr>
              <w:t>, and initial configuration</w:t>
            </w:r>
            <w:r w:rsidRPr="005E385F">
              <w:rPr>
                <w:rFonts w:ascii="Verdana" w:hAnsi="Verdana"/>
                <w:sz w:val="20"/>
              </w:rPr>
              <w:fldChar w:fldCharType="begin"/>
            </w:r>
            <w:r w:rsidRPr="005E385F">
              <w:rPr>
                <w:rFonts w:ascii="Verdana" w:hAnsi="Verdana"/>
                <w:sz w:val="20"/>
              </w:rPr>
              <w:instrText>xe "Initial Configuration"</w:instrText>
            </w:r>
            <w:r w:rsidRPr="005E385F">
              <w:rPr>
                <w:rFonts w:ascii="Verdana" w:hAnsi="Verdana"/>
                <w:sz w:val="20"/>
              </w:rPr>
              <w:fldChar w:fldCharType="end"/>
            </w:r>
            <w:r w:rsidRPr="005E385F">
              <w:rPr>
                <w:rFonts w:ascii="Verdana" w:hAnsi="Verdana"/>
                <w:bCs/>
                <w:sz w:val="20"/>
              </w:rPr>
              <w:t xml:space="preserve"> of eligible components are eligible if they are part of a contract or bid for those eligible components.  Such eligible services may include basic design</w:t>
            </w:r>
            <w:r w:rsidRPr="005E385F">
              <w:rPr>
                <w:rFonts w:ascii="Verdana" w:hAnsi="Verdana"/>
                <w:sz w:val="20"/>
              </w:rPr>
              <w:fldChar w:fldCharType="begin"/>
            </w:r>
            <w:r w:rsidRPr="005E385F">
              <w:rPr>
                <w:rFonts w:ascii="Verdana" w:hAnsi="Verdana"/>
                <w:sz w:val="20"/>
              </w:rPr>
              <w:instrText>xe "Design"</w:instrText>
            </w:r>
            <w:r w:rsidRPr="005E385F">
              <w:rPr>
                <w:rFonts w:ascii="Verdana" w:hAnsi="Verdana"/>
                <w:sz w:val="20"/>
              </w:rPr>
              <w:fldChar w:fldCharType="end"/>
            </w:r>
            <w:r w:rsidRPr="005E385F">
              <w:rPr>
                <w:rFonts w:ascii="Verdana" w:hAnsi="Verdana"/>
                <w:bCs/>
                <w:sz w:val="20"/>
              </w:rPr>
              <w:t xml:space="preserve"> and engineering</w:t>
            </w:r>
            <w:r w:rsidRPr="005E385F">
              <w:rPr>
                <w:rFonts w:ascii="Verdana" w:hAnsi="Verdana"/>
                <w:sz w:val="20"/>
              </w:rPr>
              <w:fldChar w:fldCharType="begin"/>
            </w:r>
            <w:r w:rsidRPr="005E385F">
              <w:rPr>
                <w:rFonts w:ascii="Verdana" w:hAnsi="Verdana"/>
                <w:sz w:val="20"/>
              </w:rPr>
              <w:instrText>xe "E</w:instrText>
            </w:r>
            <w:r w:rsidRPr="005E385F">
              <w:rPr>
                <w:rFonts w:ascii="Verdana" w:hAnsi="Verdana"/>
                <w:bCs/>
                <w:sz w:val="20"/>
              </w:rPr>
              <w:instrText>ngineering</w:instrText>
            </w:r>
            <w:r w:rsidRPr="005E385F">
              <w:rPr>
                <w:rFonts w:ascii="Verdana" w:hAnsi="Verdana"/>
                <w:sz w:val="20"/>
              </w:rPr>
              <w:instrText>"</w:instrText>
            </w:r>
            <w:r w:rsidRPr="005E385F">
              <w:rPr>
                <w:rFonts w:ascii="Verdana" w:hAnsi="Verdana"/>
                <w:sz w:val="20"/>
              </w:rPr>
              <w:fldChar w:fldCharType="end"/>
            </w:r>
            <w:r w:rsidRPr="005E385F">
              <w:rPr>
                <w:rFonts w:ascii="Verdana" w:hAnsi="Verdana"/>
                <w:bCs/>
                <w:sz w:val="20"/>
              </w:rPr>
              <w:t xml:space="preserve"> costs and basic project management</w:t>
            </w:r>
            <w:r w:rsidRPr="005E385F">
              <w:rPr>
                <w:rFonts w:ascii="Verdana" w:hAnsi="Verdana"/>
                <w:sz w:val="20"/>
              </w:rPr>
              <w:fldChar w:fldCharType="begin"/>
            </w:r>
            <w:r w:rsidRPr="005E385F">
              <w:rPr>
                <w:rFonts w:ascii="Verdana" w:hAnsi="Verdana"/>
                <w:sz w:val="20"/>
              </w:rPr>
              <w:instrText>xe "P</w:instrText>
            </w:r>
            <w:r w:rsidRPr="005E385F">
              <w:rPr>
                <w:rFonts w:ascii="Verdana" w:hAnsi="Verdana"/>
                <w:bCs/>
                <w:sz w:val="20"/>
              </w:rPr>
              <w:instrText>roject Management</w:instrText>
            </w:r>
            <w:r w:rsidRPr="005E385F">
              <w:rPr>
                <w:rFonts w:ascii="Verdana" w:hAnsi="Verdana"/>
                <w:sz w:val="20"/>
              </w:rPr>
              <w:instrText>"</w:instrText>
            </w:r>
            <w:r w:rsidRPr="005E385F">
              <w:rPr>
                <w:rFonts w:ascii="Verdana" w:hAnsi="Verdana"/>
                <w:sz w:val="20"/>
              </w:rPr>
              <w:fldChar w:fldCharType="end"/>
            </w:r>
            <w:r w:rsidRPr="005E385F">
              <w:rPr>
                <w:rFonts w:ascii="Verdana" w:hAnsi="Verdana"/>
                <w:bCs/>
                <w:sz w:val="20"/>
              </w:rPr>
              <w:t xml:space="preserve"> costs, if these services are provided as an integral component of the installation</w:t>
            </w:r>
            <w:r w:rsidRPr="005E385F">
              <w:rPr>
                <w:rFonts w:ascii="Verdana" w:hAnsi="Verdana"/>
                <w:sz w:val="20"/>
              </w:rPr>
              <w:fldChar w:fldCharType="begin"/>
            </w:r>
            <w:r w:rsidRPr="005E385F">
              <w:rPr>
                <w:rFonts w:ascii="Verdana" w:hAnsi="Verdana"/>
                <w:sz w:val="20"/>
              </w:rPr>
              <w:instrText>xe "Installation"</w:instrText>
            </w:r>
            <w:r w:rsidRPr="005E385F">
              <w:rPr>
                <w:rFonts w:ascii="Verdana" w:hAnsi="Verdana"/>
                <w:sz w:val="20"/>
              </w:rPr>
              <w:fldChar w:fldCharType="end"/>
            </w:r>
            <w:r w:rsidRPr="005E385F">
              <w:rPr>
                <w:rFonts w:ascii="Verdana" w:hAnsi="Verdana"/>
                <w:bCs/>
                <w:sz w:val="20"/>
              </w:rPr>
              <w:t xml:space="preserve"> of the relevant services.</w:t>
            </w:r>
          </w:p>
          <w:p w14:paraId="169DDC72" w14:textId="77777777" w:rsidR="00F935B1" w:rsidRPr="005E385F" w:rsidRDefault="00F935B1" w:rsidP="0083602C">
            <w:pPr>
              <w:pStyle w:val="NormalWeb"/>
              <w:spacing w:before="0" w:beforeAutospacing="0" w:after="0"/>
              <w:rPr>
                <w:rFonts w:ascii="Verdana" w:hAnsi="Verdana"/>
                <w:bCs/>
                <w:sz w:val="20"/>
              </w:rPr>
            </w:pPr>
          </w:p>
          <w:p w14:paraId="411EB364" w14:textId="77777777" w:rsidR="00F935B1" w:rsidRPr="005E385F" w:rsidRDefault="00F935B1" w:rsidP="0083602C">
            <w:pPr>
              <w:pStyle w:val="NormalWeb"/>
              <w:spacing w:before="0" w:beforeAutospacing="0" w:after="0"/>
              <w:rPr>
                <w:rFonts w:ascii="Verdana" w:hAnsi="Verdana"/>
                <w:sz w:val="20"/>
              </w:rPr>
            </w:pPr>
            <w:r w:rsidRPr="005E385F">
              <w:rPr>
                <w:rFonts w:ascii="Verdana" w:hAnsi="Verdana"/>
                <w:bCs/>
                <w:sz w:val="20"/>
              </w:rPr>
              <w:t>In addition, on-site</w:t>
            </w:r>
            <w:r w:rsidRPr="005E385F">
              <w:rPr>
                <w:rFonts w:ascii="Verdana" w:hAnsi="Verdana"/>
                <w:sz w:val="20"/>
              </w:rPr>
              <w:fldChar w:fldCharType="begin"/>
            </w:r>
            <w:r w:rsidRPr="005E385F">
              <w:rPr>
                <w:rFonts w:ascii="Verdana" w:hAnsi="Verdana"/>
                <w:sz w:val="20"/>
              </w:rPr>
              <w:instrText>xe "On-Site Training"</w:instrText>
            </w:r>
            <w:r w:rsidRPr="005E385F">
              <w:rPr>
                <w:rFonts w:ascii="Verdana" w:hAnsi="Verdana"/>
                <w:sz w:val="20"/>
              </w:rPr>
              <w:fldChar w:fldCharType="end"/>
            </w:r>
            <w:r w:rsidRPr="005E385F">
              <w:rPr>
                <w:rFonts w:ascii="Verdana" w:hAnsi="Verdana"/>
                <w:bCs/>
                <w:sz w:val="20"/>
              </w:rPr>
              <w:t xml:space="preserve"> training</w:t>
            </w:r>
            <w:r w:rsidRPr="005E385F">
              <w:rPr>
                <w:rFonts w:ascii="Verdana" w:hAnsi="Verdana"/>
                <w:sz w:val="20"/>
              </w:rPr>
              <w:fldChar w:fldCharType="begin"/>
            </w:r>
            <w:r w:rsidRPr="005E385F">
              <w:rPr>
                <w:rFonts w:ascii="Verdana" w:hAnsi="Verdana"/>
                <w:sz w:val="20"/>
              </w:rPr>
              <w:instrText>xe "T</w:instrText>
            </w:r>
            <w:r w:rsidRPr="005E385F">
              <w:rPr>
                <w:rFonts w:ascii="Verdana" w:hAnsi="Verdana"/>
                <w:bCs/>
                <w:sz w:val="20"/>
              </w:rPr>
              <w:instrText>raining</w:instrText>
            </w:r>
            <w:r w:rsidRPr="005E385F">
              <w:rPr>
                <w:rFonts w:ascii="Verdana" w:hAnsi="Verdana"/>
                <w:sz w:val="20"/>
              </w:rPr>
              <w:instrText>"</w:instrText>
            </w:r>
            <w:r w:rsidRPr="005E385F">
              <w:rPr>
                <w:rFonts w:ascii="Verdana" w:hAnsi="Verdana"/>
                <w:sz w:val="20"/>
              </w:rPr>
              <w:fldChar w:fldCharType="end"/>
            </w:r>
            <w:r w:rsidRPr="005E385F">
              <w:rPr>
                <w:rFonts w:ascii="Verdana" w:hAnsi="Verdana"/>
                <w:bCs/>
                <w:sz w:val="20"/>
              </w:rPr>
              <w:t xml:space="preserve"> is eligible as a part of installation</w:t>
            </w:r>
            <w:r w:rsidRPr="005E385F">
              <w:rPr>
                <w:rFonts w:ascii="Verdana" w:hAnsi="Verdana"/>
                <w:sz w:val="20"/>
              </w:rPr>
              <w:fldChar w:fldCharType="begin"/>
            </w:r>
            <w:r w:rsidRPr="005E385F">
              <w:rPr>
                <w:rFonts w:ascii="Verdana" w:hAnsi="Verdana"/>
                <w:sz w:val="20"/>
              </w:rPr>
              <w:instrText>xe "Installation"</w:instrText>
            </w:r>
            <w:r w:rsidRPr="005E385F">
              <w:rPr>
                <w:rFonts w:ascii="Verdana" w:hAnsi="Verdana"/>
                <w:sz w:val="20"/>
              </w:rPr>
              <w:fldChar w:fldCharType="end"/>
            </w:r>
            <w:r w:rsidRPr="005E385F">
              <w:rPr>
                <w:rFonts w:ascii="Verdana" w:hAnsi="Verdana"/>
                <w:bCs/>
                <w:sz w:val="20"/>
              </w:rPr>
              <w:t xml:space="preserve"> services</w:t>
            </w:r>
            <w:r w:rsidRPr="005E385F">
              <w:rPr>
                <w:rFonts w:ascii="Verdana" w:hAnsi="Verdana"/>
                <w:sz w:val="20"/>
              </w:rPr>
              <w:t xml:space="preserve"> but only if it is basic instruction</w:t>
            </w:r>
            <w:r w:rsidRPr="005E385F">
              <w:rPr>
                <w:rFonts w:ascii="Verdana" w:hAnsi="Verdana"/>
                <w:sz w:val="20"/>
              </w:rPr>
              <w:fldChar w:fldCharType="begin"/>
            </w:r>
            <w:r w:rsidRPr="005E385F">
              <w:rPr>
                <w:rFonts w:ascii="Verdana" w:hAnsi="Verdana"/>
                <w:sz w:val="20"/>
              </w:rPr>
              <w:instrText>xe "Instruction"</w:instrText>
            </w:r>
            <w:r w:rsidRPr="005E385F">
              <w:rPr>
                <w:rFonts w:ascii="Verdana" w:hAnsi="Verdana"/>
                <w:sz w:val="20"/>
              </w:rPr>
              <w:fldChar w:fldCharType="end"/>
            </w:r>
            <w:r w:rsidRPr="005E385F">
              <w:rPr>
                <w:rFonts w:ascii="Verdana" w:hAnsi="Verdana"/>
                <w:sz w:val="20"/>
              </w:rPr>
              <w:t xml:space="preserve"> on the use of eligible equipment, directly associated with equipment installation</w:t>
            </w:r>
            <w:r w:rsidRPr="005E385F">
              <w:rPr>
                <w:rFonts w:ascii="Verdana" w:hAnsi="Verdana"/>
                <w:sz w:val="20"/>
              </w:rPr>
              <w:fldChar w:fldCharType="begin"/>
            </w:r>
            <w:r w:rsidRPr="005E385F">
              <w:rPr>
                <w:rFonts w:ascii="Verdana" w:hAnsi="Verdana"/>
                <w:sz w:val="20"/>
              </w:rPr>
              <w:instrText>xe "Installation"</w:instrText>
            </w:r>
            <w:r w:rsidRPr="005E385F">
              <w:rPr>
                <w:rFonts w:ascii="Verdana" w:hAnsi="Verdana"/>
                <w:sz w:val="20"/>
              </w:rPr>
              <w:fldChar w:fldCharType="end"/>
            </w:r>
            <w:r w:rsidRPr="005E385F">
              <w:rPr>
                <w:rFonts w:ascii="Verdana" w:hAnsi="Verdana"/>
                <w:sz w:val="20"/>
              </w:rPr>
              <w:t>, and a part of the contract or agreement for the equipment.</w:t>
            </w:r>
            <w:r w:rsidRPr="005E385F">
              <w:rPr>
                <w:rFonts w:ascii="Verdana" w:hAnsi="Verdana"/>
                <w:bCs/>
                <w:sz w:val="20"/>
              </w:rPr>
              <w:t xml:space="preserve">  Training must occur coincidently or </w:t>
            </w:r>
            <w:r w:rsidRPr="005E385F">
              <w:rPr>
                <w:rFonts w:ascii="Verdana" w:hAnsi="Verdana"/>
                <w:sz w:val="20"/>
              </w:rPr>
              <w:t xml:space="preserve">within a reasonable time after installation. </w:t>
            </w:r>
          </w:p>
        </w:tc>
      </w:tr>
      <w:tr w:rsidR="00F935B1" w14:paraId="220C4190" w14:textId="77777777" w:rsidTr="0083602C">
        <w:trPr>
          <w:tblCellSpacing w:w="15" w:type="dxa"/>
        </w:trPr>
        <w:tc>
          <w:tcPr>
            <w:tcW w:w="2352" w:type="dxa"/>
          </w:tcPr>
          <w:p w14:paraId="6F18A213" w14:textId="77777777" w:rsidR="00F935B1" w:rsidRPr="005E385F" w:rsidRDefault="00F935B1" w:rsidP="0083602C">
            <w:pPr>
              <w:rPr>
                <w:rFonts w:ascii="Verdana" w:hAnsi="Verdana"/>
                <w:sz w:val="20"/>
              </w:rPr>
            </w:pPr>
            <w:r w:rsidRPr="005E385F">
              <w:rPr>
                <w:rFonts w:ascii="Verdana" w:hAnsi="Verdana"/>
                <w:sz w:val="20"/>
              </w:rPr>
              <w:t>Miscellaneous</w:t>
            </w:r>
            <w:r w:rsidRPr="005E385F">
              <w:rPr>
                <w:rFonts w:ascii="Verdana" w:hAnsi="Verdana"/>
                <w:sz w:val="20"/>
              </w:rPr>
              <w:fldChar w:fldCharType="begin"/>
            </w:r>
            <w:r w:rsidRPr="005E385F">
              <w:rPr>
                <w:rFonts w:ascii="Verdana" w:hAnsi="Verdana"/>
                <w:sz w:val="20"/>
              </w:rPr>
              <w:instrText>xe "Miscellaneous Fees and Charges"</w:instrText>
            </w:r>
            <w:r w:rsidRPr="005E385F">
              <w:rPr>
                <w:rFonts w:ascii="Verdana" w:hAnsi="Verdana"/>
                <w:sz w:val="20"/>
              </w:rPr>
              <w:fldChar w:fldCharType="end"/>
            </w:r>
            <w:r w:rsidRPr="005E385F">
              <w:rPr>
                <w:rFonts w:ascii="Verdana" w:hAnsi="Verdana"/>
                <w:sz w:val="20"/>
              </w:rPr>
              <w:t xml:space="preserve"> Fees and Charges</w:t>
            </w:r>
          </w:p>
          <w:p w14:paraId="1F0EA000" w14:textId="77777777" w:rsidR="00F935B1" w:rsidRPr="005E385F" w:rsidRDefault="00F935B1" w:rsidP="0083602C">
            <w:pPr>
              <w:rPr>
                <w:rFonts w:ascii="Verdana" w:hAnsi="Verdana"/>
                <w:sz w:val="20"/>
              </w:rPr>
            </w:pPr>
          </w:p>
          <w:p w14:paraId="0F1CE576" w14:textId="77777777" w:rsidR="00F935B1" w:rsidRPr="005E385F" w:rsidRDefault="00F935B1" w:rsidP="0083602C">
            <w:pPr>
              <w:rPr>
                <w:rFonts w:ascii="Verdana" w:hAnsi="Verdana"/>
                <w:sz w:val="20"/>
              </w:rPr>
            </w:pPr>
          </w:p>
        </w:tc>
        <w:tc>
          <w:tcPr>
            <w:tcW w:w="6862" w:type="dxa"/>
          </w:tcPr>
          <w:p w14:paraId="629BA1F4" w14:textId="77777777" w:rsidR="00F935B1" w:rsidRPr="005E385F" w:rsidRDefault="00F935B1" w:rsidP="0083602C">
            <w:pPr>
              <w:pStyle w:val="NormalWeb"/>
              <w:spacing w:before="0" w:beforeAutospacing="0" w:after="0"/>
              <w:rPr>
                <w:rFonts w:ascii="Verdana" w:hAnsi="Verdana"/>
                <w:bCs/>
                <w:sz w:val="20"/>
              </w:rPr>
            </w:pPr>
            <w:r w:rsidRPr="005E385F">
              <w:rPr>
                <w:rFonts w:ascii="Verdana" w:hAnsi="Verdana"/>
                <w:bCs/>
                <w:sz w:val="20"/>
              </w:rPr>
              <w:t>Fees and charges that are a necessary component of an eligible product or service are generally eligible, including:</w:t>
            </w:r>
          </w:p>
          <w:p w14:paraId="07A0EF6D" w14:textId="77777777" w:rsidR="00F935B1" w:rsidRPr="005E385F" w:rsidRDefault="00F935B1" w:rsidP="0083602C">
            <w:pPr>
              <w:pStyle w:val="NormalWeb"/>
              <w:spacing w:before="0" w:beforeAutospacing="0" w:after="0"/>
              <w:rPr>
                <w:rFonts w:ascii="Verdana" w:hAnsi="Verdana"/>
                <w:bCs/>
                <w:sz w:val="20"/>
              </w:rPr>
            </w:pPr>
          </w:p>
          <w:p w14:paraId="440DDDA6" w14:textId="77777777" w:rsidR="00F935B1" w:rsidRPr="005E385F" w:rsidRDefault="00A0395D" w:rsidP="00F935B1">
            <w:pPr>
              <w:pStyle w:val="NormalWeb"/>
              <w:numPr>
                <w:ilvl w:val="0"/>
                <w:numId w:val="26"/>
              </w:numPr>
              <w:spacing w:before="0" w:beforeAutospacing="0" w:after="0"/>
              <w:rPr>
                <w:rFonts w:ascii="Verdana" w:hAnsi="Verdana"/>
                <w:bCs/>
                <w:sz w:val="20"/>
              </w:rPr>
            </w:pPr>
            <w:hyperlink w:anchor="ChangeFeesDef" w:history="1">
              <w:r w:rsidR="00F935B1" w:rsidRPr="005E385F">
                <w:rPr>
                  <w:rStyle w:val="Hyperlink"/>
                  <w:rFonts w:ascii="Verdana" w:hAnsi="Verdana"/>
                  <w:bCs/>
                  <w:sz w:val="20"/>
                </w:rPr>
                <w:t>Change fees</w:t>
              </w:r>
            </w:hyperlink>
            <w:r w:rsidR="00F935B1" w:rsidRPr="005E385F">
              <w:rPr>
                <w:rFonts w:ascii="Verdana" w:hAnsi="Verdana"/>
                <w:sz w:val="20"/>
              </w:rPr>
              <w:fldChar w:fldCharType="begin"/>
            </w:r>
            <w:r w:rsidR="00F935B1" w:rsidRPr="005E385F">
              <w:rPr>
                <w:rFonts w:ascii="Verdana" w:hAnsi="Verdana"/>
                <w:sz w:val="20"/>
              </w:rPr>
              <w:instrText>xe "</w:instrText>
            </w:r>
            <w:r w:rsidR="00F935B1" w:rsidRPr="005E385F">
              <w:rPr>
                <w:rFonts w:ascii="Verdana" w:hAnsi="Verdana"/>
                <w:bCs/>
                <w:sz w:val="20"/>
              </w:rPr>
              <w:instrText>Change Fees</w:instrText>
            </w:r>
            <w:r w:rsidR="00F935B1" w:rsidRPr="005E385F">
              <w:rPr>
                <w:rFonts w:ascii="Verdana" w:hAnsi="Verdana"/>
                <w:sz w:val="20"/>
              </w:rPr>
              <w:instrText>"</w:instrText>
            </w:r>
            <w:r w:rsidR="00F935B1" w:rsidRPr="005E385F">
              <w:rPr>
                <w:rFonts w:ascii="Verdana" w:hAnsi="Verdana"/>
                <w:sz w:val="20"/>
              </w:rPr>
              <w:fldChar w:fldCharType="end"/>
            </w:r>
          </w:p>
          <w:p w14:paraId="62FCF3DB" w14:textId="77777777" w:rsidR="00F935B1" w:rsidRPr="005E385F" w:rsidRDefault="00A0395D" w:rsidP="00F935B1">
            <w:pPr>
              <w:pStyle w:val="NormalWeb"/>
              <w:numPr>
                <w:ilvl w:val="0"/>
                <w:numId w:val="26"/>
              </w:numPr>
              <w:spacing w:before="0" w:beforeAutospacing="0" w:after="0"/>
              <w:rPr>
                <w:rFonts w:ascii="Verdana" w:hAnsi="Verdana"/>
                <w:bCs/>
                <w:sz w:val="20"/>
              </w:rPr>
            </w:pPr>
            <w:hyperlink w:anchor="FreightAssurancesDef" w:history="1">
              <w:r w:rsidR="00F935B1" w:rsidRPr="005E385F">
                <w:rPr>
                  <w:rStyle w:val="Hyperlink"/>
                  <w:rFonts w:ascii="Verdana" w:hAnsi="Verdana"/>
                  <w:bCs/>
                  <w:sz w:val="20"/>
                </w:rPr>
                <w:t>Freight assurance fees</w:t>
              </w:r>
            </w:hyperlink>
            <w:r w:rsidR="00F935B1" w:rsidRPr="005E385F">
              <w:rPr>
                <w:rFonts w:ascii="Verdana" w:hAnsi="Verdana"/>
                <w:sz w:val="20"/>
              </w:rPr>
              <w:fldChar w:fldCharType="begin"/>
            </w:r>
            <w:r w:rsidR="00F935B1" w:rsidRPr="005E385F">
              <w:rPr>
                <w:rFonts w:ascii="Verdana" w:hAnsi="Verdana"/>
                <w:sz w:val="20"/>
              </w:rPr>
              <w:instrText>xe "</w:instrText>
            </w:r>
            <w:r w:rsidR="00F935B1" w:rsidRPr="005E385F">
              <w:rPr>
                <w:rFonts w:ascii="Verdana" w:hAnsi="Verdana"/>
                <w:bCs/>
                <w:sz w:val="20"/>
              </w:rPr>
              <w:instrText>Freight Assurance Fees</w:instrText>
            </w:r>
            <w:r w:rsidR="00F935B1" w:rsidRPr="005E385F">
              <w:rPr>
                <w:rFonts w:ascii="Verdana" w:hAnsi="Verdana"/>
                <w:sz w:val="20"/>
              </w:rPr>
              <w:instrText>"</w:instrText>
            </w:r>
            <w:r w:rsidR="00F935B1" w:rsidRPr="005E385F">
              <w:rPr>
                <w:rFonts w:ascii="Verdana" w:hAnsi="Verdana"/>
                <w:sz w:val="20"/>
              </w:rPr>
              <w:fldChar w:fldCharType="end"/>
            </w:r>
          </w:p>
          <w:p w14:paraId="1D240E80" w14:textId="77777777" w:rsidR="00F935B1" w:rsidRPr="005E385F" w:rsidRDefault="00A0395D" w:rsidP="00F935B1">
            <w:pPr>
              <w:pStyle w:val="NormalWeb"/>
              <w:numPr>
                <w:ilvl w:val="0"/>
                <w:numId w:val="26"/>
              </w:numPr>
              <w:spacing w:before="0" w:beforeAutospacing="0" w:after="0"/>
              <w:rPr>
                <w:rFonts w:ascii="Verdana" w:hAnsi="Verdana"/>
                <w:bCs/>
                <w:sz w:val="20"/>
              </w:rPr>
            </w:pPr>
            <w:hyperlink w:anchor="ShippingChargesDef" w:history="1">
              <w:r w:rsidR="00F935B1" w:rsidRPr="005E385F">
                <w:rPr>
                  <w:rStyle w:val="Hyperlink"/>
                  <w:rFonts w:ascii="Verdana" w:hAnsi="Verdana"/>
                  <w:bCs/>
                  <w:sz w:val="20"/>
                </w:rPr>
                <w:t>Shipping charges</w:t>
              </w:r>
            </w:hyperlink>
            <w:r w:rsidR="00F935B1" w:rsidRPr="005E385F">
              <w:rPr>
                <w:rFonts w:ascii="Verdana" w:hAnsi="Verdana"/>
                <w:sz w:val="20"/>
              </w:rPr>
              <w:fldChar w:fldCharType="begin"/>
            </w:r>
            <w:r w:rsidR="00F935B1" w:rsidRPr="005E385F">
              <w:rPr>
                <w:rFonts w:ascii="Verdana" w:hAnsi="Verdana"/>
                <w:sz w:val="20"/>
              </w:rPr>
              <w:instrText>xe "</w:instrText>
            </w:r>
            <w:r w:rsidR="00F935B1" w:rsidRPr="005E385F">
              <w:rPr>
                <w:rFonts w:ascii="Verdana" w:hAnsi="Verdana"/>
                <w:bCs/>
                <w:sz w:val="20"/>
              </w:rPr>
              <w:instrText>Shipping Charges</w:instrText>
            </w:r>
            <w:r w:rsidR="00F935B1" w:rsidRPr="005E385F">
              <w:rPr>
                <w:rFonts w:ascii="Verdana" w:hAnsi="Verdana"/>
                <w:sz w:val="20"/>
              </w:rPr>
              <w:instrText>"</w:instrText>
            </w:r>
            <w:r w:rsidR="00F935B1" w:rsidRPr="005E385F">
              <w:rPr>
                <w:rFonts w:ascii="Verdana" w:hAnsi="Verdana"/>
                <w:sz w:val="20"/>
              </w:rPr>
              <w:fldChar w:fldCharType="end"/>
            </w:r>
          </w:p>
          <w:p w14:paraId="0B4CF43C" w14:textId="77777777" w:rsidR="00F935B1" w:rsidRPr="005E385F" w:rsidRDefault="00F935B1" w:rsidP="0083602C">
            <w:pPr>
              <w:pStyle w:val="NormalWeb"/>
              <w:spacing w:before="0" w:beforeAutospacing="0" w:after="0"/>
              <w:rPr>
                <w:rFonts w:ascii="Verdana" w:hAnsi="Verdana"/>
                <w:bCs/>
                <w:sz w:val="20"/>
              </w:rPr>
            </w:pPr>
          </w:p>
          <w:p w14:paraId="224249F6" w14:textId="77777777" w:rsidR="00F935B1" w:rsidRPr="005E385F" w:rsidRDefault="00F935B1" w:rsidP="0083602C">
            <w:pPr>
              <w:pStyle w:val="NormalWeb"/>
              <w:spacing w:before="0" w:beforeAutospacing="0" w:after="0"/>
              <w:rPr>
                <w:rFonts w:ascii="Verdana" w:hAnsi="Verdana"/>
                <w:bCs/>
                <w:sz w:val="20"/>
              </w:rPr>
            </w:pPr>
            <w:r w:rsidRPr="005E385F">
              <w:rPr>
                <w:rFonts w:ascii="Verdana" w:hAnsi="Verdana"/>
                <w:bCs/>
                <w:sz w:val="20"/>
              </w:rPr>
              <w:t>The following fees and charges are eligible only if a contract with a vendor for eligible product or services specifically provides for these costs:</w:t>
            </w:r>
          </w:p>
          <w:p w14:paraId="641C23A1" w14:textId="77777777" w:rsidR="00F935B1" w:rsidRPr="005E385F" w:rsidRDefault="00F935B1" w:rsidP="0083602C">
            <w:pPr>
              <w:pStyle w:val="NormalWeb"/>
              <w:spacing w:before="0" w:beforeAutospacing="0" w:after="0"/>
              <w:rPr>
                <w:rFonts w:ascii="Verdana" w:hAnsi="Verdana"/>
                <w:bCs/>
                <w:sz w:val="20"/>
              </w:rPr>
            </w:pPr>
          </w:p>
          <w:p w14:paraId="268FB959" w14:textId="77777777" w:rsidR="00F935B1" w:rsidRPr="005E385F" w:rsidRDefault="00A0395D" w:rsidP="00F935B1">
            <w:pPr>
              <w:pStyle w:val="NormalWeb"/>
              <w:numPr>
                <w:ilvl w:val="0"/>
                <w:numId w:val="27"/>
              </w:numPr>
              <w:spacing w:before="0" w:beforeAutospacing="0" w:after="0"/>
              <w:rPr>
                <w:rFonts w:ascii="Verdana" w:hAnsi="Verdana"/>
                <w:bCs/>
                <w:sz w:val="20"/>
              </w:rPr>
            </w:pPr>
            <w:hyperlink w:anchor="PerDiemDef" w:history="1">
              <w:r w:rsidR="00F935B1" w:rsidRPr="005E385F">
                <w:rPr>
                  <w:rStyle w:val="Hyperlink"/>
                  <w:rFonts w:ascii="Verdana" w:hAnsi="Verdana"/>
                  <w:bCs/>
                  <w:sz w:val="20"/>
                </w:rPr>
                <w:t>Per diem</w:t>
              </w:r>
            </w:hyperlink>
            <w:r w:rsidR="00F935B1" w:rsidRPr="005E385F">
              <w:rPr>
                <w:rFonts w:ascii="Verdana" w:hAnsi="Verdana"/>
                <w:sz w:val="20"/>
              </w:rPr>
              <w:fldChar w:fldCharType="begin"/>
            </w:r>
            <w:r w:rsidR="00F935B1" w:rsidRPr="005E385F">
              <w:rPr>
                <w:rFonts w:ascii="Verdana" w:hAnsi="Verdana"/>
                <w:sz w:val="20"/>
              </w:rPr>
              <w:instrText>xe "</w:instrText>
            </w:r>
            <w:r w:rsidR="00F935B1" w:rsidRPr="005E385F">
              <w:rPr>
                <w:rFonts w:ascii="Verdana" w:hAnsi="Verdana"/>
                <w:bCs/>
                <w:sz w:val="20"/>
              </w:rPr>
              <w:instrText>Per Diem</w:instrText>
            </w:r>
            <w:r w:rsidR="00F935B1" w:rsidRPr="005E385F">
              <w:rPr>
                <w:rFonts w:ascii="Verdana" w:hAnsi="Verdana"/>
                <w:sz w:val="20"/>
              </w:rPr>
              <w:instrText>"</w:instrText>
            </w:r>
            <w:r w:rsidR="00F935B1" w:rsidRPr="005E385F">
              <w:rPr>
                <w:rFonts w:ascii="Verdana" w:hAnsi="Verdana"/>
                <w:sz w:val="20"/>
              </w:rPr>
              <w:fldChar w:fldCharType="end"/>
            </w:r>
          </w:p>
          <w:p w14:paraId="72C64759" w14:textId="77777777" w:rsidR="00F935B1" w:rsidRPr="005E385F" w:rsidRDefault="00A0395D" w:rsidP="00F935B1">
            <w:pPr>
              <w:pStyle w:val="NormalWeb"/>
              <w:numPr>
                <w:ilvl w:val="0"/>
                <w:numId w:val="27"/>
              </w:numPr>
              <w:spacing w:before="0" w:beforeAutospacing="0" w:after="0"/>
              <w:rPr>
                <w:rFonts w:ascii="Verdana" w:hAnsi="Verdana"/>
                <w:bCs/>
                <w:sz w:val="20"/>
              </w:rPr>
            </w:pPr>
            <w:hyperlink w:anchor="TravelTimeDef" w:history="1">
              <w:r w:rsidR="00F935B1" w:rsidRPr="005E385F">
                <w:rPr>
                  <w:rStyle w:val="Hyperlink"/>
                  <w:rFonts w:ascii="Verdana" w:hAnsi="Verdana"/>
                  <w:bCs/>
                  <w:sz w:val="20"/>
                </w:rPr>
                <w:t>Travel time</w:t>
              </w:r>
            </w:hyperlink>
            <w:r w:rsidR="00F935B1" w:rsidRPr="005E385F">
              <w:rPr>
                <w:rFonts w:ascii="Verdana" w:hAnsi="Verdana"/>
                <w:sz w:val="20"/>
              </w:rPr>
              <w:fldChar w:fldCharType="begin"/>
            </w:r>
            <w:r w:rsidR="00F935B1" w:rsidRPr="005E385F">
              <w:rPr>
                <w:rFonts w:ascii="Verdana" w:hAnsi="Verdana"/>
                <w:sz w:val="20"/>
              </w:rPr>
              <w:instrText>xe "</w:instrText>
            </w:r>
            <w:r w:rsidR="00F935B1" w:rsidRPr="005E385F">
              <w:rPr>
                <w:rFonts w:ascii="Verdana" w:hAnsi="Verdana"/>
                <w:bCs/>
                <w:sz w:val="20"/>
              </w:rPr>
              <w:instrText>Travel Time</w:instrText>
            </w:r>
            <w:r w:rsidR="00F935B1" w:rsidRPr="005E385F">
              <w:rPr>
                <w:rFonts w:ascii="Verdana" w:hAnsi="Verdana"/>
                <w:sz w:val="20"/>
              </w:rPr>
              <w:instrText>"</w:instrText>
            </w:r>
            <w:r w:rsidR="00F935B1" w:rsidRPr="005E385F">
              <w:rPr>
                <w:rFonts w:ascii="Verdana" w:hAnsi="Verdana"/>
                <w:sz w:val="20"/>
              </w:rPr>
              <w:fldChar w:fldCharType="end"/>
            </w:r>
          </w:p>
          <w:p w14:paraId="3BAC0E21" w14:textId="77777777" w:rsidR="00F935B1" w:rsidRPr="005E385F" w:rsidRDefault="00F935B1" w:rsidP="0083602C">
            <w:pPr>
              <w:pStyle w:val="NormalWeb"/>
              <w:spacing w:before="0" w:beforeAutospacing="0" w:after="0"/>
              <w:rPr>
                <w:rFonts w:ascii="Verdana" w:hAnsi="Verdana"/>
                <w:bCs/>
                <w:sz w:val="20"/>
              </w:rPr>
            </w:pPr>
          </w:p>
          <w:p w14:paraId="52A6D7F0" w14:textId="77777777" w:rsidR="00F935B1" w:rsidRPr="005E385F" w:rsidRDefault="00F935B1" w:rsidP="0083602C">
            <w:pPr>
              <w:pStyle w:val="NormalWeb"/>
              <w:spacing w:before="0" w:beforeAutospacing="0" w:after="0"/>
              <w:rPr>
                <w:rFonts w:ascii="Verdana" w:hAnsi="Verdana"/>
                <w:bCs/>
                <w:sz w:val="20"/>
              </w:rPr>
            </w:pPr>
            <w:r w:rsidRPr="005E385F">
              <w:rPr>
                <w:rFonts w:ascii="Verdana" w:hAnsi="Verdana"/>
                <w:bCs/>
                <w:sz w:val="20"/>
              </w:rPr>
              <w:t>A manufacturer’s multi-year warranty</w:t>
            </w:r>
            <w:r w:rsidRPr="005E385F">
              <w:rPr>
                <w:rFonts w:ascii="Verdana" w:hAnsi="Verdana"/>
                <w:sz w:val="20"/>
              </w:rPr>
              <w:fldChar w:fldCharType="begin"/>
            </w:r>
            <w:r w:rsidRPr="005E385F">
              <w:rPr>
                <w:rFonts w:ascii="Verdana" w:hAnsi="Verdana"/>
                <w:sz w:val="20"/>
              </w:rPr>
              <w:instrText>xe "W</w:instrText>
            </w:r>
            <w:r w:rsidRPr="005E385F">
              <w:rPr>
                <w:rFonts w:ascii="Verdana" w:hAnsi="Verdana"/>
                <w:bCs/>
                <w:sz w:val="20"/>
              </w:rPr>
              <w:instrText>arranty</w:instrText>
            </w:r>
            <w:r w:rsidRPr="005E385F">
              <w:rPr>
                <w:rFonts w:ascii="Verdana" w:hAnsi="Verdana"/>
                <w:sz w:val="20"/>
              </w:rPr>
              <w:instrText>"</w:instrText>
            </w:r>
            <w:r w:rsidRPr="005E385F">
              <w:rPr>
                <w:rFonts w:ascii="Verdana" w:hAnsi="Verdana"/>
                <w:sz w:val="20"/>
              </w:rPr>
              <w:fldChar w:fldCharType="end"/>
            </w:r>
            <w:r w:rsidRPr="005E385F">
              <w:rPr>
                <w:rFonts w:ascii="Verdana" w:hAnsi="Verdana"/>
                <w:bCs/>
                <w:sz w:val="20"/>
              </w:rPr>
              <w:t xml:space="preserve"> for a period up to three years and provided as an integral part of an eligible component, without a separately identifiable cost, can be included in the cost of the component.</w:t>
            </w:r>
          </w:p>
          <w:p w14:paraId="65B6E4C2" w14:textId="77777777" w:rsidR="00F935B1" w:rsidRPr="005E385F" w:rsidRDefault="00F935B1" w:rsidP="0083602C">
            <w:pPr>
              <w:pStyle w:val="NormalWeb"/>
              <w:spacing w:before="0" w:beforeAutospacing="0" w:after="0"/>
              <w:rPr>
                <w:rFonts w:ascii="Verdana" w:hAnsi="Verdana"/>
                <w:bCs/>
                <w:sz w:val="20"/>
              </w:rPr>
            </w:pPr>
          </w:p>
          <w:p w14:paraId="3472C6C3" w14:textId="77777777" w:rsidR="00F935B1" w:rsidRPr="005E385F" w:rsidRDefault="00F935B1" w:rsidP="0083602C">
            <w:pPr>
              <w:pStyle w:val="NormalWeb"/>
              <w:spacing w:before="0" w:beforeAutospacing="0" w:after="0"/>
              <w:rPr>
                <w:rFonts w:ascii="Verdana" w:hAnsi="Verdana"/>
                <w:bCs/>
                <w:sz w:val="20"/>
              </w:rPr>
            </w:pPr>
            <w:r w:rsidRPr="005E385F">
              <w:rPr>
                <w:rFonts w:ascii="Verdana" w:hAnsi="Verdana"/>
                <w:bCs/>
                <w:sz w:val="20"/>
              </w:rPr>
              <w:t>Lease fees</w:t>
            </w:r>
            <w:r w:rsidRPr="005E385F">
              <w:rPr>
                <w:rFonts w:ascii="Verdana" w:hAnsi="Verdana"/>
                <w:sz w:val="20"/>
              </w:rPr>
              <w:fldChar w:fldCharType="begin"/>
            </w:r>
            <w:r w:rsidRPr="005E385F">
              <w:rPr>
                <w:rFonts w:ascii="Verdana" w:hAnsi="Verdana"/>
                <w:sz w:val="20"/>
              </w:rPr>
              <w:instrText>xe "</w:instrText>
            </w:r>
            <w:r w:rsidRPr="005E385F">
              <w:rPr>
                <w:rFonts w:ascii="Verdana" w:hAnsi="Verdana"/>
                <w:bCs/>
                <w:sz w:val="20"/>
              </w:rPr>
              <w:instrText>Lease Fees</w:instrText>
            </w:r>
            <w:r w:rsidRPr="005E385F">
              <w:rPr>
                <w:rFonts w:ascii="Verdana" w:hAnsi="Verdana"/>
                <w:sz w:val="20"/>
              </w:rPr>
              <w:instrText>"</w:instrText>
            </w:r>
            <w:r w:rsidRPr="005E385F">
              <w:rPr>
                <w:rFonts w:ascii="Verdana" w:hAnsi="Verdana"/>
                <w:sz w:val="20"/>
              </w:rPr>
              <w:fldChar w:fldCharType="end"/>
            </w:r>
            <w:r w:rsidRPr="005E385F">
              <w:rPr>
                <w:rFonts w:ascii="Verdana" w:hAnsi="Verdana"/>
                <w:bCs/>
                <w:sz w:val="20"/>
              </w:rPr>
              <w:t xml:space="preserve"> to rent or lease eligible components are eligible</w:t>
            </w:r>
            <w:r w:rsidRPr="005E385F">
              <w:rPr>
                <w:rFonts w:ascii="Verdana" w:hAnsi="Verdana"/>
                <w:sz w:val="20"/>
              </w:rPr>
              <w:fldChar w:fldCharType="begin"/>
            </w:r>
            <w:r w:rsidRPr="005E385F">
              <w:rPr>
                <w:rFonts w:ascii="Verdana" w:hAnsi="Verdana"/>
                <w:sz w:val="20"/>
              </w:rPr>
              <w:instrText>xe "Cost-Effective"</w:instrText>
            </w:r>
            <w:r w:rsidRPr="005E385F">
              <w:rPr>
                <w:rFonts w:ascii="Verdana" w:hAnsi="Verdana"/>
                <w:sz w:val="20"/>
              </w:rPr>
              <w:fldChar w:fldCharType="end"/>
            </w:r>
            <w:r w:rsidRPr="005E385F">
              <w:rPr>
                <w:rFonts w:ascii="Verdana" w:hAnsi="Verdana"/>
                <w:bCs/>
                <w:sz w:val="20"/>
              </w:rPr>
              <w:t xml:space="preserve">. </w:t>
            </w:r>
          </w:p>
          <w:p w14:paraId="323FE9FA" w14:textId="77777777" w:rsidR="00F935B1" w:rsidRPr="005E385F" w:rsidRDefault="00F935B1" w:rsidP="0083602C">
            <w:pPr>
              <w:pStyle w:val="NormalWeb"/>
              <w:spacing w:before="0" w:beforeAutospacing="0" w:after="0"/>
              <w:rPr>
                <w:rFonts w:ascii="Verdana" w:hAnsi="Verdana"/>
                <w:bCs/>
                <w:sz w:val="20"/>
              </w:rPr>
            </w:pPr>
          </w:p>
          <w:p w14:paraId="58FFEC11" w14:textId="77777777" w:rsidR="00F935B1" w:rsidRPr="005E385F" w:rsidRDefault="00F935B1" w:rsidP="0083602C">
            <w:pPr>
              <w:pStyle w:val="NormalWeb"/>
              <w:spacing w:before="0" w:beforeAutospacing="0" w:after="0"/>
              <w:rPr>
                <w:rFonts w:ascii="Verdana" w:hAnsi="Verdana"/>
                <w:bCs/>
                <w:sz w:val="20"/>
              </w:rPr>
            </w:pPr>
            <w:r w:rsidRPr="005E385F">
              <w:rPr>
                <w:rFonts w:ascii="Verdana" w:hAnsi="Verdana"/>
                <w:bCs/>
                <w:sz w:val="20"/>
              </w:rPr>
              <w:t>Taxes</w:t>
            </w:r>
            <w:r w:rsidRPr="005E385F">
              <w:rPr>
                <w:rFonts w:ascii="Verdana" w:hAnsi="Verdana"/>
                <w:sz w:val="20"/>
              </w:rPr>
              <w:fldChar w:fldCharType="begin"/>
            </w:r>
            <w:r w:rsidRPr="005E385F">
              <w:rPr>
                <w:rFonts w:ascii="Verdana" w:hAnsi="Verdana"/>
                <w:sz w:val="20"/>
              </w:rPr>
              <w:instrText>xe "</w:instrText>
            </w:r>
            <w:r w:rsidRPr="005E385F">
              <w:rPr>
                <w:rFonts w:ascii="Verdana" w:hAnsi="Verdana"/>
                <w:bCs/>
                <w:sz w:val="20"/>
              </w:rPr>
              <w:instrText>Taxes</w:instrText>
            </w:r>
            <w:r w:rsidRPr="005E385F">
              <w:rPr>
                <w:rFonts w:ascii="Verdana" w:hAnsi="Verdana"/>
                <w:sz w:val="20"/>
              </w:rPr>
              <w:instrText>"</w:instrText>
            </w:r>
            <w:r w:rsidRPr="005E385F">
              <w:rPr>
                <w:rFonts w:ascii="Verdana" w:hAnsi="Verdana"/>
                <w:sz w:val="20"/>
              </w:rPr>
              <w:fldChar w:fldCharType="end"/>
            </w:r>
            <w:r w:rsidRPr="005E385F">
              <w:rPr>
                <w:rFonts w:ascii="Verdana" w:hAnsi="Verdana"/>
                <w:bCs/>
                <w:sz w:val="20"/>
              </w:rPr>
              <w:t>, surcharges</w:t>
            </w:r>
            <w:r w:rsidRPr="005E385F">
              <w:rPr>
                <w:rFonts w:ascii="Verdana" w:hAnsi="Verdana"/>
                <w:sz w:val="20"/>
              </w:rPr>
              <w:fldChar w:fldCharType="begin"/>
            </w:r>
            <w:r w:rsidRPr="005E385F">
              <w:rPr>
                <w:rFonts w:ascii="Verdana" w:hAnsi="Verdana"/>
                <w:sz w:val="20"/>
              </w:rPr>
              <w:instrText>xe "S</w:instrText>
            </w:r>
            <w:r w:rsidRPr="005E385F">
              <w:rPr>
                <w:rFonts w:ascii="Verdana" w:hAnsi="Verdana"/>
                <w:bCs/>
                <w:sz w:val="20"/>
              </w:rPr>
              <w:instrText>urcharges</w:instrText>
            </w:r>
            <w:r w:rsidRPr="005E385F">
              <w:rPr>
                <w:rFonts w:ascii="Verdana" w:hAnsi="Verdana"/>
                <w:sz w:val="20"/>
              </w:rPr>
              <w:instrText>"</w:instrText>
            </w:r>
            <w:r w:rsidRPr="005E385F">
              <w:rPr>
                <w:rFonts w:ascii="Verdana" w:hAnsi="Verdana"/>
                <w:sz w:val="20"/>
              </w:rPr>
              <w:fldChar w:fldCharType="end"/>
            </w:r>
            <w:r w:rsidRPr="005E385F">
              <w:rPr>
                <w:rFonts w:ascii="Verdana" w:hAnsi="Verdana"/>
                <w:bCs/>
                <w:sz w:val="20"/>
              </w:rPr>
              <w:t>, and other similar, reasonable charges incurred in obtaining an eligible product or service are eligible.  This includes customer charges for universal service fees,</w:t>
            </w:r>
            <w:r w:rsidRPr="005E385F">
              <w:rPr>
                <w:rFonts w:ascii="Verdana" w:hAnsi="Verdana"/>
                <w:sz w:val="20"/>
              </w:rPr>
              <w:fldChar w:fldCharType="begin"/>
            </w:r>
            <w:r w:rsidRPr="005E385F">
              <w:rPr>
                <w:rFonts w:ascii="Verdana" w:hAnsi="Verdana"/>
                <w:sz w:val="20"/>
              </w:rPr>
              <w:instrText>xe "U</w:instrText>
            </w:r>
            <w:r w:rsidRPr="005E385F">
              <w:rPr>
                <w:rFonts w:ascii="Verdana" w:hAnsi="Verdana"/>
                <w:bCs/>
                <w:sz w:val="20"/>
              </w:rPr>
              <w:instrText>niversal Service Fees</w:instrText>
            </w:r>
            <w:r w:rsidRPr="005E385F">
              <w:rPr>
                <w:rFonts w:ascii="Verdana" w:hAnsi="Verdana"/>
                <w:sz w:val="20"/>
              </w:rPr>
              <w:instrText>"</w:instrText>
            </w:r>
            <w:r w:rsidRPr="005E385F">
              <w:rPr>
                <w:rFonts w:ascii="Verdana" w:hAnsi="Verdana"/>
                <w:sz w:val="20"/>
              </w:rPr>
              <w:fldChar w:fldCharType="end"/>
            </w:r>
            <w:r w:rsidRPr="005E385F">
              <w:rPr>
                <w:rFonts w:ascii="Verdana" w:hAnsi="Verdana"/>
                <w:bCs/>
                <w:sz w:val="20"/>
              </w:rPr>
              <w:t xml:space="preserve"> but does not include additional charges for universal service administration</w:t>
            </w:r>
            <w:r w:rsidRPr="005E385F">
              <w:rPr>
                <w:rFonts w:ascii="Verdana" w:hAnsi="Verdana"/>
                <w:sz w:val="20"/>
              </w:rPr>
              <w:fldChar w:fldCharType="begin"/>
            </w:r>
            <w:r w:rsidRPr="005E385F">
              <w:rPr>
                <w:rFonts w:ascii="Verdana" w:hAnsi="Verdana"/>
                <w:sz w:val="20"/>
              </w:rPr>
              <w:instrText>xe "A</w:instrText>
            </w:r>
            <w:r w:rsidRPr="005E385F">
              <w:rPr>
                <w:rFonts w:ascii="Verdana" w:hAnsi="Verdana"/>
                <w:bCs/>
                <w:sz w:val="20"/>
              </w:rPr>
              <w:instrText>dministration</w:instrText>
            </w:r>
            <w:r w:rsidRPr="005E385F">
              <w:rPr>
                <w:rFonts w:ascii="Verdana" w:hAnsi="Verdana"/>
                <w:sz w:val="20"/>
              </w:rPr>
              <w:instrText>"</w:instrText>
            </w:r>
            <w:r w:rsidRPr="005E385F">
              <w:rPr>
                <w:rFonts w:ascii="Verdana" w:hAnsi="Verdana"/>
                <w:sz w:val="20"/>
              </w:rPr>
              <w:fldChar w:fldCharType="end"/>
            </w:r>
            <w:r w:rsidRPr="005E385F">
              <w:rPr>
                <w:rFonts w:ascii="Verdana" w:hAnsi="Verdana"/>
                <w:bCs/>
                <w:sz w:val="20"/>
              </w:rPr>
              <w:t>.</w:t>
            </w:r>
          </w:p>
          <w:p w14:paraId="6D10369E" w14:textId="77777777" w:rsidR="00F935B1" w:rsidRPr="005E385F" w:rsidRDefault="00F935B1" w:rsidP="0083602C">
            <w:pPr>
              <w:pStyle w:val="NormalWeb"/>
              <w:spacing w:before="0" w:beforeAutospacing="0" w:after="0"/>
              <w:rPr>
                <w:rFonts w:ascii="Verdana" w:hAnsi="Verdana"/>
                <w:bCs/>
                <w:sz w:val="20"/>
              </w:rPr>
            </w:pPr>
            <w:r w:rsidRPr="005E385F">
              <w:rPr>
                <w:rFonts w:ascii="Verdana" w:hAnsi="Verdana"/>
                <w:bCs/>
                <w:sz w:val="20"/>
              </w:rPr>
              <w:t xml:space="preserve">A reasonable </w:t>
            </w:r>
            <w:hyperlink w:anchor="ContingencyFee" w:history="1">
              <w:r w:rsidRPr="005E385F">
                <w:rPr>
                  <w:rStyle w:val="Hyperlink"/>
                  <w:rFonts w:ascii="Verdana" w:hAnsi="Verdana"/>
                  <w:bCs/>
                  <w:sz w:val="20"/>
                </w:rPr>
                <w:t>contingency fee</w:t>
              </w:r>
              <w:r w:rsidRPr="005E385F">
                <w:rPr>
                  <w:rFonts w:ascii="Verdana" w:hAnsi="Verdana"/>
                  <w:sz w:val="20"/>
                </w:rPr>
                <w:fldChar w:fldCharType="begin"/>
              </w:r>
              <w:r w:rsidRPr="005E385F">
                <w:rPr>
                  <w:rFonts w:ascii="Verdana" w:hAnsi="Verdana"/>
                  <w:sz w:val="20"/>
                </w:rPr>
                <w:instrText>xe "Contingency Fee"</w:instrText>
              </w:r>
              <w:r w:rsidRPr="005E385F">
                <w:rPr>
                  <w:rFonts w:ascii="Verdana" w:hAnsi="Verdana"/>
                  <w:sz w:val="20"/>
                </w:rPr>
                <w:fldChar w:fldCharType="end"/>
              </w:r>
            </w:hyperlink>
            <w:r w:rsidRPr="005E385F">
              <w:rPr>
                <w:rFonts w:ascii="Verdana" w:hAnsi="Verdana"/>
                <w:sz w:val="20"/>
              </w:rPr>
              <w:fldChar w:fldCharType="begin"/>
            </w:r>
            <w:r w:rsidRPr="005E385F">
              <w:rPr>
                <w:rFonts w:ascii="Verdana" w:hAnsi="Verdana"/>
                <w:sz w:val="20"/>
              </w:rPr>
              <w:instrText>xe "C</w:instrText>
            </w:r>
            <w:r w:rsidRPr="005E385F">
              <w:rPr>
                <w:rFonts w:ascii="Verdana" w:hAnsi="Verdana"/>
                <w:bCs/>
                <w:sz w:val="20"/>
              </w:rPr>
              <w:instrText>ontingency Fee</w:instrText>
            </w:r>
            <w:r w:rsidRPr="005E385F">
              <w:rPr>
                <w:rFonts w:ascii="Verdana" w:hAnsi="Verdana"/>
                <w:sz w:val="20"/>
              </w:rPr>
              <w:instrText>"</w:instrText>
            </w:r>
            <w:r w:rsidRPr="005E385F">
              <w:rPr>
                <w:rFonts w:ascii="Verdana" w:hAnsi="Verdana"/>
                <w:sz w:val="20"/>
              </w:rPr>
              <w:fldChar w:fldCharType="end"/>
            </w:r>
            <w:r w:rsidRPr="005E385F">
              <w:rPr>
                <w:rFonts w:ascii="Verdana" w:hAnsi="Verdana"/>
                <w:bCs/>
                <w:sz w:val="20"/>
              </w:rPr>
              <w:t xml:space="preserve"> is eligible only if it is a regular business practice of the service provider.  This fee will be reimbursed only if the work is performed.</w:t>
            </w:r>
          </w:p>
        </w:tc>
      </w:tr>
      <w:tr w:rsidR="00F935B1" w14:paraId="66B43877" w14:textId="77777777" w:rsidTr="0083602C">
        <w:trPr>
          <w:tblCellSpacing w:w="15" w:type="dxa"/>
        </w:trPr>
        <w:tc>
          <w:tcPr>
            <w:tcW w:w="2352" w:type="dxa"/>
          </w:tcPr>
          <w:p w14:paraId="4B3BF605" w14:textId="77777777" w:rsidR="00F935B1" w:rsidRPr="005E385F" w:rsidRDefault="00F935B1" w:rsidP="0083602C">
            <w:pPr>
              <w:rPr>
                <w:rFonts w:ascii="Verdana" w:hAnsi="Verdana"/>
                <w:sz w:val="20"/>
              </w:rPr>
            </w:pPr>
            <w:r w:rsidRPr="005E385F">
              <w:rPr>
                <w:rFonts w:ascii="Verdana" w:hAnsi="Verdana"/>
                <w:sz w:val="20"/>
              </w:rPr>
              <w:lastRenderedPageBreak/>
              <w:t xml:space="preserve">Other Miscellaneous Components that are NOT Eligible </w:t>
            </w:r>
            <w:r w:rsidRPr="005E385F">
              <w:rPr>
                <w:rFonts w:ascii="Verdana" w:hAnsi="Verdana"/>
                <w:sz w:val="20"/>
              </w:rPr>
              <w:fldChar w:fldCharType="begin"/>
            </w:r>
            <w:r w:rsidRPr="005E385F">
              <w:rPr>
                <w:rFonts w:ascii="Verdana" w:hAnsi="Verdana"/>
                <w:sz w:val="20"/>
              </w:rPr>
              <w:instrText>xe "Ineligible Components"</w:instrText>
            </w:r>
            <w:r w:rsidRPr="005E385F">
              <w:rPr>
                <w:rFonts w:ascii="Verdana" w:hAnsi="Verdana"/>
                <w:sz w:val="20"/>
              </w:rPr>
              <w:fldChar w:fldCharType="end"/>
            </w:r>
          </w:p>
          <w:p w14:paraId="565A0D4F" w14:textId="77777777" w:rsidR="00F935B1" w:rsidRPr="005E385F" w:rsidRDefault="00F935B1" w:rsidP="0083602C">
            <w:pPr>
              <w:rPr>
                <w:rFonts w:ascii="Verdana" w:hAnsi="Verdana"/>
                <w:sz w:val="20"/>
              </w:rPr>
            </w:pPr>
          </w:p>
          <w:p w14:paraId="57BD7454" w14:textId="77777777" w:rsidR="00F935B1" w:rsidRPr="005E385F" w:rsidRDefault="00F935B1" w:rsidP="0083602C">
            <w:pPr>
              <w:rPr>
                <w:rFonts w:ascii="Verdana" w:hAnsi="Verdana"/>
                <w:i/>
                <w:sz w:val="20"/>
              </w:rPr>
            </w:pPr>
          </w:p>
        </w:tc>
        <w:tc>
          <w:tcPr>
            <w:tcW w:w="6862" w:type="dxa"/>
          </w:tcPr>
          <w:p w14:paraId="1A24922F" w14:textId="77777777" w:rsidR="00F935B1" w:rsidRPr="005E385F" w:rsidRDefault="00F935B1" w:rsidP="0083602C">
            <w:pPr>
              <w:pStyle w:val="NormalWeb"/>
              <w:spacing w:before="0" w:beforeAutospacing="0" w:after="0"/>
              <w:rPr>
                <w:rFonts w:ascii="Verdana" w:hAnsi="Verdana"/>
                <w:bCs/>
                <w:sz w:val="20"/>
              </w:rPr>
            </w:pPr>
            <w:r w:rsidRPr="005E385F">
              <w:rPr>
                <w:rFonts w:ascii="Verdana" w:hAnsi="Verdana"/>
                <w:bCs/>
                <w:sz w:val="20"/>
              </w:rPr>
              <w:t xml:space="preserve">In addition to items indicated in other sections of this Eligible Services List, the following items are </w:t>
            </w:r>
            <w:r w:rsidRPr="005E385F">
              <w:rPr>
                <w:rFonts w:ascii="Verdana" w:hAnsi="Verdana"/>
                <w:b/>
                <w:bCs/>
                <w:sz w:val="20"/>
              </w:rPr>
              <w:t>NOT ELIGIBLE</w:t>
            </w:r>
            <w:r w:rsidRPr="005E385F">
              <w:rPr>
                <w:rFonts w:ascii="Verdana" w:hAnsi="Verdana"/>
                <w:bCs/>
                <w:sz w:val="20"/>
              </w:rPr>
              <w:t xml:space="preserve"> for discount:</w:t>
            </w:r>
          </w:p>
          <w:p w14:paraId="0808DC7C" w14:textId="77777777" w:rsidR="00F935B1" w:rsidRPr="005E385F" w:rsidRDefault="00F935B1" w:rsidP="0083602C">
            <w:pPr>
              <w:pStyle w:val="NormalWeb"/>
              <w:spacing w:before="0" w:beforeAutospacing="0" w:after="0"/>
              <w:rPr>
                <w:rFonts w:ascii="Verdana" w:hAnsi="Verdana"/>
                <w:bCs/>
                <w:sz w:val="20"/>
              </w:rPr>
            </w:pPr>
          </w:p>
          <w:p w14:paraId="56FF387E" w14:textId="77777777" w:rsidR="00F935B1" w:rsidRPr="005E385F" w:rsidRDefault="00F935B1" w:rsidP="00F935B1">
            <w:pPr>
              <w:pStyle w:val="NormalWeb"/>
              <w:numPr>
                <w:ilvl w:val="0"/>
                <w:numId w:val="28"/>
              </w:numPr>
              <w:spacing w:before="0" w:beforeAutospacing="0" w:after="0"/>
              <w:rPr>
                <w:rFonts w:ascii="Verdana" w:hAnsi="Verdana"/>
                <w:bCs/>
                <w:sz w:val="20"/>
              </w:rPr>
            </w:pPr>
            <w:r w:rsidRPr="005E385F">
              <w:rPr>
                <w:rFonts w:ascii="Verdana" w:hAnsi="Verdana"/>
                <w:bCs/>
                <w:sz w:val="20"/>
              </w:rPr>
              <w:t>Interest</w:t>
            </w:r>
            <w:r w:rsidRPr="005E385F">
              <w:rPr>
                <w:rFonts w:ascii="Verdana" w:hAnsi="Verdana"/>
                <w:sz w:val="20"/>
              </w:rPr>
              <w:fldChar w:fldCharType="begin"/>
            </w:r>
            <w:r w:rsidRPr="005E385F">
              <w:rPr>
                <w:rFonts w:ascii="Verdana" w:hAnsi="Verdana"/>
                <w:sz w:val="20"/>
              </w:rPr>
              <w:instrText>xe "</w:instrText>
            </w:r>
            <w:r w:rsidRPr="005E385F">
              <w:rPr>
                <w:rFonts w:ascii="Verdana" w:hAnsi="Verdana"/>
                <w:bCs/>
                <w:sz w:val="20"/>
              </w:rPr>
              <w:instrText>Interest</w:instrText>
            </w:r>
            <w:r w:rsidRPr="005E385F">
              <w:rPr>
                <w:rFonts w:ascii="Verdana" w:hAnsi="Verdana"/>
                <w:sz w:val="20"/>
              </w:rPr>
              <w:instrText>"</w:instrText>
            </w:r>
            <w:r w:rsidRPr="005E385F">
              <w:rPr>
                <w:rFonts w:ascii="Verdana" w:hAnsi="Verdana"/>
                <w:sz w:val="20"/>
              </w:rPr>
              <w:fldChar w:fldCharType="end"/>
            </w:r>
            <w:r w:rsidRPr="005E385F">
              <w:rPr>
                <w:rFonts w:ascii="Verdana" w:hAnsi="Verdana"/>
                <w:bCs/>
                <w:sz w:val="20"/>
              </w:rPr>
              <w:t xml:space="preserve"> or finance charges</w:t>
            </w:r>
            <w:r w:rsidRPr="005E385F">
              <w:rPr>
                <w:rFonts w:ascii="Verdana" w:hAnsi="Verdana"/>
                <w:sz w:val="20"/>
              </w:rPr>
              <w:fldChar w:fldCharType="begin"/>
            </w:r>
            <w:r w:rsidRPr="005E385F">
              <w:rPr>
                <w:rFonts w:ascii="Verdana" w:hAnsi="Verdana"/>
                <w:sz w:val="20"/>
              </w:rPr>
              <w:instrText>xe "F</w:instrText>
            </w:r>
            <w:r w:rsidRPr="005E385F">
              <w:rPr>
                <w:rFonts w:ascii="Verdana" w:hAnsi="Verdana"/>
                <w:bCs/>
                <w:sz w:val="20"/>
              </w:rPr>
              <w:instrText>inance Charges</w:instrText>
            </w:r>
            <w:r w:rsidRPr="005E385F">
              <w:rPr>
                <w:rFonts w:ascii="Verdana" w:hAnsi="Verdana"/>
                <w:sz w:val="20"/>
              </w:rPr>
              <w:instrText>"</w:instrText>
            </w:r>
            <w:r w:rsidRPr="005E385F">
              <w:rPr>
                <w:rFonts w:ascii="Verdana" w:hAnsi="Verdana"/>
                <w:sz w:val="20"/>
              </w:rPr>
              <w:fldChar w:fldCharType="end"/>
            </w:r>
          </w:p>
          <w:p w14:paraId="18272380" w14:textId="77777777" w:rsidR="00F935B1" w:rsidRPr="005E385F" w:rsidRDefault="00F935B1" w:rsidP="00F935B1">
            <w:pPr>
              <w:pStyle w:val="NormalWeb"/>
              <w:numPr>
                <w:ilvl w:val="0"/>
                <w:numId w:val="28"/>
              </w:numPr>
              <w:spacing w:before="0" w:beforeAutospacing="0" w:after="0"/>
              <w:rPr>
                <w:rFonts w:ascii="Verdana" w:hAnsi="Verdana"/>
                <w:bCs/>
                <w:sz w:val="20"/>
              </w:rPr>
            </w:pPr>
            <w:r w:rsidRPr="005E385F">
              <w:rPr>
                <w:rFonts w:ascii="Verdana" w:hAnsi="Verdana"/>
                <w:bCs/>
                <w:sz w:val="20"/>
              </w:rPr>
              <w:t>Late payment fees</w:t>
            </w:r>
            <w:r w:rsidRPr="005E385F">
              <w:rPr>
                <w:rFonts w:ascii="Verdana" w:hAnsi="Verdana"/>
                <w:sz w:val="20"/>
              </w:rPr>
              <w:fldChar w:fldCharType="begin"/>
            </w:r>
            <w:r w:rsidRPr="005E385F">
              <w:rPr>
                <w:rFonts w:ascii="Verdana" w:hAnsi="Verdana"/>
                <w:sz w:val="20"/>
              </w:rPr>
              <w:instrText>xe "</w:instrText>
            </w:r>
            <w:r w:rsidRPr="005E385F">
              <w:rPr>
                <w:rFonts w:ascii="Verdana" w:hAnsi="Verdana"/>
                <w:bCs/>
                <w:sz w:val="20"/>
              </w:rPr>
              <w:instrText>Late Payment Fees</w:instrText>
            </w:r>
            <w:r w:rsidRPr="005E385F">
              <w:rPr>
                <w:rFonts w:ascii="Verdana" w:hAnsi="Verdana"/>
                <w:sz w:val="20"/>
              </w:rPr>
              <w:instrText>"</w:instrText>
            </w:r>
            <w:r w:rsidRPr="005E385F">
              <w:rPr>
                <w:rFonts w:ascii="Verdana" w:hAnsi="Verdana"/>
                <w:sz w:val="20"/>
              </w:rPr>
              <w:fldChar w:fldCharType="end"/>
            </w:r>
          </w:p>
          <w:p w14:paraId="3089A44B" w14:textId="77777777" w:rsidR="00F935B1" w:rsidRPr="005E385F" w:rsidRDefault="00F935B1" w:rsidP="00F935B1">
            <w:pPr>
              <w:pStyle w:val="NormalWeb"/>
              <w:numPr>
                <w:ilvl w:val="0"/>
                <w:numId w:val="28"/>
              </w:numPr>
              <w:spacing w:before="0" w:beforeAutospacing="0" w:after="0"/>
              <w:rPr>
                <w:rFonts w:ascii="Verdana" w:hAnsi="Verdana"/>
                <w:bCs/>
                <w:sz w:val="20"/>
              </w:rPr>
            </w:pPr>
            <w:r w:rsidRPr="005E385F">
              <w:rPr>
                <w:rFonts w:ascii="Verdana" w:hAnsi="Verdana"/>
                <w:bCs/>
                <w:sz w:val="20"/>
              </w:rPr>
              <w:t>Performance bond</w:t>
            </w:r>
            <w:r w:rsidRPr="005E385F">
              <w:rPr>
                <w:rFonts w:ascii="Verdana" w:hAnsi="Verdana"/>
                <w:sz w:val="20"/>
              </w:rPr>
              <w:fldChar w:fldCharType="begin"/>
            </w:r>
            <w:r w:rsidRPr="005E385F">
              <w:rPr>
                <w:rFonts w:ascii="Verdana" w:hAnsi="Verdana"/>
                <w:sz w:val="20"/>
              </w:rPr>
              <w:instrText>xe "</w:instrText>
            </w:r>
            <w:r w:rsidRPr="005E385F">
              <w:rPr>
                <w:rFonts w:ascii="Verdana" w:hAnsi="Verdana"/>
                <w:bCs/>
                <w:sz w:val="20"/>
              </w:rPr>
              <w:instrText>Performance Bond</w:instrText>
            </w:r>
            <w:r w:rsidRPr="005E385F">
              <w:rPr>
                <w:rFonts w:ascii="Verdana" w:hAnsi="Verdana"/>
                <w:sz w:val="20"/>
              </w:rPr>
              <w:instrText>"</w:instrText>
            </w:r>
            <w:r w:rsidRPr="005E385F">
              <w:rPr>
                <w:rFonts w:ascii="Verdana" w:hAnsi="Verdana"/>
                <w:sz w:val="20"/>
              </w:rPr>
              <w:fldChar w:fldCharType="end"/>
            </w:r>
          </w:p>
          <w:p w14:paraId="2B708CF7" w14:textId="77777777" w:rsidR="00F935B1" w:rsidRPr="005E385F" w:rsidRDefault="00F935B1" w:rsidP="00F935B1">
            <w:pPr>
              <w:pStyle w:val="NormalWeb"/>
              <w:numPr>
                <w:ilvl w:val="0"/>
                <w:numId w:val="28"/>
              </w:numPr>
              <w:spacing w:before="0" w:beforeAutospacing="0" w:after="0"/>
              <w:rPr>
                <w:rFonts w:ascii="Verdana" w:hAnsi="Verdana"/>
                <w:bCs/>
                <w:sz w:val="20"/>
              </w:rPr>
            </w:pPr>
            <w:r w:rsidRPr="005E385F">
              <w:rPr>
                <w:rFonts w:ascii="Verdana" w:hAnsi="Verdana"/>
                <w:bCs/>
                <w:sz w:val="20"/>
              </w:rPr>
              <w:t>Termination charges</w:t>
            </w:r>
            <w:r w:rsidRPr="005E385F">
              <w:rPr>
                <w:rFonts w:ascii="Verdana" w:hAnsi="Verdana"/>
                <w:sz w:val="20"/>
              </w:rPr>
              <w:fldChar w:fldCharType="begin"/>
            </w:r>
            <w:r w:rsidRPr="005E385F">
              <w:rPr>
                <w:rFonts w:ascii="Verdana" w:hAnsi="Verdana"/>
                <w:sz w:val="20"/>
              </w:rPr>
              <w:instrText>xe "</w:instrText>
            </w:r>
            <w:r w:rsidRPr="005E385F">
              <w:rPr>
                <w:rFonts w:ascii="Verdana" w:hAnsi="Verdana"/>
                <w:bCs/>
                <w:sz w:val="20"/>
              </w:rPr>
              <w:instrText>Termination Charges</w:instrText>
            </w:r>
            <w:r w:rsidRPr="005E385F">
              <w:rPr>
                <w:rFonts w:ascii="Verdana" w:hAnsi="Verdana"/>
                <w:sz w:val="20"/>
              </w:rPr>
              <w:instrText>"</w:instrText>
            </w:r>
            <w:r w:rsidRPr="005E385F">
              <w:rPr>
                <w:rFonts w:ascii="Verdana" w:hAnsi="Verdana"/>
                <w:sz w:val="20"/>
              </w:rPr>
              <w:fldChar w:fldCharType="end"/>
            </w:r>
          </w:p>
          <w:p w14:paraId="17DCB0A8" w14:textId="77777777" w:rsidR="00F935B1" w:rsidRPr="005E385F" w:rsidRDefault="00F935B1" w:rsidP="0083602C">
            <w:pPr>
              <w:pStyle w:val="NormalWeb"/>
              <w:spacing w:before="0" w:beforeAutospacing="0" w:after="0"/>
              <w:rPr>
                <w:rFonts w:ascii="Verdana" w:hAnsi="Verdana"/>
                <w:bCs/>
                <w:sz w:val="20"/>
              </w:rPr>
            </w:pPr>
          </w:p>
          <w:p w14:paraId="0871D71B" w14:textId="77777777" w:rsidR="00F935B1" w:rsidRPr="005E385F" w:rsidRDefault="00F935B1" w:rsidP="0083602C">
            <w:pPr>
              <w:pStyle w:val="NormalWeb"/>
              <w:spacing w:before="0" w:beforeAutospacing="0" w:after="0"/>
              <w:rPr>
                <w:rFonts w:ascii="Verdana" w:hAnsi="Verdana"/>
                <w:bCs/>
                <w:sz w:val="20"/>
              </w:rPr>
            </w:pPr>
            <w:r w:rsidRPr="005E385F">
              <w:rPr>
                <w:rFonts w:ascii="Verdana" w:hAnsi="Verdana"/>
                <w:bCs/>
                <w:sz w:val="20"/>
              </w:rPr>
              <w:t xml:space="preserve">Any product or service that is </w:t>
            </w:r>
            <w:hyperlink w:anchor="DuplicativeService" w:history="1">
              <w:r w:rsidRPr="005E385F">
                <w:rPr>
                  <w:rStyle w:val="Hyperlink"/>
                  <w:rFonts w:ascii="Verdana" w:hAnsi="Verdana"/>
                  <w:bCs/>
                  <w:sz w:val="20"/>
                </w:rPr>
                <w:t>duplicative</w:t>
              </w:r>
            </w:hyperlink>
            <w:r w:rsidRPr="005E385F">
              <w:rPr>
                <w:rFonts w:ascii="Verdana" w:hAnsi="Verdana"/>
                <w:sz w:val="20"/>
              </w:rPr>
              <w:fldChar w:fldCharType="begin"/>
            </w:r>
            <w:r w:rsidRPr="005E385F">
              <w:rPr>
                <w:rFonts w:ascii="Verdana" w:hAnsi="Verdana"/>
                <w:sz w:val="20"/>
              </w:rPr>
              <w:instrText>xe "</w:instrText>
            </w:r>
            <w:r w:rsidRPr="005E385F">
              <w:rPr>
                <w:rFonts w:ascii="Verdana" w:hAnsi="Verdana"/>
                <w:bCs/>
                <w:sz w:val="20"/>
              </w:rPr>
              <w:instrText>Duplicative Services</w:instrText>
            </w:r>
            <w:r w:rsidRPr="005E385F">
              <w:rPr>
                <w:rFonts w:ascii="Verdana" w:hAnsi="Verdana"/>
                <w:sz w:val="20"/>
              </w:rPr>
              <w:instrText>"</w:instrText>
            </w:r>
            <w:r w:rsidRPr="005E385F">
              <w:rPr>
                <w:rFonts w:ascii="Verdana" w:hAnsi="Verdana"/>
                <w:sz w:val="20"/>
              </w:rPr>
              <w:fldChar w:fldCharType="end"/>
            </w:r>
            <w:r w:rsidRPr="005E385F">
              <w:rPr>
                <w:rFonts w:ascii="Verdana" w:hAnsi="Verdana"/>
                <w:bCs/>
                <w:sz w:val="20"/>
              </w:rPr>
              <w:t xml:space="preserve"> of a service for which funding has already been requested.  Services that provide necessary bandwidth requirements, such as multiple T-1 lines, when appropriate for the population served and the services to be received, are not duplicative.</w:t>
            </w:r>
          </w:p>
          <w:p w14:paraId="1255D185" w14:textId="77777777" w:rsidR="00F935B1" w:rsidRPr="005E385F" w:rsidRDefault="00F935B1" w:rsidP="0083602C">
            <w:pPr>
              <w:pStyle w:val="NormalWeb"/>
              <w:spacing w:before="0" w:beforeAutospacing="0" w:after="0"/>
              <w:rPr>
                <w:rFonts w:ascii="Verdana" w:hAnsi="Verdana"/>
                <w:bCs/>
                <w:sz w:val="20"/>
              </w:rPr>
            </w:pPr>
          </w:p>
          <w:p w14:paraId="0153A354" w14:textId="77777777" w:rsidR="00F935B1" w:rsidRPr="005E385F" w:rsidRDefault="00A0395D" w:rsidP="0083602C">
            <w:pPr>
              <w:pStyle w:val="NormalWeb"/>
              <w:spacing w:before="0" w:beforeAutospacing="0" w:after="0"/>
              <w:rPr>
                <w:rFonts w:ascii="Verdana" w:hAnsi="Verdana"/>
                <w:bCs/>
                <w:sz w:val="20"/>
              </w:rPr>
            </w:pPr>
            <w:hyperlink w:anchor="Failover" w:history="1">
              <w:r w:rsidR="00F935B1" w:rsidRPr="005E385F">
                <w:rPr>
                  <w:rStyle w:val="Hyperlink"/>
                  <w:rFonts w:ascii="Verdana" w:hAnsi="Verdana"/>
                  <w:bCs/>
                  <w:sz w:val="20"/>
                </w:rPr>
                <w:t>Failover</w:t>
              </w:r>
            </w:hyperlink>
            <w:r w:rsidR="00F935B1" w:rsidRPr="005E385F">
              <w:rPr>
                <w:rFonts w:ascii="Verdana" w:hAnsi="Verdana"/>
                <w:sz w:val="20"/>
              </w:rPr>
              <w:fldChar w:fldCharType="begin"/>
            </w:r>
            <w:r w:rsidR="00F935B1" w:rsidRPr="005E385F">
              <w:rPr>
                <w:rFonts w:ascii="Verdana" w:hAnsi="Verdana"/>
                <w:sz w:val="20"/>
              </w:rPr>
              <w:instrText>xe "</w:instrText>
            </w:r>
            <w:r w:rsidR="00F935B1" w:rsidRPr="005E385F">
              <w:rPr>
                <w:rFonts w:ascii="Verdana" w:hAnsi="Verdana"/>
                <w:bCs/>
                <w:sz w:val="20"/>
              </w:rPr>
              <w:instrText>Failover</w:instrText>
            </w:r>
            <w:r w:rsidR="00F935B1" w:rsidRPr="005E385F">
              <w:rPr>
                <w:rFonts w:ascii="Verdana" w:hAnsi="Verdana"/>
                <w:sz w:val="20"/>
              </w:rPr>
              <w:instrText>"</w:instrText>
            </w:r>
            <w:r w:rsidR="00F935B1" w:rsidRPr="005E385F">
              <w:rPr>
                <w:rFonts w:ascii="Verdana" w:hAnsi="Verdana"/>
                <w:sz w:val="20"/>
              </w:rPr>
              <w:fldChar w:fldCharType="end"/>
            </w:r>
            <w:r w:rsidR="00F935B1" w:rsidRPr="005E385F">
              <w:rPr>
                <w:rFonts w:ascii="Verdana" w:hAnsi="Verdana"/>
                <w:bCs/>
                <w:sz w:val="20"/>
              </w:rPr>
              <w:t xml:space="preserve"> products or services are not eligible.  Any stand alone products or services that are only utilized when the primary fails are not eligible.  </w:t>
            </w:r>
          </w:p>
          <w:p w14:paraId="00AD6FFD" w14:textId="77777777" w:rsidR="00F935B1" w:rsidRPr="005E385F" w:rsidRDefault="00F935B1" w:rsidP="0083602C">
            <w:pPr>
              <w:pStyle w:val="NormalWeb"/>
              <w:spacing w:before="0" w:beforeAutospacing="0" w:after="0"/>
              <w:rPr>
                <w:rFonts w:ascii="Verdana" w:hAnsi="Verdana"/>
                <w:bCs/>
                <w:sz w:val="20"/>
              </w:rPr>
            </w:pPr>
          </w:p>
          <w:p w14:paraId="18ADDF4E" w14:textId="77777777" w:rsidR="00F935B1" w:rsidRPr="005E385F" w:rsidRDefault="00F935B1" w:rsidP="0083602C">
            <w:pPr>
              <w:pStyle w:val="NormalWeb"/>
              <w:spacing w:before="0" w:beforeAutospacing="0" w:after="0"/>
              <w:rPr>
                <w:rFonts w:ascii="Verdana" w:hAnsi="Verdana"/>
                <w:sz w:val="20"/>
              </w:rPr>
            </w:pPr>
            <w:r w:rsidRPr="005E385F">
              <w:rPr>
                <w:rFonts w:ascii="Verdana" w:hAnsi="Verdana"/>
                <w:sz w:val="20"/>
              </w:rPr>
              <w:t>Broadcast</w:t>
            </w:r>
            <w:r w:rsidRPr="005E385F">
              <w:rPr>
                <w:rFonts w:ascii="Verdana" w:hAnsi="Verdana"/>
                <w:sz w:val="20"/>
              </w:rPr>
              <w:fldChar w:fldCharType="begin"/>
            </w:r>
            <w:r w:rsidRPr="005E385F">
              <w:rPr>
                <w:rFonts w:ascii="Verdana" w:hAnsi="Verdana"/>
                <w:sz w:val="20"/>
              </w:rPr>
              <w:instrText>xe "Broadcast Television"</w:instrText>
            </w:r>
            <w:r w:rsidRPr="005E385F">
              <w:rPr>
                <w:rFonts w:ascii="Verdana" w:hAnsi="Verdana"/>
                <w:sz w:val="20"/>
              </w:rPr>
              <w:fldChar w:fldCharType="end"/>
            </w:r>
            <w:r w:rsidRPr="005E385F">
              <w:rPr>
                <w:rFonts w:ascii="Verdana" w:hAnsi="Verdana"/>
                <w:sz w:val="20"/>
              </w:rPr>
              <w:t xml:space="preserve"> television</w:t>
            </w:r>
            <w:r w:rsidRPr="005E385F">
              <w:rPr>
                <w:rFonts w:ascii="Verdana" w:hAnsi="Verdana"/>
                <w:sz w:val="20"/>
              </w:rPr>
              <w:fldChar w:fldCharType="begin"/>
            </w:r>
            <w:r w:rsidRPr="005E385F">
              <w:rPr>
                <w:rFonts w:ascii="Verdana" w:hAnsi="Verdana"/>
                <w:sz w:val="20"/>
              </w:rPr>
              <w:instrText>xe "Television"</w:instrText>
            </w:r>
            <w:r w:rsidRPr="005E385F">
              <w:rPr>
                <w:rFonts w:ascii="Verdana" w:hAnsi="Verdana"/>
                <w:sz w:val="20"/>
              </w:rPr>
              <w:fldChar w:fldCharType="end"/>
            </w:r>
            <w:r w:rsidRPr="005E385F">
              <w:rPr>
                <w:rFonts w:ascii="Verdana" w:hAnsi="Verdana"/>
                <w:sz w:val="20"/>
              </w:rPr>
              <w:t>, cable</w:t>
            </w:r>
            <w:r w:rsidRPr="005E385F">
              <w:rPr>
                <w:rFonts w:ascii="Verdana" w:hAnsi="Verdana"/>
                <w:sz w:val="20"/>
              </w:rPr>
              <w:fldChar w:fldCharType="begin"/>
            </w:r>
            <w:r w:rsidRPr="005E385F">
              <w:rPr>
                <w:rFonts w:ascii="Verdana" w:hAnsi="Verdana"/>
                <w:sz w:val="20"/>
              </w:rPr>
              <w:instrText>xe "Cable Television"</w:instrText>
            </w:r>
            <w:r w:rsidRPr="005E385F">
              <w:rPr>
                <w:rFonts w:ascii="Verdana" w:hAnsi="Verdana"/>
                <w:sz w:val="20"/>
              </w:rPr>
              <w:fldChar w:fldCharType="end"/>
            </w:r>
            <w:r w:rsidRPr="005E385F">
              <w:rPr>
                <w:rFonts w:ascii="Verdana" w:hAnsi="Verdana"/>
                <w:sz w:val="20"/>
              </w:rPr>
              <w:t xml:space="preserve"> television, Instructional Television Fixed Service</w:t>
            </w:r>
            <w:r w:rsidRPr="005E385F">
              <w:rPr>
                <w:rFonts w:ascii="Verdana" w:hAnsi="Verdana"/>
                <w:sz w:val="20"/>
              </w:rPr>
              <w:fldChar w:fldCharType="begin"/>
            </w:r>
            <w:r w:rsidRPr="005E385F">
              <w:rPr>
                <w:rFonts w:ascii="Verdana" w:hAnsi="Verdana"/>
                <w:sz w:val="20"/>
              </w:rPr>
              <w:instrText>xe "Instructional Television Fixed Service"</w:instrText>
            </w:r>
            <w:r w:rsidRPr="005E385F">
              <w:rPr>
                <w:rFonts w:ascii="Verdana" w:hAnsi="Verdana"/>
                <w:sz w:val="20"/>
              </w:rPr>
              <w:fldChar w:fldCharType="end"/>
            </w:r>
            <w:r w:rsidRPr="005E385F">
              <w:rPr>
                <w:rFonts w:ascii="Verdana" w:hAnsi="Verdana"/>
                <w:sz w:val="20"/>
              </w:rPr>
              <w:t xml:space="preserve"> (ITFS</w:t>
            </w:r>
            <w:r w:rsidRPr="005E385F">
              <w:rPr>
                <w:rFonts w:ascii="Verdana" w:hAnsi="Verdana"/>
                <w:sz w:val="20"/>
              </w:rPr>
              <w:fldChar w:fldCharType="begin"/>
            </w:r>
            <w:r w:rsidRPr="005E385F">
              <w:rPr>
                <w:rFonts w:ascii="Verdana" w:hAnsi="Verdana"/>
                <w:sz w:val="20"/>
              </w:rPr>
              <w:instrText>xe "ITFS"</w:instrText>
            </w:r>
            <w:r w:rsidRPr="005E385F">
              <w:rPr>
                <w:rFonts w:ascii="Verdana" w:hAnsi="Verdana"/>
                <w:sz w:val="20"/>
              </w:rPr>
              <w:fldChar w:fldCharType="end"/>
            </w:r>
            <w:r w:rsidRPr="005E385F">
              <w:rPr>
                <w:rFonts w:ascii="Verdana" w:hAnsi="Verdana"/>
                <w:sz w:val="20"/>
              </w:rPr>
              <w:t>), and satellite</w:t>
            </w:r>
            <w:r w:rsidRPr="005E385F">
              <w:rPr>
                <w:rFonts w:ascii="Verdana" w:hAnsi="Verdana"/>
                <w:sz w:val="20"/>
              </w:rPr>
              <w:fldChar w:fldCharType="begin"/>
            </w:r>
            <w:r w:rsidRPr="005E385F">
              <w:rPr>
                <w:rFonts w:ascii="Verdana" w:hAnsi="Verdana"/>
                <w:sz w:val="20"/>
              </w:rPr>
              <w:instrText>xe "Satellite"</w:instrText>
            </w:r>
            <w:r w:rsidRPr="005E385F">
              <w:rPr>
                <w:rFonts w:ascii="Verdana" w:hAnsi="Verdana"/>
                <w:sz w:val="20"/>
              </w:rPr>
              <w:fldChar w:fldCharType="end"/>
            </w:r>
            <w:r w:rsidRPr="005E385F">
              <w:rPr>
                <w:rFonts w:ascii="Verdana" w:hAnsi="Verdana"/>
                <w:sz w:val="20"/>
              </w:rPr>
              <w:t xml:space="preserve"> television</w:t>
            </w:r>
            <w:r w:rsidRPr="005E385F">
              <w:rPr>
                <w:rFonts w:ascii="Verdana" w:hAnsi="Verdana"/>
                <w:sz w:val="20"/>
              </w:rPr>
              <w:fldChar w:fldCharType="begin"/>
            </w:r>
            <w:r w:rsidRPr="005E385F">
              <w:rPr>
                <w:rFonts w:ascii="Verdana" w:hAnsi="Verdana"/>
                <w:sz w:val="20"/>
              </w:rPr>
              <w:instrText>xe "Satellite Television"</w:instrText>
            </w:r>
            <w:r w:rsidRPr="005E385F">
              <w:rPr>
                <w:rFonts w:ascii="Verdana" w:hAnsi="Verdana"/>
                <w:sz w:val="20"/>
              </w:rPr>
              <w:fldChar w:fldCharType="end"/>
            </w:r>
            <w:r w:rsidRPr="005E385F">
              <w:rPr>
                <w:rFonts w:ascii="Verdana" w:hAnsi="Verdana"/>
                <w:sz w:val="20"/>
              </w:rPr>
              <w:t xml:space="preserve"> are not eligible for discount.</w:t>
            </w:r>
          </w:p>
          <w:p w14:paraId="615C809F" w14:textId="77777777" w:rsidR="00F935B1" w:rsidRPr="005E385F" w:rsidRDefault="00F935B1" w:rsidP="0083602C">
            <w:pPr>
              <w:pStyle w:val="NormalWeb"/>
              <w:spacing w:before="0" w:beforeAutospacing="0" w:after="0"/>
              <w:rPr>
                <w:rFonts w:ascii="Verdana" w:hAnsi="Verdana"/>
                <w:bCs/>
                <w:sz w:val="20"/>
              </w:rPr>
            </w:pPr>
          </w:p>
          <w:p w14:paraId="34BF37AE" w14:textId="77777777" w:rsidR="00F935B1" w:rsidRPr="005E385F" w:rsidRDefault="00F935B1" w:rsidP="0083602C">
            <w:pPr>
              <w:pStyle w:val="NormalWeb"/>
              <w:spacing w:before="0" w:beforeAutospacing="0" w:after="0"/>
              <w:rPr>
                <w:rFonts w:ascii="Verdana" w:hAnsi="Verdana"/>
                <w:bCs/>
                <w:sz w:val="20"/>
              </w:rPr>
            </w:pPr>
            <w:r w:rsidRPr="005E385F">
              <w:rPr>
                <w:rFonts w:ascii="Verdana" w:hAnsi="Verdana"/>
                <w:bCs/>
                <w:sz w:val="20"/>
              </w:rPr>
              <w:t>Creation of software</w:t>
            </w:r>
            <w:r w:rsidRPr="005E385F">
              <w:rPr>
                <w:rFonts w:ascii="Verdana" w:hAnsi="Verdana"/>
                <w:sz w:val="20"/>
              </w:rPr>
              <w:fldChar w:fldCharType="begin"/>
            </w:r>
            <w:r w:rsidRPr="005E385F">
              <w:rPr>
                <w:rFonts w:ascii="Verdana" w:hAnsi="Verdana"/>
                <w:sz w:val="20"/>
              </w:rPr>
              <w:instrText>xe "Software"</w:instrText>
            </w:r>
            <w:r w:rsidRPr="005E385F">
              <w:rPr>
                <w:rFonts w:ascii="Verdana" w:hAnsi="Verdana"/>
                <w:sz w:val="20"/>
              </w:rPr>
              <w:fldChar w:fldCharType="end"/>
            </w:r>
            <w:r w:rsidRPr="005E385F">
              <w:rPr>
                <w:rFonts w:ascii="Verdana" w:hAnsi="Verdana"/>
                <w:bCs/>
                <w:sz w:val="20"/>
              </w:rPr>
              <w:t xml:space="preserve"> programs or functions, such as through computer programming</w:t>
            </w:r>
            <w:r w:rsidRPr="005E385F">
              <w:rPr>
                <w:rFonts w:ascii="Verdana" w:hAnsi="Verdana"/>
                <w:sz w:val="20"/>
              </w:rPr>
              <w:fldChar w:fldCharType="begin"/>
            </w:r>
            <w:r w:rsidRPr="005E385F">
              <w:rPr>
                <w:rFonts w:ascii="Verdana" w:hAnsi="Verdana"/>
                <w:sz w:val="20"/>
              </w:rPr>
              <w:instrText>xe "Programming"</w:instrText>
            </w:r>
            <w:r w:rsidRPr="005E385F">
              <w:rPr>
                <w:rFonts w:ascii="Verdana" w:hAnsi="Verdana"/>
                <w:sz w:val="20"/>
              </w:rPr>
              <w:fldChar w:fldCharType="end"/>
            </w:r>
            <w:r w:rsidRPr="005E385F">
              <w:rPr>
                <w:rFonts w:ascii="Verdana" w:hAnsi="Verdana"/>
                <w:bCs/>
                <w:sz w:val="20"/>
              </w:rPr>
              <w:t xml:space="preserve"> is not eligible.</w:t>
            </w:r>
          </w:p>
          <w:p w14:paraId="26C7DD43" w14:textId="77777777" w:rsidR="00F935B1" w:rsidRPr="005E385F" w:rsidRDefault="00F935B1" w:rsidP="0083602C">
            <w:pPr>
              <w:pStyle w:val="NormalWeb"/>
              <w:spacing w:before="0" w:beforeAutospacing="0" w:after="0"/>
              <w:rPr>
                <w:rFonts w:ascii="Verdana" w:hAnsi="Verdana"/>
                <w:bCs/>
                <w:sz w:val="20"/>
              </w:rPr>
            </w:pPr>
          </w:p>
          <w:p w14:paraId="5C801F04" w14:textId="77777777" w:rsidR="00F935B1" w:rsidRPr="005E385F" w:rsidRDefault="00F935B1" w:rsidP="0083602C">
            <w:pPr>
              <w:pStyle w:val="NormalWeb"/>
              <w:spacing w:before="0" w:beforeAutospacing="0" w:after="0"/>
              <w:rPr>
                <w:rFonts w:ascii="Verdana" w:hAnsi="Verdana"/>
                <w:bCs/>
                <w:sz w:val="20"/>
                <w:u w:val="single"/>
              </w:rPr>
            </w:pPr>
            <w:r w:rsidRPr="005E385F">
              <w:rPr>
                <w:rFonts w:ascii="Verdana" w:hAnsi="Verdana"/>
                <w:bCs/>
                <w:sz w:val="20"/>
                <w:u w:val="single"/>
              </w:rPr>
              <w:t>Ineligible Installation and Configuration:</w:t>
            </w:r>
          </w:p>
          <w:p w14:paraId="3A32C7D3" w14:textId="77777777" w:rsidR="00F935B1" w:rsidRPr="005E385F" w:rsidRDefault="00F935B1" w:rsidP="0083602C">
            <w:pPr>
              <w:pStyle w:val="NormalWeb"/>
              <w:spacing w:before="0" w:beforeAutospacing="0" w:after="0"/>
              <w:rPr>
                <w:rFonts w:ascii="Verdana" w:hAnsi="Verdana"/>
                <w:bCs/>
                <w:sz w:val="20"/>
              </w:rPr>
            </w:pPr>
          </w:p>
          <w:p w14:paraId="4928CEA8" w14:textId="77777777" w:rsidR="00F935B1" w:rsidRPr="005E385F" w:rsidRDefault="00F935B1" w:rsidP="0083602C">
            <w:pPr>
              <w:pStyle w:val="NormalWeb"/>
              <w:spacing w:before="0" w:beforeAutospacing="0" w:after="0"/>
              <w:rPr>
                <w:rFonts w:ascii="Verdana" w:hAnsi="Verdana"/>
                <w:sz w:val="20"/>
              </w:rPr>
            </w:pPr>
            <w:r w:rsidRPr="005E385F">
              <w:rPr>
                <w:rFonts w:ascii="Verdana" w:hAnsi="Verdana"/>
                <w:bCs/>
                <w:sz w:val="20"/>
              </w:rPr>
              <w:t>Consulting services</w:t>
            </w:r>
            <w:r w:rsidRPr="005E385F">
              <w:rPr>
                <w:rFonts w:ascii="Verdana" w:hAnsi="Verdana"/>
                <w:sz w:val="20"/>
              </w:rPr>
              <w:fldChar w:fldCharType="begin"/>
            </w:r>
            <w:r w:rsidRPr="005E385F">
              <w:rPr>
                <w:rFonts w:ascii="Verdana" w:hAnsi="Verdana"/>
                <w:sz w:val="20"/>
              </w:rPr>
              <w:instrText>xe "</w:instrText>
            </w:r>
            <w:r w:rsidRPr="005E385F">
              <w:rPr>
                <w:rFonts w:ascii="Verdana" w:hAnsi="Verdana"/>
                <w:bCs/>
                <w:sz w:val="20"/>
              </w:rPr>
              <w:instrText>Consulting Services</w:instrText>
            </w:r>
            <w:r w:rsidRPr="005E385F">
              <w:rPr>
                <w:rFonts w:ascii="Verdana" w:hAnsi="Verdana"/>
                <w:sz w:val="20"/>
              </w:rPr>
              <w:instrText>"</w:instrText>
            </w:r>
            <w:r w:rsidRPr="005E385F">
              <w:rPr>
                <w:rFonts w:ascii="Verdana" w:hAnsi="Verdana"/>
                <w:sz w:val="20"/>
              </w:rPr>
              <w:fldChar w:fldCharType="end"/>
            </w:r>
            <w:r w:rsidRPr="005E385F">
              <w:rPr>
                <w:rFonts w:ascii="Verdana" w:hAnsi="Verdana"/>
                <w:bCs/>
                <w:sz w:val="20"/>
              </w:rPr>
              <w:t xml:space="preserve"> </w:t>
            </w:r>
            <w:r w:rsidRPr="005E385F">
              <w:rPr>
                <w:rFonts w:ascii="Verdana" w:hAnsi="Verdana"/>
                <w:sz w:val="20"/>
              </w:rPr>
              <w:t>not directly tied to and coincident</w:t>
            </w:r>
            <w:r w:rsidRPr="005E385F">
              <w:rPr>
                <w:rFonts w:ascii="Verdana" w:hAnsi="Verdana"/>
                <w:sz w:val="20"/>
              </w:rPr>
              <w:fldChar w:fldCharType="begin"/>
            </w:r>
            <w:r w:rsidRPr="005E385F">
              <w:rPr>
                <w:rFonts w:ascii="Verdana" w:hAnsi="Verdana"/>
                <w:sz w:val="20"/>
              </w:rPr>
              <w:instrText>xe "Coincident with Installation"</w:instrText>
            </w:r>
            <w:r w:rsidRPr="005E385F">
              <w:rPr>
                <w:rFonts w:ascii="Verdana" w:hAnsi="Verdana"/>
                <w:sz w:val="20"/>
              </w:rPr>
              <w:fldChar w:fldCharType="end"/>
            </w:r>
            <w:r w:rsidRPr="005E385F">
              <w:rPr>
                <w:rFonts w:ascii="Verdana" w:hAnsi="Verdana"/>
                <w:sz w:val="20"/>
              </w:rPr>
              <w:t xml:space="preserve"> with basic installation</w:t>
            </w:r>
            <w:r w:rsidRPr="005E385F">
              <w:rPr>
                <w:rFonts w:ascii="Verdana" w:hAnsi="Verdana"/>
                <w:sz w:val="20"/>
              </w:rPr>
              <w:fldChar w:fldCharType="begin"/>
            </w:r>
            <w:r w:rsidRPr="005E385F">
              <w:rPr>
                <w:rFonts w:ascii="Verdana" w:hAnsi="Verdana"/>
                <w:sz w:val="20"/>
              </w:rPr>
              <w:instrText>xe "Installation"</w:instrText>
            </w:r>
            <w:r w:rsidRPr="005E385F">
              <w:rPr>
                <w:rFonts w:ascii="Verdana" w:hAnsi="Verdana"/>
                <w:sz w:val="20"/>
              </w:rPr>
              <w:fldChar w:fldCharType="end"/>
            </w:r>
            <w:r w:rsidRPr="005E385F">
              <w:rPr>
                <w:rFonts w:ascii="Verdana" w:hAnsi="Verdana"/>
                <w:sz w:val="20"/>
              </w:rPr>
              <w:t xml:space="preserve"> and configuration</w:t>
            </w:r>
            <w:r w:rsidRPr="005E385F">
              <w:rPr>
                <w:rFonts w:ascii="Verdana" w:hAnsi="Verdana"/>
                <w:sz w:val="20"/>
              </w:rPr>
              <w:fldChar w:fldCharType="begin"/>
            </w:r>
            <w:r w:rsidRPr="005E385F">
              <w:rPr>
                <w:rFonts w:ascii="Verdana" w:hAnsi="Verdana"/>
                <w:sz w:val="20"/>
              </w:rPr>
              <w:instrText>xe "</w:instrText>
            </w:r>
            <w:r w:rsidRPr="005E385F">
              <w:rPr>
                <w:rFonts w:ascii="Verdana" w:hAnsi="Verdana"/>
                <w:bCs/>
                <w:sz w:val="20"/>
              </w:rPr>
              <w:instrText>Configuration</w:instrText>
            </w:r>
            <w:r w:rsidRPr="005E385F">
              <w:rPr>
                <w:rFonts w:ascii="Verdana" w:hAnsi="Verdana"/>
                <w:sz w:val="20"/>
              </w:rPr>
              <w:instrText>"</w:instrText>
            </w:r>
            <w:r w:rsidRPr="005E385F">
              <w:rPr>
                <w:rFonts w:ascii="Verdana" w:hAnsi="Verdana"/>
                <w:sz w:val="20"/>
              </w:rPr>
              <w:fldChar w:fldCharType="end"/>
            </w:r>
            <w:r w:rsidRPr="005E385F">
              <w:rPr>
                <w:rFonts w:ascii="Verdana" w:hAnsi="Verdana"/>
                <w:sz w:val="20"/>
              </w:rPr>
              <w:t xml:space="preserve"> of eligible services are not eligible. Services and components that are </w:t>
            </w:r>
            <w:r w:rsidRPr="005E385F">
              <w:rPr>
                <w:rFonts w:ascii="Verdana" w:hAnsi="Verdana"/>
                <w:b/>
                <w:bCs/>
                <w:sz w:val="20"/>
              </w:rPr>
              <w:t xml:space="preserve">NOT ELIGIBLE </w:t>
            </w:r>
            <w:r w:rsidRPr="005E385F">
              <w:rPr>
                <w:rFonts w:ascii="Verdana" w:hAnsi="Verdana"/>
                <w:sz w:val="20"/>
              </w:rPr>
              <w:t>include, but are not limited to the following:</w:t>
            </w:r>
          </w:p>
          <w:p w14:paraId="3D8CD72D" w14:textId="77777777" w:rsidR="00F935B1" w:rsidRPr="005E385F" w:rsidRDefault="00F935B1" w:rsidP="0083602C">
            <w:pPr>
              <w:pStyle w:val="NormalWeb"/>
              <w:spacing w:before="0" w:beforeAutospacing="0" w:after="0"/>
              <w:rPr>
                <w:rFonts w:ascii="Verdana" w:hAnsi="Verdana"/>
                <w:b/>
                <w:sz w:val="20"/>
              </w:rPr>
            </w:pPr>
          </w:p>
          <w:p w14:paraId="5F27B283" w14:textId="77777777" w:rsidR="00F935B1" w:rsidRPr="005E385F" w:rsidRDefault="00F935B1" w:rsidP="00F935B1">
            <w:pPr>
              <w:pStyle w:val="NormalWeb"/>
              <w:numPr>
                <w:ilvl w:val="0"/>
                <w:numId w:val="25"/>
              </w:numPr>
              <w:spacing w:before="0" w:beforeAutospacing="0" w:after="0"/>
              <w:rPr>
                <w:rFonts w:ascii="Verdana" w:hAnsi="Verdana"/>
                <w:sz w:val="20"/>
              </w:rPr>
            </w:pPr>
            <w:r w:rsidRPr="005E385F">
              <w:rPr>
                <w:rFonts w:ascii="Verdana" w:hAnsi="Verdana"/>
                <w:sz w:val="20"/>
              </w:rPr>
              <w:t>Initial planning</w:t>
            </w:r>
            <w:r w:rsidRPr="005E385F">
              <w:rPr>
                <w:rFonts w:ascii="Verdana" w:hAnsi="Verdana"/>
                <w:sz w:val="20"/>
              </w:rPr>
              <w:fldChar w:fldCharType="begin"/>
            </w:r>
            <w:r w:rsidRPr="005E385F">
              <w:rPr>
                <w:rFonts w:ascii="Verdana" w:hAnsi="Verdana"/>
                <w:sz w:val="20"/>
              </w:rPr>
              <w:instrText>xe "Initial Planning"</w:instrText>
            </w:r>
            <w:r w:rsidRPr="005E385F">
              <w:rPr>
                <w:rFonts w:ascii="Verdana" w:hAnsi="Verdana"/>
                <w:sz w:val="20"/>
              </w:rPr>
              <w:fldChar w:fldCharType="end"/>
            </w:r>
            <w:r w:rsidRPr="005E385F">
              <w:rPr>
                <w:rFonts w:ascii="Verdana" w:hAnsi="Verdana"/>
                <w:sz w:val="20"/>
              </w:rPr>
              <w:t xml:space="preserve"> to determine the technology and/or components to be deployed.</w:t>
            </w:r>
          </w:p>
          <w:p w14:paraId="10F82B47" w14:textId="77777777" w:rsidR="00F935B1" w:rsidRPr="005E385F" w:rsidRDefault="00F935B1" w:rsidP="00F935B1">
            <w:pPr>
              <w:pStyle w:val="NormalWeb"/>
              <w:numPr>
                <w:ilvl w:val="0"/>
                <w:numId w:val="25"/>
              </w:numPr>
              <w:spacing w:before="0" w:beforeAutospacing="0" w:after="0"/>
              <w:rPr>
                <w:rFonts w:ascii="Verdana" w:hAnsi="Verdana"/>
                <w:sz w:val="20"/>
              </w:rPr>
            </w:pPr>
            <w:r w:rsidRPr="005E385F">
              <w:rPr>
                <w:rFonts w:ascii="Verdana" w:hAnsi="Verdana"/>
                <w:sz w:val="20"/>
              </w:rPr>
              <w:t>Network architecture</w:t>
            </w:r>
            <w:r w:rsidRPr="005E385F">
              <w:rPr>
                <w:rFonts w:ascii="Verdana" w:hAnsi="Verdana"/>
                <w:sz w:val="20"/>
              </w:rPr>
              <w:fldChar w:fldCharType="begin"/>
            </w:r>
            <w:r w:rsidRPr="005E385F">
              <w:rPr>
                <w:rFonts w:ascii="Verdana" w:hAnsi="Verdana"/>
                <w:sz w:val="20"/>
              </w:rPr>
              <w:instrText>xe "Network Architecture"</w:instrText>
            </w:r>
            <w:r w:rsidRPr="005E385F">
              <w:rPr>
                <w:rFonts w:ascii="Verdana" w:hAnsi="Verdana"/>
                <w:sz w:val="20"/>
              </w:rPr>
              <w:fldChar w:fldCharType="end"/>
            </w:r>
            <w:r w:rsidRPr="005E385F">
              <w:rPr>
                <w:rFonts w:ascii="Verdana" w:hAnsi="Verdana"/>
                <w:sz w:val="20"/>
              </w:rPr>
              <w:t xml:space="preserve"> design</w:t>
            </w:r>
            <w:r w:rsidRPr="005E385F">
              <w:rPr>
                <w:rFonts w:ascii="Verdana" w:hAnsi="Verdana"/>
                <w:sz w:val="20"/>
              </w:rPr>
              <w:fldChar w:fldCharType="begin"/>
            </w:r>
            <w:r w:rsidRPr="005E385F">
              <w:rPr>
                <w:rFonts w:ascii="Verdana" w:hAnsi="Verdana"/>
                <w:sz w:val="20"/>
              </w:rPr>
              <w:instrText>xe "Design"</w:instrText>
            </w:r>
            <w:r w:rsidRPr="005E385F">
              <w:rPr>
                <w:rFonts w:ascii="Verdana" w:hAnsi="Verdana"/>
                <w:sz w:val="20"/>
              </w:rPr>
              <w:fldChar w:fldCharType="end"/>
            </w:r>
            <w:r w:rsidRPr="005E385F">
              <w:rPr>
                <w:rFonts w:ascii="Verdana" w:hAnsi="Verdana"/>
                <w:sz w:val="20"/>
              </w:rPr>
              <w:t>.</w:t>
            </w:r>
          </w:p>
          <w:p w14:paraId="1BA0F48C" w14:textId="77777777" w:rsidR="00F935B1" w:rsidRPr="005E385F" w:rsidRDefault="00F935B1" w:rsidP="00F935B1">
            <w:pPr>
              <w:pStyle w:val="NormalWeb"/>
              <w:numPr>
                <w:ilvl w:val="0"/>
                <w:numId w:val="25"/>
              </w:numPr>
              <w:spacing w:before="0" w:beforeAutospacing="0" w:after="0"/>
              <w:rPr>
                <w:rFonts w:ascii="Verdana" w:hAnsi="Verdana"/>
                <w:sz w:val="20"/>
              </w:rPr>
            </w:pPr>
            <w:r w:rsidRPr="005E385F">
              <w:rPr>
                <w:rFonts w:ascii="Verdana" w:hAnsi="Verdana"/>
                <w:sz w:val="20"/>
              </w:rPr>
              <w:t>Development of technology plans</w:t>
            </w:r>
            <w:r w:rsidRPr="005E385F">
              <w:rPr>
                <w:rFonts w:ascii="Verdana" w:hAnsi="Verdana"/>
                <w:sz w:val="20"/>
              </w:rPr>
              <w:fldChar w:fldCharType="begin"/>
            </w:r>
            <w:r w:rsidRPr="005E385F">
              <w:rPr>
                <w:rFonts w:ascii="Verdana" w:hAnsi="Verdana"/>
                <w:sz w:val="20"/>
              </w:rPr>
              <w:instrText>xe "Technology Plans"</w:instrText>
            </w:r>
            <w:r w:rsidRPr="005E385F">
              <w:rPr>
                <w:rFonts w:ascii="Verdana" w:hAnsi="Verdana"/>
                <w:sz w:val="20"/>
              </w:rPr>
              <w:fldChar w:fldCharType="end"/>
            </w:r>
            <w:r w:rsidRPr="005E385F">
              <w:rPr>
                <w:rFonts w:ascii="Verdana" w:hAnsi="Verdana"/>
                <w:sz w:val="20"/>
              </w:rPr>
              <w:t>.</w:t>
            </w:r>
          </w:p>
          <w:p w14:paraId="08D269B7" w14:textId="77777777" w:rsidR="00F935B1" w:rsidRPr="005E385F" w:rsidRDefault="00F935B1" w:rsidP="00F935B1">
            <w:pPr>
              <w:pStyle w:val="NormalWeb"/>
              <w:numPr>
                <w:ilvl w:val="0"/>
                <w:numId w:val="25"/>
              </w:numPr>
              <w:spacing w:before="0" w:beforeAutospacing="0" w:after="0"/>
              <w:rPr>
                <w:rFonts w:ascii="Verdana" w:hAnsi="Verdana"/>
                <w:sz w:val="20"/>
              </w:rPr>
            </w:pPr>
            <w:r w:rsidRPr="005E385F">
              <w:rPr>
                <w:rFonts w:ascii="Verdana" w:hAnsi="Verdana"/>
                <w:sz w:val="20"/>
              </w:rPr>
              <w:t>Application assistance</w:t>
            </w:r>
            <w:r w:rsidRPr="005E385F">
              <w:rPr>
                <w:rFonts w:ascii="Verdana" w:hAnsi="Verdana"/>
                <w:sz w:val="20"/>
              </w:rPr>
              <w:fldChar w:fldCharType="begin"/>
            </w:r>
            <w:r w:rsidRPr="005E385F">
              <w:rPr>
                <w:rFonts w:ascii="Verdana" w:hAnsi="Verdana"/>
                <w:sz w:val="20"/>
              </w:rPr>
              <w:instrText>xe "Application Assistance"</w:instrText>
            </w:r>
            <w:r w:rsidRPr="005E385F">
              <w:rPr>
                <w:rFonts w:ascii="Verdana" w:hAnsi="Verdana"/>
                <w:sz w:val="20"/>
              </w:rPr>
              <w:fldChar w:fldCharType="end"/>
            </w:r>
            <w:r w:rsidRPr="005E385F">
              <w:rPr>
                <w:rFonts w:ascii="Verdana" w:hAnsi="Verdana"/>
                <w:sz w:val="20"/>
              </w:rPr>
              <w:t>, program advice</w:t>
            </w:r>
            <w:r w:rsidRPr="005E385F">
              <w:rPr>
                <w:rFonts w:ascii="Verdana" w:hAnsi="Verdana"/>
                <w:sz w:val="20"/>
              </w:rPr>
              <w:fldChar w:fldCharType="begin"/>
            </w:r>
            <w:r w:rsidRPr="005E385F">
              <w:rPr>
                <w:rFonts w:ascii="Verdana" w:hAnsi="Verdana"/>
                <w:sz w:val="20"/>
              </w:rPr>
              <w:instrText>xe "Program Advice"</w:instrText>
            </w:r>
            <w:r w:rsidRPr="005E385F">
              <w:rPr>
                <w:rFonts w:ascii="Verdana" w:hAnsi="Verdana"/>
                <w:sz w:val="20"/>
              </w:rPr>
              <w:fldChar w:fldCharType="end"/>
            </w:r>
            <w:r w:rsidRPr="005E385F">
              <w:rPr>
                <w:rFonts w:ascii="Verdana" w:hAnsi="Verdana"/>
                <w:sz w:val="20"/>
              </w:rPr>
              <w:t>, and other activities not tied directly to actual installation</w:t>
            </w:r>
            <w:r w:rsidRPr="005E385F">
              <w:rPr>
                <w:rFonts w:ascii="Verdana" w:hAnsi="Verdana"/>
                <w:sz w:val="20"/>
              </w:rPr>
              <w:fldChar w:fldCharType="begin"/>
            </w:r>
            <w:r w:rsidRPr="005E385F">
              <w:rPr>
                <w:rFonts w:ascii="Verdana" w:hAnsi="Verdana"/>
                <w:sz w:val="20"/>
              </w:rPr>
              <w:instrText>xe "Installation"</w:instrText>
            </w:r>
            <w:r w:rsidRPr="005E385F">
              <w:rPr>
                <w:rFonts w:ascii="Verdana" w:hAnsi="Verdana"/>
                <w:sz w:val="20"/>
              </w:rPr>
              <w:fldChar w:fldCharType="end"/>
            </w:r>
            <w:r w:rsidRPr="005E385F">
              <w:rPr>
                <w:rFonts w:ascii="Verdana" w:hAnsi="Verdana"/>
                <w:sz w:val="20"/>
              </w:rPr>
              <w:t xml:space="preserve"> and initial configuration</w:t>
            </w:r>
            <w:r w:rsidRPr="005E385F">
              <w:rPr>
                <w:rFonts w:ascii="Verdana" w:hAnsi="Verdana"/>
                <w:sz w:val="20"/>
              </w:rPr>
              <w:fldChar w:fldCharType="begin"/>
            </w:r>
            <w:r w:rsidRPr="005E385F">
              <w:rPr>
                <w:rFonts w:ascii="Verdana" w:hAnsi="Verdana"/>
                <w:sz w:val="20"/>
              </w:rPr>
              <w:instrText>xe "Initial Configuration"</w:instrText>
            </w:r>
            <w:r w:rsidRPr="005E385F">
              <w:rPr>
                <w:rFonts w:ascii="Verdana" w:hAnsi="Verdana"/>
                <w:sz w:val="20"/>
              </w:rPr>
              <w:fldChar w:fldCharType="end"/>
            </w:r>
            <w:r w:rsidRPr="005E385F">
              <w:rPr>
                <w:rFonts w:ascii="Verdana" w:hAnsi="Verdana"/>
                <w:sz w:val="20"/>
              </w:rPr>
              <w:t xml:space="preserve"> of components.</w:t>
            </w:r>
          </w:p>
          <w:p w14:paraId="0B2E5691" w14:textId="77777777" w:rsidR="00F935B1" w:rsidRPr="005E385F" w:rsidRDefault="00F935B1" w:rsidP="00F935B1">
            <w:pPr>
              <w:pStyle w:val="NormalWeb"/>
              <w:numPr>
                <w:ilvl w:val="0"/>
                <w:numId w:val="25"/>
              </w:numPr>
              <w:spacing w:before="0" w:beforeAutospacing="0" w:after="0"/>
              <w:rPr>
                <w:rFonts w:ascii="Verdana" w:hAnsi="Verdana"/>
                <w:sz w:val="20"/>
              </w:rPr>
            </w:pPr>
            <w:r w:rsidRPr="005E385F">
              <w:rPr>
                <w:rFonts w:ascii="Verdana" w:hAnsi="Verdana"/>
                <w:sz w:val="20"/>
              </w:rPr>
              <w:t>Labor</w:t>
            </w:r>
            <w:r w:rsidRPr="005E385F">
              <w:rPr>
                <w:rFonts w:ascii="Verdana" w:hAnsi="Verdana"/>
                <w:sz w:val="20"/>
              </w:rPr>
              <w:fldChar w:fldCharType="begin"/>
            </w:r>
            <w:r w:rsidRPr="005E385F">
              <w:rPr>
                <w:rFonts w:ascii="Verdana" w:hAnsi="Verdana"/>
                <w:sz w:val="20"/>
              </w:rPr>
              <w:instrText>xe "Labor"</w:instrText>
            </w:r>
            <w:r w:rsidRPr="005E385F">
              <w:rPr>
                <w:rFonts w:ascii="Verdana" w:hAnsi="Verdana"/>
                <w:sz w:val="20"/>
              </w:rPr>
              <w:fldChar w:fldCharType="end"/>
            </w:r>
            <w:r w:rsidRPr="005E385F">
              <w:rPr>
                <w:rFonts w:ascii="Verdana" w:hAnsi="Verdana"/>
                <w:sz w:val="20"/>
              </w:rPr>
              <w:t xml:space="preserve"> costs for school and library personnel.</w:t>
            </w:r>
          </w:p>
          <w:p w14:paraId="0BBBBE4A" w14:textId="77777777" w:rsidR="00F935B1" w:rsidRPr="005E385F" w:rsidRDefault="00F935B1" w:rsidP="00F935B1">
            <w:pPr>
              <w:pStyle w:val="NormalWeb"/>
              <w:numPr>
                <w:ilvl w:val="0"/>
                <w:numId w:val="25"/>
              </w:numPr>
              <w:spacing w:before="0" w:beforeAutospacing="0" w:after="0"/>
              <w:rPr>
                <w:rFonts w:ascii="Verdana" w:hAnsi="Verdana"/>
                <w:sz w:val="20"/>
              </w:rPr>
            </w:pPr>
            <w:r w:rsidRPr="005E385F">
              <w:rPr>
                <w:rFonts w:ascii="Verdana" w:hAnsi="Verdana"/>
                <w:sz w:val="20"/>
              </w:rPr>
              <w:t>Costs for contractor personnel</w:t>
            </w:r>
            <w:r w:rsidRPr="005E385F">
              <w:rPr>
                <w:rFonts w:ascii="Verdana" w:hAnsi="Verdana"/>
                <w:sz w:val="20"/>
              </w:rPr>
              <w:fldChar w:fldCharType="begin"/>
            </w:r>
            <w:r w:rsidRPr="005E385F">
              <w:rPr>
                <w:rFonts w:ascii="Verdana" w:hAnsi="Verdana"/>
                <w:sz w:val="20"/>
              </w:rPr>
              <w:instrText>xe "Contractor Personnel"</w:instrText>
            </w:r>
            <w:r w:rsidRPr="005E385F">
              <w:rPr>
                <w:rFonts w:ascii="Verdana" w:hAnsi="Verdana"/>
                <w:sz w:val="20"/>
              </w:rPr>
              <w:fldChar w:fldCharType="end"/>
            </w:r>
            <w:r w:rsidRPr="005E385F">
              <w:rPr>
                <w:rFonts w:ascii="Verdana" w:hAnsi="Verdana"/>
                <w:sz w:val="20"/>
              </w:rPr>
              <w:t xml:space="preserve"> to operate components.</w:t>
            </w:r>
          </w:p>
          <w:p w14:paraId="3C7FC68B" w14:textId="77777777" w:rsidR="00F935B1" w:rsidRPr="005E385F" w:rsidRDefault="00F935B1" w:rsidP="00F935B1">
            <w:pPr>
              <w:pStyle w:val="NormalWeb"/>
              <w:numPr>
                <w:ilvl w:val="0"/>
                <w:numId w:val="25"/>
              </w:numPr>
              <w:spacing w:before="0" w:beforeAutospacing="0" w:after="0"/>
              <w:rPr>
                <w:rFonts w:ascii="Verdana" w:hAnsi="Verdana"/>
                <w:sz w:val="20"/>
              </w:rPr>
            </w:pPr>
            <w:r w:rsidRPr="005E385F">
              <w:rPr>
                <w:rFonts w:ascii="Verdana" w:hAnsi="Verdana"/>
                <w:sz w:val="20"/>
              </w:rPr>
              <w:lastRenderedPageBreak/>
              <w:t xml:space="preserve">Costs for </w:t>
            </w:r>
            <w:hyperlink w:anchor="NetworkManagement" w:history="1">
              <w:r w:rsidRPr="005E385F">
                <w:rPr>
                  <w:rStyle w:val="Hyperlink"/>
                  <w:rFonts w:ascii="Verdana" w:hAnsi="Verdana"/>
                  <w:sz w:val="20"/>
                </w:rPr>
                <w:t>network management</w:t>
              </w:r>
              <w:r w:rsidRPr="005E385F">
                <w:rPr>
                  <w:rFonts w:ascii="Verdana" w:hAnsi="Verdana"/>
                  <w:sz w:val="20"/>
                </w:rPr>
                <w:fldChar w:fldCharType="begin"/>
              </w:r>
              <w:r w:rsidRPr="005E385F">
                <w:rPr>
                  <w:rFonts w:ascii="Verdana" w:hAnsi="Verdana"/>
                  <w:sz w:val="20"/>
                </w:rPr>
                <w:instrText>xe "N</w:instrText>
              </w:r>
              <w:r w:rsidRPr="005E385F">
                <w:rPr>
                  <w:rStyle w:val="Hyperlink"/>
                  <w:rFonts w:ascii="Verdana" w:hAnsi="Verdana"/>
                  <w:sz w:val="20"/>
                </w:rPr>
                <w:instrText>etwork Management</w:instrText>
              </w:r>
              <w:r w:rsidRPr="005E385F">
                <w:rPr>
                  <w:rFonts w:ascii="Verdana" w:hAnsi="Verdana"/>
                  <w:sz w:val="20"/>
                </w:rPr>
                <w:instrText>"</w:instrText>
              </w:r>
              <w:r w:rsidRPr="005E385F">
                <w:rPr>
                  <w:rFonts w:ascii="Verdana" w:hAnsi="Verdana"/>
                  <w:sz w:val="20"/>
                </w:rPr>
                <w:fldChar w:fldCharType="end"/>
              </w:r>
            </w:hyperlink>
            <w:r w:rsidRPr="005E385F">
              <w:rPr>
                <w:rFonts w:ascii="Verdana" w:hAnsi="Verdana"/>
                <w:sz w:val="20"/>
              </w:rPr>
              <w:t xml:space="preserve"> software</w:t>
            </w:r>
            <w:r w:rsidRPr="005E385F">
              <w:rPr>
                <w:rFonts w:ascii="Verdana" w:hAnsi="Verdana"/>
                <w:sz w:val="20"/>
              </w:rPr>
              <w:fldChar w:fldCharType="begin"/>
            </w:r>
            <w:r w:rsidRPr="005E385F">
              <w:rPr>
                <w:rFonts w:ascii="Verdana" w:hAnsi="Verdana"/>
                <w:sz w:val="20"/>
              </w:rPr>
              <w:instrText>xe "Software"</w:instrText>
            </w:r>
            <w:r w:rsidRPr="005E385F">
              <w:rPr>
                <w:rFonts w:ascii="Verdana" w:hAnsi="Verdana"/>
                <w:sz w:val="20"/>
              </w:rPr>
              <w:fldChar w:fldCharType="end"/>
            </w:r>
            <w:r w:rsidRPr="005E385F">
              <w:rPr>
                <w:rFonts w:ascii="Verdana" w:hAnsi="Verdana"/>
                <w:sz w:val="20"/>
              </w:rPr>
              <w:t>, services, and equipment.</w:t>
            </w:r>
          </w:p>
          <w:p w14:paraId="0CF09C0A" w14:textId="77777777" w:rsidR="00F935B1" w:rsidRPr="005E385F" w:rsidRDefault="00A0395D" w:rsidP="00F935B1">
            <w:pPr>
              <w:pStyle w:val="NormalWeb"/>
              <w:numPr>
                <w:ilvl w:val="0"/>
                <w:numId w:val="25"/>
              </w:numPr>
              <w:spacing w:before="0" w:beforeAutospacing="0" w:after="0"/>
              <w:rPr>
                <w:rFonts w:ascii="Verdana" w:hAnsi="Verdana"/>
                <w:sz w:val="20"/>
              </w:rPr>
            </w:pPr>
            <w:hyperlink w:anchor="TestEquipment" w:history="1">
              <w:r w:rsidR="00F935B1" w:rsidRPr="005E385F">
                <w:rPr>
                  <w:rStyle w:val="Hyperlink"/>
                  <w:rFonts w:ascii="Verdana" w:hAnsi="Verdana"/>
                  <w:bCs/>
                  <w:sz w:val="20"/>
                </w:rPr>
                <w:t>Test equipment</w:t>
              </w:r>
              <w:r w:rsidR="00F935B1" w:rsidRPr="005E385F">
                <w:rPr>
                  <w:rFonts w:ascii="Verdana" w:hAnsi="Verdana"/>
                  <w:sz w:val="20"/>
                </w:rPr>
                <w:fldChar w:fldCharType="begin"/>
              </w:r>
              <w:r w:rsidR="00F935B1" w:rsidRPr="005E385F">
                <w:rPr>
                  <w:rFonts w:ascii="Verdana" w:hAnsi="Verdana"/>
                  <w:sz w:val="20"/>
                </w:rPr>
                <w:instrText>xe "</w:instrText>
              </w:r>
              <w:r w:rsidR="00F935B1" w:rsidRPr="005E385F">
                <w:rPr>
                  <w:rStyle w:val="Hyperlink"/>
                  <w:rFonts w:ascii="Verdana" w:hAnsi="Verdana"/>
                  <w:bCs/>
                  <w:sz w:val="20"/>
                </w:rPr>
                <w:instrText>Test Equipment</w:instrText>
              </w:r>
              <w:r w:rsidR="00F935B1" w:rsidRPr="005E385F">
                <w:rPr>
                  <w:rFonts w:ascii="Verdana" w:hAnsi="Verdana"/>
                  <w:sz w:val="20"/>
                </w:rPr>
                <w:instrText>"</w:instrText>
              </w:r>
              <w:r w:rsidR="00F935B1" w:rsidRPr="005E385F">
                <w:rPr>
                  <w:rFonts w:ascii="Verdana" w:hAnsi="Verdana"/>
                  <w:sz w:val="20"/>
                </w:rPr>
                <w:fldChar w:fldCharType="end"/>
              </w:r>
            </w:hyperlink>
            <w:r w:rsidR="00F935B1" w:rsidRPr="005E385F">
              <w:rPr>
                <w:rFonts w:ascii="Verdana" w:hAnsi="Verdana"/>
                <w:bCs/>
                <w:sz w:val="20"/>
              </w:rPr>
              <w:t xml:space="preserve"> and tools</w:t>
            </w:r>
            <w:r w:rsidR="00F935B1" w:rsidRPr="005E385F">
              <w:rPr>
                <w:rFonts w:ascii="Verdana" w:hAnsi="Verdana"/>
                <w:sz w:val="20"/>
              </w:rPr>
              <w:fldChar w:fldCharType="begin"/>
            </w:r>
            <w:r w:rsidR="00F935B1" w:rsidRPr="005E385F">
              <w:rPr>
                <w:rFonts w:ascii="Verdana" w:hAnsi="Verdana"/>
                <w:sz w:val="20"/>
              </w:rPr>
              <w:instrText>xe "T</w:instrText>
            </w:r>
            <w:r w:rsidR="00F935B1" w:rsidRPr="005E385F">
              <w:rPr>
                <w:rFonts w:ascii="Verdana" w:hAnsi="Verdana"/>
                <w:bCs/>
                <w:sz w:val="20"/>
              </w:rPr>
              <w:instrText>ools</w:instrText>
            </w:r>
            <w:r w:rsidR="00F935B1" w:rsidRPr="005E385F">
              <w:rPr>
                <w:rFonts w:ascii="Verdana" w:hAnsi="Verdana"/>
                <w:sz w:val="20"/>
              </w:rPr>
              <w:instrText>"</w:instrText>
            </w:r>
            <w:r w:rsidR="00F935B1" w:rsidRPr="005E385F">
              <w:rPr>
                <w:rFonts w:ascii="Verdana" w:hAnsi="Verdana"/>
                <w:sz w:val="20"/>
              </w:rPr>
              <w:fldChar w:fldCharType="end"/>
            </w:r>
            <w:r w:rsidR="00F935B1" w:rsidRPr="005E385F">
              <w:rPr>
                <w:rFonts w:ascii="Verdana" w:hAnsi="Verdana"/>
                <w:bCs/>
                <w:sz w:val="20"/>
              </w:rPr>
              <w:t>.</w:t>
            </w:r>
          </w:p>
          <w:p w14:paraId="059EE16F" w14:textId="77777777" w:rsidR="00F935B1" w:rsidRPr="005E385F" w:rsidRDefault="00F935B1" w:rsidP="00F935B1">
            <w:pPr>
              <w:pStyle w:val="NormalWeb"/>
              <w:numPr>
                <w:ilvl w:val="0"/>
                <w:numId w:val="25"/>
              </w:numPr>
              <w:spacing w:before="0" w:beforeAutospacing="0" w:after="0"/>
              <w:rPr>
                <w:rFonts w:ascii="Verdana" w:hAnsi="Verdana"/>
                <w:sz w:val="20"/>
              </w:rPr>
            </w:pPr>
            <w:r w:rsidRPr="005E385F">
              <w:rPr>
                <w:rFonts w:ascii="Verdana" w:hAnsi="Verdana"/>
                <w:sz w:val="20"/>
              </w:rPr>
              <w:t>End-user</w:t>
            </w:r>
            <w:r w:rsidRPr="005E385F">
              <w:rPr>
                <w:rFonts w:ascii="Verdana" w:hAnsi="Verdana"/>
                <w:sz w:val="20"/>
              </w:rPr>
              <w:fldChar w:fldCharType="begin"/>
            </w:r>
            <w:r w:rsidRPr="005E385F">
              <w:rPr>
                <w:rFonts w:ascii="Verdana" w:hAnsi="Verdana"/>
                <w:sz w:val="20"/>
              </w:rPr>
              <w:instrText>xe "</w:instrText>
            </w:r>
            <w:r w:rsidRPr="005E385F">
              <w:rPr>
                <w:rFonts w:ascii="Verdana" w:hAnsi="Verdana"/>
                <w:bCs/>
                <w:sz w:val="20"/>
              </w:rPr>
              <w:instrText>End-User Training</w:instrText>
            </w:r>
            <w:r w:rsidRPr="005E385F">
              <w:rPr>
                <w:rFonts w:ascii="Verdana" w:hAnsi="Verdana"/>
                <w:sz w:val="20"/>
              </w:rPr>
              <w:instrText>"</w:instrText>
            </w:r>
            <w:r w:rsidRPr="005E385F">
              <w:rPr>
                <w:rFonts w:ascii="Verdana" w:hAnsi="Verdana"/>
                <w:sz w:val="20"/>
              </w:rPr>
              <w:fldChar w:fldCharType="end"/>
            </w:r>
            <w:r w:rsidRPr="005E385F">
              <w:rPr>
                <w:rFonts w:ascii="Verdana" w:hAnsi="Verdana"/>
                <w:sz w:val="20"/>
              </w:rPr>
              <w:t xml:space="preserve"> training</w:t>
            </w:r>
            <w:r w:rsidRPr="005E385F">
              <w:rPr>
                <w:rFonts w:ascii="Verdana" w:hAnsi="Verdana"/>
                <w:sz w:val="20"/>
              </w:rPr>
              <w:fldChar w:fldCharType="begin"/>
            </w:r>
            <w:r w:rsidRPr="005E385F">
              <w:rPr>
                <w:rFonts w:ascii="Verdana" w:hAnsi="Verdana"/>
                <w:sz w:val="20"/>
              </w:rPr>
              <w:instrText>xe "T</w:instrText>
            </w:r>
            <w:r w:rsidRPr="005E385F">
              <w:rPr>
                <w:rFonts w:ascii="Verdana" w:hAnsi="Verdana"/>
                <w:bCs/>
                <w:sz w:val="20"/>
              </w:rPr>
              <w:instrText>raining</w:instrText>
            </w:r>
            <w:r w:rsidRPr="005E385F">
              <w:rPr>
                <w:rFonts w:ascii="Verdana" w:hAnsi="Verdana"/>
                <w:sz w:val="20"/>
              </w:rPr>
              <w:instrText>"</w:instrText>
            </w:r>
            <w:r w:rsidRPr="005E385F">
              <w:rPr>
                <w:rFonts w:ascii="Verdana" w:hAnsi="Verdana"/>
                <w:sz w:val="20"/>
              </w:rPr>
              <w:fldChar w:fldCharType="end"/>
            </w:r>
            <w:r w:rsidRPr="005E385F">
              <w:rPr>
                <w:rFonts w:ascii="Verdana" w:hAnsi="Verdana"/>
                <w:sz w:val="20"/>
              </w:rPr>
              <w:t>, such as training of teachers and staff in the use of covered services in their programs of instruction</w:t>
            </w:r>
            <w:r w:rsidRPr="005E385F">
              <w:rPr>
                <w:rFonts w:ascii="Verdana" w:hAnsi="Verdana"/>
                <w:sz w:val="20"/>
              </w:rPr>
              <w:fldChar w:fldCharType="begin"/>
            </w:r>
            <w:r w:rsidRPr="005E385F">
              <w:rPr>
                <w:rFonts w:ascii="Verdana" w:hAnsi="Verdana"/>
                <w:sz w:val="20"/>
              </w:rPr>
              <w:instrText>xe "Instruction"</w:instrText>
            </w:r>
            <w:r w:rsidRPr="005E385F">
              <w:rPr>
                <w:rFonts w:ascii="Verdana" w:hAnsi="Verdana"/>
                <w:sz w:val="20"/>
              </w:rPr>
              <w:fldChar w:fldCharType="end"/>
            </w:r>
            <w:r w:rsidRPr="005E385F">
              <w:rPr>
                <w:rFonts w:ascii="Verdana" w:hAnsi="Verdana"/>
                <w:sz w:val="20"/>
              </w:rPr>
              <w:t xml:space="preserve"> or for professional development.</w:t>
            </w:r>
          </w:p>
          <w:p w14:paraId="3B3B22D6" w14:textId="77777777" w:rsidR="00F935B1" w:rsidRPr="005E385F" w:rsidRDefault="00F935B1" w:rsidP="00F935B1">
            <w:pPr>
              <w:pStyle w:val="NormalWeb"/>
              <w:numPr>
                <w:ilvl w:val="0"/>
                <w:numId w:val="25"/>
              </w:numPr>
              <w:spacing w:before="0" w:beforeAutospacing="0" w:after="0"/>
              <w:rPr>
                <w:rFonts w:ascii="Verdana" w:hAnsi="Verdana"/>
                <w:bCs/>
                <w:sz w:val="20"/>
              </w:rPr>
            </w:pPr>
            <w:r w:rsidRPr="005E385F">
              <w:rPr>
                <w:rFonts w:ascii="Verdana" w:hAnsi="Verdana"/>
                <w:bCs/>
                <w:sz w:val="20"/>
              </w:rPr>
              <w:t>Construction costs</w:t>
            </w:r>
            <w:r w:rsidRPr="005E385F">
              <w:rPr>
                <w:rFonts w:ascii="Verdana" w:hAnsi="Verdana"/>
                <w:sz w:val="20"/>
              </w:rPr>
              <w:fldChar w:fldCharType="begin"/>
            </w:r>
            <w:r w:rsidRPr="005E385F">
              <w:rPr>
                <w:rFonts w:ascii="Verdana" w:hAnsi="Verdana"/>
                <w:sz w:val="20"/>
              </w:rPr>
              <w:instrText>xe "</w:instrText>
            </w:r>
            <w:r w:rsidRPr="005E385F">
              <w:rPr>
                <w:rFonts w:ascii="Verdana" w:hAnsi="Verdana"/>
                <w:bCs/>
                <w:sz w:val="20"/>
              </w:rPr>
              <w:instrText>Construction Costs</w:instrText>
            </w:r>
            <w:r w:rsidRPr="005E385F">
              <w:rPr>
                <w:rFonts w:ascii="Verdana" w:hAnsi="Verdana"/>
                <w:sz w:val="20"/>
              </w:rPr>
              <w:instrText>"</w:instrText>
            </w:r>
            <w:r w:rsidRPr="005E385F">
              <w:rPr>
                <w:rFonts w:ascii="Verdana" w:hAnsi="Verdana"/>
                <w:sz w:val="20"/>
              </w:rPr>
              <w:fldChar w:fldCharType="end"/>
            </w:r>
            <w:r w:rsidRPr="005E385F">
              <w:rPr>
                <w:rFonts w:ascii="Verdana" w:hAnsi="Verdana"/>
                <w:bCs/>
                <w:sz w:val="20"/>
              </w:rPr>
              <w:t>, other than incidental charges</w:t>
            </w:r>
            <w:r w:rsidRPr="005E385F">
              <w:rPr>
                <w:rFonts w:ascii="Verdana" w:hAnsi="Verdana"/>
                <w:sz w:val="20"/>
              </w:rPr>
              <w:fldChar w:fldCharType="begin"/>
            </w:r>
            <w:r w:rsidRPr="005E385F">
              <w:rPr>
                <w:rFonts w:ascii="Verdana" w:hAnsi="Verdana"/>
                <w:sz w:val="20"/>
              </w:rPr>
              <w:instrText>xe "</w:instrText>
            </w:r>
            <w:r w:rsidRPr="005E385F">
              <w:rPr>
                <w:rFonts w:ascii="Verdana" w:hAnsi="Verdana"/>
                <w:bCs/>
                <w:sz w:val="20"/>
              </w:rPr>
              <w:instrText>Incidental Charges</w:instrText>
            </w:r>
            <w:r w:rsidRPr="005E385F">
              <w:rPr>
                <w:rFonts w:ascii="Verdana" w:hAnsi="Verdana"/>
                <w:sz w:val="20"/>
              </w:rPr>
              <w:instrText>"</w:instrText>
            </w:r>
            <w:r w:rsidRPr="005E385F">
              <w:rPr>
                <w:rFonts w:ascii="Verdana" w:hAnsi="Verdana"/>
                <w:sz w:val="20"/>
              </w:rPr>
              <w:fldChar w:fldCharType="end"/>
            </w:r>
            <w:r w:rsidRPr="005E385F">
              <w:rPr>
                <w:rFonts w:ascii="Verdana" w:hAnsi="Verdana"/>
                <w:bCs/>
                <w:sz w:val="20"/>
              </w:rPr>
              <w:t xml:space="preserve"> to restore a facility to pre-installation</w:t>
            </w:r>
            <w:r w:rsidRPr="005E385F">
              <w:rPr>
                <w:rFonts w:ascii="Verdana" w:hAnsi="Verdana"/>
                <w:sz w:val="20"/>
              </w:rPr>
              <w:fldChar w:fldCharType="begin"/>
            </w:r>
            <w:r w:rsidRPr="005E385F">
              <w:rPr>
                <w:rFonts w:ascii="Verdana" w:hAnsi="Verdana"/>
                <w:sz w:val="20"/>
              </w:rPr>
              <w:instrText>xe "Installation"</w:instrText>
            </w:r>
            <w:r w:rsidRPr="005E385F">
              <w:rPr>
                <w:rFonts w:ascii="Verdana" w:hAnsi="Verdana"/>
                <w:sz w:val="20"/>
              </w:rPr>
              <w:fldChar w:fldCharType="end"/>
            </w:r>
            <w:r w:rsidRPr="005E385F">
              <w:rPr>
                <w:rFonts w:ascii="Verdana" w:hAnsi="Verdana"/>
                <w:bCs/>
                <w:sz w:val="20"/>
              </w:rPr>
              <w:t xml:space="preserve"> conditions.</w:t>
            </w:r>
          </w:p>
        </w:tc>
      </w:tr>
    </w:tbl>
    <w:p w14:paraId="2AE72D6F" w14:textId="77777777" w:rsidR="00F935B1" w:rsidRDefault="00F935B1" w:rsidP="00F935B1">
      <w:pPr>
        <w:rPr>
          <w:szCs w:val="22"/>
        </w:rPr>
        <w:sectPr w:rsidR="00F935B1" w:rsidSect="0083602C">
          <w:footerReference w:type="default" r:id="rId38"/>
          <w:pgSz w:w="12240" w:h="15840"/>
          <w:pgMar w:top="1440" w:right="1800" w:bottom="1440" w:left="1800" w:header="720" w:footer="720" w:gutter="0"/>
          <w:cols w:space="720"/>
          <w:docGrid w:linePitch="360"/>
        </w:sectPr>
      </w:pPr>
    </w:p>
    <w:tbl>
      <w:tblPr>
        <w:tblW w:w="9216" w:type="dxa"/>
        <w:tblCellSpacing w:w="15" w:type="dxa"/>
        <w:tblInd w:w="197"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43" w:type="dxa"/>
          <w:left w:w="288" w:type="dxa"/>
          <w:bottom w:w="43" w:type="dxa"/>
          <w:right w:w="288" w:type="dxa"/>
        </w:tblCellMar>
        <w:tblLook w:val="0000" w:firstRow="0" w:lastRow="0" w:firstColumn="0" w:lastColumn="0" w:noHBand="0" w:noVBand="0"/>
      </w:tblPr>
      <w:tblGrid>
        <w:gridCol w:w="2600"/>
        <w:gridCol w:w="6616"/>
      </w:tblGrid>
      <w:tr w:rsidR="00F935B1" w14:paraId="42B32C07" w14:textId="77777777" w:rsidTr="0083602C">
        <w:trPr>
          <w:cantSplit/>
          <w:tblCellSpacing w:w="15" w:type="dxa"/>
        </w:trPr>
        <w:tc>
          <w:tcPr>
            <w:tcW w:w="4967" w:type="pct"/>
            <w:gridSpan w:val="2"/>
            <w:shd w:val="clear" w:color="auto" w:fill="FFCC00"/>
          </w:tcPr>
          <w:p w14:paraId="01C6CD00" w14:textId="77777777" w:rsidR="00F935B1" w:rsidRDefault="00F935B1" w:rsidP="0083602C">
            <w:pPr>
              <w:spacing w:before="200" w:after="200"/>
              <w:jc w:val="center"/>
              <w:rPr>
                <w:rFonts w:ascii="Verdana" w:hAnsi="Verdana" w:cs="Arial"/>
                <w:b/>
                <w:bCs/>
              </w:rPr>
            </w:pPr>
            <w:r>
              <w:rPr>
                <w:szCs w:val="22"/>
              </w:rPr>
              <w:lastRenderedPageBreak/>
              <w:br w:type="page"/>
            </w:r>
            <w:r>
              <w:rPr>
                <w:rFonts w:ascii="Verdana" w:hAnsi="Verdana" w:cs="Arial"/>
                <w:b/>
                <w:bCs/>
                <w:color w:val="000080"/>
                <w:sz w:val="36"/>
              </w:rPr>
              <w:t>Special Eligibility Conditions</w:t>
            </w:r>
            <w:r w:rsidRPr="00443613">
              <w:rPr>
                <w:rFonts w:ascii="Verdana" w:hAnsi="Verdana"/>
                <w:sz w:val="20"/>
              </w:rPr>
              <w:fldChar w:fldCharType="begin"/>
            </w:r>
            <w:r w:rsidRPr="00443613">
              <w:rPr>
                <w:rFonts w:ascii="Verdana" w:hAnsi="Verdana"/>
                <w:sz w:val="20"/>
              </w:rPr>
              <w:instrText>xe "</w:instrText>
            </w:r>
            <w:r w:rsidRPr="00443613">
              <w:rPr>
                <w:rStyle w:val="Hyperlink"/>
                <w:rFonts w:ascii="Verdana" w:hAnsi="Verdana"/>
                <w:sz w:val="20"/>
              </w:rPr>
              <w:instrText>Special Eligibility Conditions</w:instrText>
            </w:r>
            <w:r w:rsidRPr="00443613">
              <w:rPr>
                <w:rFonts w:ascii="Verdana" w:hAnsi="Verdana"/>
                <w:sz w:val="20"/>
              </w:rPr>
              <w:instrText>"</w:instrText>
            </w:r>
            <w:r w:rsidRPr="00443613">
              <w:rPr>
                <w:rFonts w:ascii="Verdana" w:hAnsi="Verdana"/>
                <w:sz w:val="20"/>
              </w:rPr>
              <w:fldChar w:fldCharType="end"/>
            </w:r>
          </w:p>
        </w:tc>
      </w:tr>
      <w:tr w:rsidR="00F935B1" w:rsidRPr="000A4491" w14:paraId="7E6CA497" w14:textId="77777777" w:rsidTr="0083602C">
        <w:trPr>
          <w:tblCellSpacing w:w="15" w:type="dxa"/>
        </w:trPr>
        <w:tc>
          <w:tcPr>
            <w:tcW w:w="4967" w:type="pct"/>
            <w:gridSpan w:val="2"/>
          </w:tcPr>
          <w:p w14:paraId="6EACD6C5" w14:textId="77777777" w:rsidR="00F935B1" w:rsidRPr="000A4491" w:rsidRDefault="00F935B1" w:rsidP="0083602C">
            <w:pPr>
              <w:rPr>
                <w:rFonts w:ascii="Verdana" w:hAnsi="Verdana"/>
                <w:sz w:val="20"/>
              </w:rPr>
            </w:pPr>
          </w:p>
          <w:p w14:paraId="77B82652" w14:textId="6811756E" w:rsidR="00F935B1" w:rsidRPr="000A4491" w:rsidRDefault="00F935B1" w:rsidP="0083602C">
            <w:pPr>
              <w:rPr>
                <w:rFonts w:ascii="Verdana" w:hAnsi="Verdana"/>
                <w:sz w:val="20"/>
              </w:rPr>
            </w:pPr>
            <w:r w:rsidRPr="000A4491">
              <w:rPr>
                <w:rFonts w:ascii="Verdana" w:hAnsi="Verdana"/>
                <w:sz w:val="20"/>
              </w:rPr>
              <w:t>The following section lists additional requirements relating to eligible services and products.  The Universal Service Administrative Company also maintains documents providing more details regarding the administration</w:t>
            </w:r>
            <w:r w:rsidRPr="000A4491">
              <w:rPr>
                <w:rFonts w:ascii="Verdana" w:hAnsi="Verdana"/>
                <w:sz w:val="20"/>
              </w:rPr>
              <w:fldChar w:fldCharType="begin"/>
            </w:r>
            <w:r w:rsidRPr="000A4491">
              <w:rPr>
                <w:rFonts w:ascii="Verdana" w:hAnsi="Verdana"/>
                <w:sz w:val="20"/>
              </w:rPr>
              <w:instrText>xe "A</w:instrText>
            </w:r>
            <w:r w:rsidRPr="000A4491">
              <w:rPr>
                <w:rFonts w:ascii="Verdana" w:hAnsi="Verdana"/>
                <w:bCs/>
                <w:sz w:val="20"/>
              </w:rPr>
              <w:instrText>dministration</w:instrText>
            </w:r>
            <w:r w:rsidRPr="000A4491">
              <w:rPr>
                <w:rFonts w:ascii="Verdana" w:hAnsi="Verdana"/>
                <w:sz w:val="20"/>
              </w:rPr>
              <w:instrText>"</w:instrText>
            </w:r>
            <w:r w:rsidRPr="000A4491">
              <w:rPr>
                <w:rFonts w:ascii="Verdana" w:hAnsi="Verdana"/>
                <w:sz w:val="20"/>
              </w:rPr>
              <w:fldChar w:fldCharType="end"/>
            </w:r>
            <w:r w:rsidRPr="000A4491">
              <w:rPr>
                <w:rFonts w:ascii="Verdana" w:hAnsi="Verdana"/>
                <w:sz w:val="20"/>
              </w:rPr>
              <w:t xml:space="preserve"> of the E-rate program on the Schools and Libraries Division website, available at </w:t>
            </w:r>
            <w:hyperlink r:id="rId39" w:history="1">
              <w:r w:rsidRPr="000A4491">
                <w:rPr>
                  <w:rStyle w:val="Hyperlink"/>
                  <w:rFonts w:ascii="Verdana" w:hAnsi="Verdana"/>
                  <w:sz w:val="20"/>
                </w:rPr>
                <w:t>http://www.usac.org/sl/</w:t>
              </w:r>
            </w:hyperlink>
            <w:r w:rsidRPr="000A4491">
              <w:rPr>
                <w:rFonts w:ascii="Verdana" w:hAnsi="Verdana"/>
                <w:sz w:val="20"/>
              </w:rPr>
              <w:t>.  These documents are not included by reference in this Eligible Services List.</w:t>
            </w:r>
          </w:p>
          <w:p w14:paraId="6EA30110" w14:textId="77777777" w:rsidR="00F935B1" w:rsidRPr="000A4491" w:rsidRDefault="00F935B1" w:rsidP="0083602C">
            <w:pPr>
              <w:rPr>
                <w:rFonts w:ascii="Verdana" w:hAnsi="Verdana"/>
                <w:sz w:val="20"/>
              </w:rPr>
            </w:pPr>
          </w:p>
        </w:tc>
      </w:tr>
      <w:tr w:rsidR="00F935B1" w:rsidRPr="000A4491" w14:paraId="27A92D04" w14:textId="77777777" w:rsidTr="0083602C">
        <w:trPr>
          <w:tblCellSpacing w:w="15" w:type="dxa"/>
        </w:trPr>
        <w:tc>
          <w:tcPr>
            <w:tcW w:w="1391" w:type="pct"/>
          </w:tcPr>
          <w:p w14:paraId="28F336B5" w14:textId="77777777" w:rsidR="00F935B1" w:rsidRPr="000A4491" w:rsidRDefault="00F935B1" w:rsidP="0083602C">
            <w:pPr>
              <w:rPr>
                <w:rFonts w:ascii="Verdana" w:hAnsi="Verdana"/>
                <w:sz w:val="20"/>
              </w:rPr>
            </w:pPr>
            <w:r w:rsidRPr="000A4491">
              <w:rPr>
                <w:rFonts w:ascii="Verdana" w:hAnsi="Verdana"/>
                <w:sz w:val="20"/>
              </w:rPr>
              <w:t>Ancillary Use</w:t>
            </w:r>
            <w:r w:rsidRPr="000A4491">
              <w:rPr>
                <w:rFonts w:ascii="Verdana" w:hAnsi="Verdana"/>
                <w:sz w:val="20"/>
              </w:rPr>
              <w:fldChar w:fldCharType="begin"/>
            </w:r>
            <w:r w:rsidRPr="000A4491">
              <w:rPr>
                <w:rFonts w:ascii="Verdana" w:hAnsi="Verdana"/>
                <w:sz w:val="20"/>
              </w:rPr>
              <w:instrText>xe "Ancillary Use"</w:instrText>
            </w:r>
            <w:r w:rsidRPr="000A4491">
              <w:rPr>
                <w:rFonts w:ascii="Verdana" w:hAnsi="Verdana"/>
                <w:sz w:val="20"/>
              </w:rPr>
              <w:fldChar w:fldCharType="end"/>
            </w:r>
          </w:p>
        </w:tc>
        <w:tc>
          <w:tcPr>
            <w:tcW w:w="3560" w:type="pct"/>
          </w:tcPr>
          <w:p w14:paraId="15868F5B" w14:textId="77777777" w:rsidR="00F935B1" w:rsidRPr="000A4491" w:rsidRDefault="00F935B1" w:rsidP="0083602C">
            <w:pPr>
              <w:pStyle w:val="NormalWeb"/>
              <w:spacing w:before="0" w:beforeAutospacing="0" w:after="0"/>
              <w:rPr>
                <w:rFonts w:ascii="Verdana" w:hAnsi="Verdana"/>
                <w:sz w:val="20"/>
              </w:rPr>
            </w:pPr>
            <w:r w:rsidRPr="000A4491">
              <w:rPr>
                <w:rFonts w:ascii="Verdana" w:hAnsi="Verdana"/>
                <w:sz w:val="20"/>
              </w:rPr>
              <w:t>If a product or service includes ineligible functionality, then, in general, the proportionate cost of this functionality must be removed from funding requests through a cost allocation</w:t>
            </w:r>
            <w:r w:rsidRPr="000A4491">
              <w:rPr>
                <w:rFonts w:ascii="Verdana" w:hAnsi="Verdana"/>
                <w:sz w:val="20"/>
              </w:rPr>
              <w:fldChar w:fldCharType="begin"/>
            </w:r>
            <w:r w:rsidRPr="000A4491">
              <w:rPr>
                <w:rFonts w:ascii="Verdana" w:hAnsi="Verdana"/>
                <w:sz w:val="20"/>
              </w:rPr>
              <w:instrText>xe "</w:instrText>
            </w:r>
            <w:r w:rsidRPr="000A4491">
              <w:rPr>
                <w:rFonts w:ascii="Verdana" w:hAnsi="Verdana"/>
                <w:bCs/>
                <w:sz w:val="20"/>
              </w:rPr>
              <w:instrText>Cost Allocation</w:instrText>
            </w:r>
            <w:r w:rsidRPr="000A4491">
              <w:rPr>
                <w:rFonts w:ascii="Verdana" w:hAnsi="Verdana"/>
                <w:sz w:val="20"/>
              </w:rPr>
              <w:instrText>"</w:instrText>
            </w:r>
            <w:r w:rsidRPr="000A4491">
              <w:rPr>
                <w:rFonts w:ascii="Verdana" w:hAnsi="Verdana"/>
                <w:sz w:val="20"/>
              </w:rPr>
              <w:fldChar w:fldCharType="end"/>
            </w:r>
            <w:r w:rsidRPr="000A4491">
              <w:rPr>
                <w:rFonts w:ascii="Verdana" w:hAnsi="Verdana"/>
                <w:sz w:val="20"/>
              </w:rPr>
              <w:t xml:space="preserve"> process.  However, in certain limited cases, if any ineligible functionality is not significant and strictly ancillary to the principle uses of the product or service, the full product or service may be eligible for discounts. </w:t>
            </w:r>
          </w:p>
          <w:p w14:paraId="6636421D" w14:textId="77777777" w:rsidR="00F935B1" w:rsidRPr="000A4491" w:rsidRDefault="00F935B1" w:rsidP="0083602C">
            <w:pPr>
              <w:pStyle w:val="NormalWeb"/>
              <w:spacing w:before="0" w:beforeAutospacing="0" w:after="0"/>
              <w:rPr>
                <w:rFonts w:ascii="Verdana" w:hAnsi="Verdana"/>
                <w:sz w:val="20"/>
              </w:rPr>
            </w:pPr>
          </w:p>
          <w:p w14:paraId="4A934B3F" w14:textId="77777777" w:rsidR="00F935B1" w:rsidRPr="000A4491" w:rsidRDefault="00F935B1" w:rsidP="0083602C">
            <w:pPr>
              <w:rPr>
                <w:rFonts w:ascii="Verdana" w:hAnsi="Verdana"/>
                <w:sz w:val="20"/>
              </w:rPr>
            </w:pPr>
            <w:r w:rsidRPr="000A4491">
              <w:rPr>
                <w:rFonts w:ascii="Verdana" w:hAnsi="Verdana"/>
                <w:sz w:val="20"/>
              </w:rPr>
              <w:t>The following conditions are considered when evaluating whether ineligible functionality is ancillary: (1) a price for the ineligible component cannot be determined separately and independently from the price of the eligible components, and (2) the specific package remains the most cost-effective means of receiving the eligible services, without regard to the value of the ineligible functionality.  In addition, the applicant may not be specifically seeking one or more of the ineligible components.</w:t>
            </w:r>
          </w:p>
          <w:p w14:paraId="0FBA7B45" w14:textId="77777777" w:rsidR="00F935B1" w:rsidRPr="000A4491" w:rsidRDefault="00F935B1" w:rsidP="0083602C">
            <w:pPr>
              <w:rPr>
                <w:rFonts w:ascii="Verdana" w:hAnsi="Verdana"/>
                <w:sz w:val="20"/>
              </w:rPr>
            </w:pPr>
          </w:p>
          <w:p w14:paraId="0017AF35" w14:textId="488350DF" w:rsidR="00F935B1" w:rsidRPr="000A4491" w:rsidRDefault="00F935B1" w:rsidP="0083602C">
            <w:pPr>
              <w:rPr>
                <w:rFonts w:ascii="Verdana" w:hAnsi="Verdana"/>
                <w:sz w:val="20"/>
              </w:rPr>
            </w:pPr>
            <w:r w:rsidRPr="000A4491">
              <w:rPr>
                <w:rFonts w:ascii="Verdana" w:hAnsi="Verdana"/>
                <w:sz w:val="20"/>
              </w:rPr>
              <w:t>Funding requests that include only a single price for components that contain both eligible and ineligible functionality, and fail to meet the requirements for Ancillary Use, are fully ineligible. Therefore, applicants are encouraged to utilize a cost allocation</w:t>
            </w:r>
            <w:r w:rsidRPr="000A4491">
              <w:rPr>
                <w:rFonts w:ascii="Verdana" w:hAnsi="Verdana"/>
                <w:sz w:val="20"/>
              </w:rPr>
              <w:fldChar w:fldCharType="begin"/>
            </w:r>
            <w:r w:rsidRPr="000A4491">
              <w:rPr>
                <w:rFonts w:ascii="Verdana" w:hAnsi="Verdana"/>
                <w:sz w:val="20"/>
              </w:rPr>
              <w:instrText>xe "</w:instrText>
            </w:r>
            <w:r w:rsidRPr="000A4491">
              <w:rPr>
                <w:rFonts w:ascii="Verdana" w:hAnsi="Verdana"/>
                <w:bCs/>
                <w:sz w:val="20"/>
              </w:rPr>
              <w:instrText>Cost Allocation</w:instrText>
            </w:r>
            <w:r w:rsidRPr="000A4491">
              <w:rPr>
                <w:rFonts w:ascii="Verdana" w:hAnsi="Verdana"/>
                <w:sz w:val="20"/>
              </w:rPr>
              <w:instrText>"</w:instrText>
            </w:r>
            <w:r w:rsidRPr="000A4491">
              <w:rPr>
                <w:rFonts w:ascii="Verdana" w:hAnsi="Verdana"/>
                <w:sz w:val="20"/>
              </w:rPr>
              <w:fldChar w:fldCharType="end"/>
            </w:r>
            <w:r w:rsidRPr="000A4491">
              <w:rPr>
                <w:rFonts w:ascii="Verdana" w:hAnsi="Verdana"/>
                <w:sz w:val="20"/>
              </w:rPr>
              <w:t xml:space="preserve"> process to remove ineligible functionality whenever feasible.  For further information, see </w:t>
            </w:r>
            <w:hyperlink r:id="rId40" w:tgtFrame="_CHILD" w:history="1">
              <w:r w:rsidRPr="000A4491">
                <w:rPr>
                  <w:rStyle w:val="Hyperlink"/>
                  <w:rFonts w:ascii="Verdana" w:hAnsi="Verdana"/>
                  <w:sz w:val="20"/>
                </w:rPr>
                <w:t>Cost Allocation Guidelines for Products and Services</w:t>
              </w:r>
            </w:hyperlink>
            <w:r w:rsidRPr="000A4491">
              <w:rPr>
                <w:rFonts w:ascii="Verdana" w:hAnsi="Verdana"/>
                <w:sz w:val="20"/>
              </w:rPr>
              <w:t>.</w:t>
            </w:r>
          </w:p>
        </w:tc>
      </w:tr>
      <w:tr w:rsidR="00F935B1" w:rsidRPr="000A4491" w14:paraId="2D90C5B9" w14:textId="77777777" w:rsidTr="0083602C">
        <w:trPr>
          <w:tblCellSpacing w:w="15" w:type="dxa"/>
        </w:trPr>
        <w:tc>
          <w:tcPr>
            <w:tcW w:w="1391" w:type="pct"/>
          </w:tcPr>
          <w:p w14:paraId="2030C51A" w14:textId="77777777" w:rsidR="00F935B1" w:rsidRPr="000A4491" w:rsidRDefault="00F935B1" w:rsidP="0083602C">
            <w:pPr>
              <w:rPr>
                <w:rFonts w:ascii="Verdana" w:hAnsi="Verdana"/>
                <w:sz w:val="20"/>
              </w:rPr>
            </w:pPr>
            <w:r w:rsidRPr="000A4491">
              <w:rPr>
                <w:rFonts w:ascii="Verdana" w:hAnsi="Verdana"/>
                <w:sz w:val="20"/>
              </w:rPr>
              <w:t>Cost Allocation</w:t>
            </w:r>
            <w:r w:rsidRPr="000A4491">
              <w:rPr>
                <w:rFonts w:ascii="Verdana" w:hAnsi="Verdana"/>
                <w:sz w:val="20"/>
              </w:rPr>
              <w:fldChar w:fldCharType="begin"/>
            </w:r>
            <w:r w:rsidRPr="000A4491">
              <w:rPr>
                <w:rFonts w:ascii="Verdana" w:hAnsi="Verdana"/>
                <w:sz w:val="20"/>
              </w:rPr>
              <w:instrText>xe "Cost Allocation"</w:instrText>
            </w:r>
            <w:r w:rsidRPr="000A4491">
              <w:rPr>
                <w:rFonts w:ascii="Verdana" w:hAnsi="Verdana"/>
                <w:sz w:val="20"/>
              </w:rPr>
              <w:fldChar w:fldCharType="end"/>
            </w:r>
          </w:p>
        </w:tc>
        <w:tc>
          <w:tcPr>
            <w:tcW w:w="3560" w:type="pct"/>
          </w:tcPr>
          <w:p w14:paraId="0A0644F9" w14:textId="6A603E97" w:rsidR="00F935B1" w:rsidRPr="000A4491" w:rsidRDefault="00F935B1" w:rsidP="0083602C">
            <w:pPr>
              <w:pStyle w:val="NormalWeb"/>
              <w:spacing w:before="0" w:beforeAutospacing="0" w:after="0"/>
              <w:rPr>
                <w:rFonts w:ascii="Verdana" w:hAnsi="Verdana"/>
                <w:sz w:val="20"/>
              </w:rPr>
            </w:pPr>
            <w:r w:rsidRPr="000A4491">
              <w:rPr>
                <w:rFonts w:ascii="Verdana" w:hAnsi="Verdana"/>
                <w:sz w:val="20"/>
              </w:rPr>
              <w:t>If a product or service contains both eligible and ineligible features, an applicant may use cost allocation</w:t>
            </w:r>
            <w:r w:rsidRPr="000A4491">
              <w:rPr>
                <w:rFonts w:ascii="Verdana" w:hAnsi="Verdana"/>
                <w:sz w:val="20"/>
              </w:rPr>
              <w:fldChar w:fldCharType="begin"/>
            </w:r>
            <w:r w:rsidRPr="000A4491">
              <w:rPr>
                <w:rFonts w:ascii="Verdana" w:hAnsi="Verdana"/>
                <w:sz w:val="20"/>
              </w:rPr>
              <w:instrText>xe "Cost Allocation"</w:instrText>
            </w:r>
            <w:r w:rsidRPr="000A4491">
              <w:rPr>
                <w:rFonts w:ascii="Verdana" w:hAnsi="Verdana"/>
                <w:sz w:val="20"/>
              </w:rPr>
              <w:fldChar w:fldCharType="end"/>
            </w:r>
            <w:r w:rsidRPr="000A4491">
              <w:rPr>
                <w:rFonts w:ascii="Verdana" w:hAnsi="Verdana"/>
                <w:sz w:val="20"/>
              </w:rPr>
              <w:t xml:space="preserve"> so that partial funding can be provided.  </w:t>
            </w:r>
            <w:r w:rsidRPr="000A4491">
              <w:rPr>
                <w:rFonts w:ascii="Verdana" w:hAnsi="Verdana"/>
                <w:bCs/>
                <w:sz w:val="20"/>
              </w:rPr>
              <w:t xml:space="preserve">Any </w:t>
            </w:r>
            <w:hyperlink w:anchor="xxAddlRefInfoCostAlloc" w:history="1">
              <w:r w:rsidRPr="000A4491">
                <w:rPr>
                  <w:rStyle w:val="Hyperlink"/>
                  <w:rFonts w:ascii="Verdana" w:hAnsi="Verdana"/>
                  <w:bCs/>
                  <w:sz w:val="20"/>
                </w:rPr>
                <w:t>cost allocation</w:t>
              </w:r>
              <w:r w:rsidRPr="000A4491">
                <w:rPr>
                  <w:rFonts w:ascii="Verdana" w:hAnsi="Verdana"/>
                  <w:sz w:val="20"/>
                </w:rPr>
                <w:fldChar w:fldCharType="begin"/>
              </w:r>
              <w:r w:rsidRPr="000A4491">
                <w:rPr>
                  <w:rFonts w:ascii="Verdana" w:hAnsi="Verdana"/>
                  <w:sz w:val="20"/>
                </w:rPr>
                <w:instrText>xe "C</w:instrText>
              </w:r>
              <w:r w:rsidRPr="000A4491">
                <w:rPr>
                  <w:rStyle w:val="Hyperlink"/>
                  <w:rFonts w:ascii="Verdana" w:hAnsi="Verdana"/>
                  <w:bCs/>
                  <w:sz w:val="20"/>
                </w:rPr>
                <w:instrText>ostAllocation</w:instrText>
              </w:r>
              <w:r w:rsidRPr="000A4491">
                <w:rPr>
                  <w:rFonts w:ascii="Verdana" w:hAnsi="Verdana"/>
                  <w:sz w:val="20"/>
                </w:rPr>
                <w:instrText>"</w:instrText>
              </w:r>
              <w:r w:rsidRPr="000A4491">
                <w:rPr>
                  <w:rFonts w:ascii="Verdana" w:hAnsi="Verdana"/>
                  <w:sz w:val="20"/>
                </w:rPr>
                <w:fldChar w:fldCharType="end"/>
              </w:r>
            </w:hyperlink>
            <w:r w:rsidRPr="000A4491">
              <w:rPr>
                <w:rFonts w:ascii="Verdana" w:hAnsi="Verdana"/>
                <w:bCs/>
                <w:sz w:val="20"/>
              </w:rPr>
              <w:t xml:space="preserve"> must be based on tangible information that provides a reasonable and appropriate delineation between the eligible and ineligible components.  </w:t>
            </w:r>
            <w:r w:rsidRPr="000A4491">
              <w:rPr>
                <w:rFonts w:ascii="Verdana" w:hAnsi="Verdana"/>
                <w:sz w:val="20"/>
              </w:rPr>
              <w:t>When no cost allocation</w:t>
            </w:r>
            <w:r w:rsidRPr="000A4491">
              <w:rPr>
                <w:rFonts w:ascii="Verdana" w:hAnsi="Verdana"/>
                <w:sz w:val="20"/>
              </w:rPr>
              <w:fldChar w:fldCharType="begin"/>
            </w:r>
            <w:r w:rsidRPr="000A4491">
              <w:rPr>
                <w:rFonts w:ascii="Verdana" w:hAnsi="Verdana"/>
                <w:sz w:val="20"/>
              </w:rPr>
              <w:instrText>xe "</w:instrText>
            </w:r>
            <w:r w:rsidRPr="000A4491">
              <w:rPr>
                <w:rFonts w:ascii="Verdana" w:hAnsi="Verdana"/>
                <w:bCs/>
                <w:sz w:val="20"/>
              </w:rPr>
              <w:instrText>Cost Allocation</w:instrText>
            </w:r>
            <w:r w:rsidRPr="000A4491">
              <w:rPr>
                <w:rFonts w:ascii="Verdana" w:hAnsi="Verdana"/>
                <w:sz w:val="20"/>
              </w:rPr>
              <w:instrText>"</w:instrText>
            </w:r>
            <w:r w:rsidRPr="000A4491">
              <w:rPr>
                <w:rFonts w:ascii="Verdana" w:hAnsi="Verdana"/>
                <w:sz w:val="20"/>
              </w:rPr>
              <w:fldChar w:fldCharType="end"/>
            </w:r>
            <w:r w:rsidRPr="000A4491">
              <w:rPr>
                <w:rFonts w:ascii="Verdana" w:hAnsi="Verdana"/>
                <w:sz w:val="20"/>
              </w:rPr>
              <w:t xml:space="preserve"> is provided for funding requests that require cost allocation, USAC will contact the applicant to request such cost allocation. See the web document “</w:t>
            </w:r>
            <w:hyperlink r:id="rId41" w:history="1">
              <w:r w:rsidRPr="000A4491">
                <w:rPr>
                  <w:rStyle w:val="Hyperlink"/>
                  <w:rFonts w:ascii="Verdana" w:hAnsi="Verdana"/>
                  <w:sz w:val="20"/>
                </w:rPr>
                <w:t>Cost Allocation</w:t>
              </w:r>
              <w:r w:rsidRPr="000A4491">
                <w:rPr>
                  <w:rFonts w:ascii="Verdana" w:hAnsi="Verdana"/>
                  <w:sz w:val="20"/>
                </w:rPr>
                <w:fldChar w:fldCharType="begin"/>
              </w:r>
              <w:r w:rsidRPr="000A4491">
                <w:rPr>
                  <w:rFonts w:ascii="Verdana" w:hAnsi="Verdana"/>
                  <w:sz w:val="20"/>
                </w:rPr>
                <w:instrText>xe "Cost Allocation"</w:instrText>
              </w:r>
              <w:r w:rsidRPr="000A4491">
                <w:rPr>
                  <w:rFonts w:ascii="Verdana" w:hAnsi="Verdana"/>
                  <w:sz w:val="20"/>
                </w:rPr>
                <w:fldChar w:fldCharType="end"/>
              </w:r>
            </w:hyperlink>
            <w:r w:rsidRPr="000A4491">
              <w:rPr>
                <w:rFonts w:ascii="Verdana" w:hAnsi="Verdana"/>
                <w:sz w:val="20"/>
              </w:rPr>
              <w:t>” for additional information.</w:t>
            </w:r>
          </w:p>
        </w:tc>
      </w:tr>
      <w:tr w:rsidR="00F935B1" w:rsidRPr="000A4491" w14:paraId="768A3093" w14:textId="77777777" w:rsidTr="0083602C">
        <w:trPr>
          <w:tblCellSpacing w:w="15" w:type="dxa"/>
        </w:trPr>
        <w:tc>
          <w:tcPr>
            <w:tcW w:w="1391" w:type="pct"/>
          </w:tcPr>
          <w:p w14:paraId="25FE05B4" w14:textId="77777777" w:rsidR="00F935B1" w:rsidRPr="000A4491" w:rsidRDefault="00F935B1" w:rsidP="0083602C">
            <w:pPr>
              <w:rPr>
                <w:rFonts w:ascii="Verdana" w:hAnsi="Verdana"/>
                <w:sz w:val="20"/>
              </w:rPr>
            </w:pPr>
            <w:r w:rsidRPr="000A4491">
              <w:rPr>
                <w:rFonts w:ascii="Verdana" w:hAnsi="Verdana"/>
                <w:bCs/>
                <w:sz w:val="20"/>
              </w:rPr>
              <w:t xml:space="preserve">Cost Allocation for </w:t>
            </w:r>
            <w:r w:rsidRPr="000A4491">
              <w:rPr>
                <w:rFonts w:ascii="Verdana" w:hAnsi="Verdana"/>
                <w:bCs/>
                <w:sz w:val="20"/>
              </w:rPr>
              <w:lastRenderedPageBreak/>
              <w:t>File Servers</w:t>
            </w:r>
            <w:r w:rsidRPr="000A4491">
              <w:rPr>
                <w:rFonts w:ascii="Verdana" w:hAnsi="Verdana"/>
                <w:sz w:val="20"/>
              </w:rPr>
              <w:fldChar w:fldCharType="begin"/>
            </w:r>
            <w:r w:rsidRPr="000A4491">
              <w:rPr>
                <w:rFonts w:ascii="Verdana" w:hAnsi="Verdana"/>
                <w:sz w:val="20"/>
              </w:rPr>
              <w:instrText>xe "</w:instrText>
            </w:r>
            <w:r w:rsidRPr="000A4491">
              <w:rPr>
                <w:rFonts w:ascii="Verdana" w:hAnsi="Verdana"/>
                <w:bCs/>
                <w:sz w:val="20"/>
              </w:rPr>
              <w:instrText>File Servers</w:instrText>
            </w:r>
            <w:r w:rsidRPr="000A4491">
              <w:rPr>
                <w:rFonts w:ascii="Verdana" w:hAnsi="Verdana"/>
                <w:sz w:val="20"/>
              </w:rPr>
              <w:instrText>"</w:instrText>
            </w:r>
            <w:r w:rsidRPr="000A4491">
              <w:rPr>
                <w:rFonts w:ascii="Verdana" w:hAnsi="Verdana"/>
                <w:sz w:val="20"/>
              </w:rPr>
              <w:fldChar w:fldCharType="end"/>
            </w:r>
          </w:p>
        </w:tc>
        <w:tc>
          <w:tcPr>
            <w:tcW w:w="3560" w:type="pct"/>
          </w:tcPr>
          <w:p w14:paraId="1D2D8669" w14:textId="7F423B76" w:rsidR="00F935B1" w:rsidRPr="000A4491" w:rsidRDefault="00F935B1" w:rsidP="0083602C">
            <w:pPr>
              <w:pStyle w:val="NormalWeb"/>
              <w:spacing w:before="0" w:beforeAutospacing="0" w:after="0"/>
              <w:rPr>
                <w:rFonts w:ascii="Verdana" w:hAnsi="Verdana"/>
                <w:sz w:val="20"/>
              </w:rPr>
            </w:pPr>
            <w:r w:rsidRPr="000A4491">
              <w:rPr>
                <w:rFonts w:ascii="Verdana" w:hAnsi="Verdana"/>
                <w:sz w:val="20"/>
              </w:rPr>
              <w:lastRenderedPageBreak/>
              <w:t xml:space="preserve">File servers and other components can be used </w:t>
            </w:r>
            <w:r w:rsidRPr="000A4491">
              <w:rPr>
                <w:rFonts w:ascii="Verdana" w:hAnsi="Verdana"/>
                <w:sz w:val="20"/>
              </w:rPr>
              <w:lastRenderedPageBreak/>
              <w:t>simultaneously for multiple purposes, some of which are eligible and some not eligible. Cost allocation is required to remove any ineligible functionality from funding requests.  However, the exact usage of a file server or other product with multiple uses may be difficult to determine before the product is installed and utilized. A simplified method of cost allocation</w:t>
            </w:r>
            <w:r w:rsidRPr="000A4491">
              <w:rPr>
                <w:rFonts w:ascii="Verdana" w:hAnsi="Verdana"/>
                <w:sz w:val="20"/>
              </w:rPr>
              <w:fldChar w:fldCharType="begin"/>
            </w:r>
            <w:r w:rsidRPr="000A4491">
              <w:rPr>
                <w:rFonts w:ascii="Verdana" w:hAnsi="Verdana"/>
                <w:sz w:val="20"/>
              </w:rPr>
              <w:instrText>xe "</w:instrText>
            </w:r>
            <w:r w:rsidRPr="000A4491">
              <w:rPr>
                <w:rFonts w:ascii="Verdana" w:hAnsi="Verdana"/>
                <w:bCs/>
                <w:sz w:val="20"/>
              </w:rPr>
              <w:instrText>Cost Allocation</w:instrText>
            </w:r>
            <w:r w:rsidRPr="000A4491">
              <w:rPr>
                <w:rFonts w:ascii="Verdana" w:hAnsi="Verdana"/>
                <w:sz w:val="20"/>
              </w:rPr>
              <w:instrText>"</w:instrText>
            </w:r>
            <w:r w:rsidRPr="000A4491">
              <w:rPr>
                <w:rFonts w:ascii="Verdana" w:hAnsi="Verdana"/>
                <w:sz w:val="20"/>
              </w:rPr>
              <w:fldChar w:fldCharType="end"/>
            </w:r>
            <w:r w:rsidRPr="000A4491">
              <w:rPr>
                <w:rFonts w:ascii="Verdana" w:hAnsi="Verdana"/>
                <w:sz w:val="20"/>
              </w:rPr>
              <w:t xml:space="preserve"> is available to accommodate this situation.  It is based on a simple averaging process of the different functions of the product and is described more fully in the web document “</w:t>
            </w:r>
            <w:hyperlink r:id="rId42" w:history="1">
              <w:r w:rsidRPr="000A4491">
                <w:rPr>
                  <w:rStyle w:val="Hyperlink"/>
                  <w:rFonts w:ascii="Verdana" w:hAnsi="Verdana"/>
                  <w:sz w:val="20"/>
                </w:rPr>
                <w:t>Cost Allocation</w:t>
              </w:r>
              <w:r w:rsidRPr="000A4491">
                <w:rPr>
                  <w:rFonts w:ascii="Verdana" w:hAnsi="Verdana"/>
                  <w:sz w:val="20"/>
                </w:rPr>
                <w:fldChar w:fldCharType="begin"/>
              </w:r>
              <w:r w:rsidRPr="000A4491">
                <w:rPr>
                  <w:rFonts w:ascii="Verdana" w:hAnsi="Verdana"/>
                  <w:sz w:val="20"/>
                </w:rPr>
                <w:instrText>xe "Cost Allocation"</w:instrText>
              </w:r>
              <w:r w:rsidRPr="000A4491">
                <w:rPr>
                  <w:rFonts w:ascii="Verdana" w:hAnsi="Verdana"/>
                  <w:sz w:val="20"/>
                </w:rPr>
                <w:fldChar w:fldCharType="end"/>
              </w:r>
            </w:hyperlink>
            <w:r w:rsidRPr="000A4491">
              <w:rPr>
                <w:rFonts w:ascii="Verdana" w:hAnsi="Verdana"/>
                <w:sz w:val="20"/>
              </w:rPr>
              <w:t>.”</w:t>
            </w:r>
          </w:p>
        </w:tc>
      </w:tr>
      <w:tr w:rsidR="00F935B1" w:rsidRPr="000A4491" w14:paraId="2010686E" w14:textId="77777777" w:rsidTr="0083602C">
        <w:trPr>
          <w:tblCellSpacing w:w="15" w:type="dxa"/>
        </w:trPr>
        <w:tc>
          <w:tcPr>
            <w:tcW w:w="1391" w:type="pct"/>
          </w:tcPr>
          <w:p w14:paraId="2E766DB7" w14:textId="77777777" w:rsidR="00F935B1" w:rsidRPr="000A4491" w:rsidRDefault="00F935B1" w:rsidP="0083602C">
            <w:pPr>
              <w:rPr>
                <w:rFonts w:ascii="Verdana" w:hAnsi="Verdana"/>
                <w:sz w:val="20"/>
              </w:rPr>
            </w:pPr>
            <w:r w:rsidRPr="000A4491">
              <w:rPr>
                <w:rFonts w:ascii="Verdana" w:hAnsi="Verdana"/>
                <w:sz w:val="20"/>
              </w:rPr>
              <w:lastRenderedPageBreak/>
              <w:t>Eligible Users and Locations</w:t>
            </w:r>
            <w:r w:rsidRPr="000A4491">
              <w:rPr>
                <w:rFonts w:ascii="Verdana" w:hAnsi="Verdana"/>
                <w:sz w:val="20"/>
              </w:rPr>
              <w:fldChar w:fldCharType="begin"/>
            </w:r>
            <w:r w:rsidRPr="000A4491">
              <w:rPr>
                <w:rFonts w:ascii="Verdana" w:hAnsi="Verdana"/>
                <w:sz w:val="20"/>
              </w:rPr>
              <w:instrText>xe "Eligible Users and Locations"</w:instrText>
            </w:r>
            <w:r w:rsidRPr="000A4491">
              <w:rPr>
                <w:rFonts w:ascii="Verdana" w:hAnsi="Verdana"/>
                <w:sz w:val="20"/>
              </w:rPr>
              <w:fldChar w:fldCharType="end"/>
            </w:r>
          </w:p>
        </w:tc>
        <w:tc>
          <w:tcPr>
            <w:tcW w:w="3560" w:type="pct"/>
          </w:tcPr>
          <w:p w14:paraId="105BD821" w14:textId="77777777" w:rsidR="00F935B1" w:rsidRPr="000A4491" w:rsidRDefault="00F935B1" w:rsidP="0083602C">
            <w:pPr>
              <w:pStyle w:val="NormalWeb"/>
              <w:spacing w:before="120" w:beforeAutospacing="0" w:after="120"/>
              <w:rPr>
                <w:rFonts w:ascii="Verdana" w:hAnsi="Verdana"/>
                <w:sz w:val="20"/>
              </w:rPr>
            </w:pPr>
            <w:r w:rsidRPr="000A4491">
              <w:rPr>
                <w:rFonts w:ascii="Verdana" w:hAnsi="Verdana"/>
                <w:b/>
                <w:i/>
                <w:sz w:val="20"/>
                <w:u w:val="single"/>
              </w:rPr>
              <w:t>Educational purposes</w:t>
            </w:r>
            <w:r w:rsidRPr="000A4491">
              <w:rPr>
                <w:rFonts w:ascii="Verdana" w:hAnsi="Verdana"/>
                <w:b/>
                <w:i/>
                <w:sz w:val="20"/>
              </w:rPr>
              <w:t xml:space="preserve">.  </w:t>
            </w:r>
            <w:r w:rsidRPr="000A4491">
              <w:rPr>
                <w:rFonts w:ascii="Verdana" w:hAnsi="Verdana"/>
                <w:sz w:val="20"/>
              </w:rPr>
              <w:t xml:space="preserve">E-rate support may be provided only for eligible products or services that will be used primarily for educational purposes.  Activities that are integral, immediate, and proximate to the education of students or the provision of library services to patrons, qualify as “educational purposes.”  The presumption is that activities on school or library property meet this standard. </w:t>
            </w:r>
          </w:p>
          <w:p w14:paraId="2E7F2AE1" w14:textId="77777777" w:rsidR="00F935B1" w:rsidRPr="000A4491" w:rsidRDefault="00F935B1" w:rsidP="0083602C">
            <w:pPr>
              <w:pStyle w:val="NormalWeb"/>
              <w:spacing w:before="120" w:beforeAutospacing="0" w:after="120"/>
              <w:rPr>
                <w:rFonts w:ascii="Verdana" w:hAnsi="Verdana"/>
                <w:sz w:val="20"/>
              </w:rPr>
            </w:pPr>
            <w:r w:rsidRPr="000A4491">
              <w:rPr>
                <w:rFonts w:ascii="Verdana" w:hAnsi="Verdana"/>
                <w:bCs/>
                <w:sz w:val="20"/>
              </w:rPr>
              <w:t>Residential schools</w:t>
            </w:r>
            <w:r w:rsidRPr="000A4491">
              <w:rPr>
                <w:rFonts w:ascii="Verdana" w:hAnsi="Verdana"/>
                <w:sz w:val="20"/>
              </w:rPr>
              <w:fldChar w:fldCharType="begin"/>
            </w:r>
            <w:r w:rsidRPr="000A4491">
              <w:rPr>
                <w:rFonts w:ascii="Verdana" w:hAnsi="Verdana"/>
                <w:sz w:val="20"/>
              </w:rPr>
              <w:instrText>xe "</w:instrText>
            </w:r>
            <w:r w:rsidRPr="000A4491">
              <w:rPr>
                <w:rFonts w:ascii="Verdana" w:hAnsi="Verdana"/>
                <w:bCs/>
                <w:sz w:val="20"/>
              </w:rPr>
              <w:instrText>Residential Schools</w:instrText>
            </w:r>
            <w:r w:rsidRPr="000A4491">
              <w:rPr>
                <w:rFonts w:ascii="Verdana" w:hAnsi="Verdana"/>
                <w:sz w:val="20"/>
              </w:rPr>
              <w:instrText>"</w:instrText>
            </w:r>
            <w:r w:rsidRPr="000A4491">
              <w:rPr>
                <w:rFonts w:ascii="Verdana" w:hAnsi="Verdana"/>
                <w:sz w:val="20"/>
              </w:rPr>
              <w:fldChar w:fldCharType="end"/>
            </w:r>
            <w:r w:rsidRPr="000A4491">
              <w:rPr>
                <w:rFonts w:ascii="Verdana" w:hAnsi="Verdana"/>
                <w:bCs/>
                <w:sz w:val="20"/>
              </w:rPr>
              <w:t xml:space="preserve"> that serve students with special circumstances – schools on Tribal lands; schools designated to serve students with medical needs; schools designed to serve students with physical, cognitive or behavioral disabilities; and schools where 35 percent or more of their students are eligible for the National School Lunch Program (NSLP) – are eligible for support.  Some services outside of a school or library location may also be eligible for discount in certain cases, such as use by teachers or other school staff while accompanying students on a field trip or sporting event.</w:t>
            </w:r>
          </w:p>
          <w:p w14:paraId="5F9CB8C0" w14:textId="77777777" w:rsidR="00F935B1" w:rsidRPr="000A4491" w:rsidRDefault="00F935B1" w:rsidP="0083602C">
            <w:pPr>
              <w:pStyle w:val="NormalWeb"/>
              <w:spacing w:before="120" w:beforeAutospacing="0" w:after="120"/>
              <w:rPr>
                <w:rFonts w:ascii="Verdana" w:hAnsi="Verdana"/>
                <w:sz w:val="20"/>
              </w:rPr>
            </w:pPr>
            <w:r w:rsidRPr="000A4491">
              <w:rPr>
                <w:rFonts w:ascii="Verdana" w:hAnsi="Verdana"/>
                <w:sz w:val="20"/>
              </w:rPr>
              <w:t xml:space="preserve">The term “school or library property” includes a district office or similar facility, but does not include businesses or organizations separate from a school or library organization.  For example, the facilities of a business that has contracted with a school to provide bus service do not constitute a location eligible for E-rate support. </w:t>
            </w:r>
          </w:p>
          <w:p w14:paraId="1A6894BD" w14:textId="45029709" w:rsidR="00F935B1" w:rsidRPr="000A4491" w:rsidRDefault="00F935B1" w:rsidP="0083602C">
            <w:pPr>
              <w:pStyle w:val="NormalWeb"/>
              <w:spacing w:before="0" w:beforeAutospacing="0" w:after="0"/>
              <w:rPr>
                <w:rFonts w:ascii="Verdana" w:hAnsi="Verdana"/>
                <w:sz w:val="20"/>
              </w:rPr>
            </w:pPr>
            <w:r w:rsidRPr="000A4491">
              <w:rPr>
                <w:rFonts w:ascii="Verdana" w:hAnsi="Verdana"/>
                <w:sz w:val="20"/>
              </w:rPr>
              <w:t>Employees of a school or library with a normal duty station at an eligible location are eligible users.  Employees of a non-school or non-library activity, even if located on school or library property, such as a state government office with responsibilities other than education or library services (</w:t>
            </w:r>
            <w:r w:rsidR="00C06B21" w:rsidRPr="00C06B21">
              <w:rPr>
                <w:rFonts w:ascii="Verdana" w:hAnsi="Verdana"/>
                <w:i/>
                <w:sz w:val="20"/>
              </w:rPr>
              <w:t>e.g.</w:t>
            </w:r>
            <w:r w:rsidRPr="000A4491">
              <w:rPr>
                <w:rFonts w:ascii="Verdana" w:hAnsi="Verdana"/>
                <w:sz w:val="20"/>
              </w:rPr>
              <w:t>, a division of motor vehicles), are not eligible users.</w:t>
            </w:r>
          </w:p>
          <w:p w14:paraId="391EDB38" w14:textId="77777777" w:rsidR="00F935B1" w:rsidRPr="000A4491" w:rsidRDefault="00F935B1" w:rsidP="0083602C">
            <w:pPr>
              <w:pStyle w:val="NormalWeb"/>
              <w:spacing w:before="0" w:beforeAutospacing="0" w:after="0"/>
              <w:rPr>
                <w:rFonts w:ascii="Verdana" w:hAnsi="Verdana"/>
                <w:sz w:val="20"/>
              </w:rPr>
            </w:pPr>
          </w:p>
          <w:p w14:paraId="6FCCD4E6" w14:textId="77777777" w:rsidR="00F935B1" w:rsidRPr="000A4491" w:rsidRDefault="00F935B1" w:rsidP="0083602C">
            <w:pPr>
              <w:pStyle w:val="NormalWeb"/>
              <w:spacing w:before="0" w:beforeAutospacing="0" w:after="0"/>
              <w:ind w:left="720"/>
              <w:rPr>
                <w:rFonts w:ascii="Verdana" w:hAnsi="Verdana"/>
                <w:bCs/>
                <w:sz w:val="20"/>
              </w:rPr>
            </w:pPr>
          </w:p>
        </w:tc>
      </w:tr>
      <w:tr w:rsidR="00F935B1" w:rsidRPr="000A4491" w14:paraId="6954C58B" w14:textId="77777777" w:rsidTr="0083602C">
        <w:trPr>
          <w:tblCellSpacing w:w="15" w:type="dxa"/>
        </w:trPr>
        <w:tc>
          <w:tcPr>
            <w:tcW w:w="1391" w:type="pct"/>
          </w:tcPr>
          <w:p w14:paraId="3082F497" w14:textId="77777777" w:rsidR="00F935B1" w:rsidRPr="000A4491" w:rsidRDefault="00F935B1" w:rsidP="0083602C">
            <w:pPr>
              <w:rPr>
                <w:rFonts w:ascii="Verdana" w:hAnsi="Verdana"/>
                <w:sz w:val="20"/>
              </w:rPr>
            </w:pPr>
            <w:r w:rsidRPr="000A4491">
              <w:rPr>
                <w:rFonts w:ascii="Verdana" w:hAnsi="Verdana"/>
                <w:sz w:val="20"/>
              </w:rPr>
              <w:t>Special Regulatory</w:t>
            </w:r>
          </w:p>
          <w:p w14:paraId="2AEE1A46" w14:textId="77777777" w:rsidR="00F935B1" w:rsidRPr="000A4491" w:rsidRDefault="00F935B1" w:rsidP="0083602C">
            <w:pPr>
              <w:rPr>
                <w:rFonts w:ascii="Verdana" w:hAnsi="Verdana"/>
                <w:bCs/>
                <w:sz w:val="20"/>
              </w:rPr>
            </w:pPr>
            <w:r w:rsidRPr="000A4491">
              <w:rPr>
                <w:rFonts w:ascii="Verdana" w:hAnsi="Verdana"/>
                <w:sz w:val="20"/>
              </w:rPr>
              <w:t>Requirements</w:t>
            </w:r>
            <w:r w:rsidRPr="000A4491">
              <w:rPr>
                <w:rFonts w:ascii="Verdana" w:hAnsi="Verdana"/>
                <w:sz w:val="20"/>
                <w:u w:val="single"/>
              </w:rPr>
              <w:t xml:space="preserve"> </w:t>
            </w:r>
          </w:p>
        </w:tc>
        <w:tc>
          <w:tcPr>
            <w:tcW w:w="3560" w:type="pct"/>
          </w:tcPr>
          <w:p w14:paraId="0B72CBF8" w14:textId="77777777" w:rsidR="00F935B1" w:rsidRPr="000A4491" w:rsidRDefault="00F935B1" w:rsidP="0083602C">
            <w:pPr>
              <w:pStyle w:val="NormalWeb"/>
              <w:spacing w:before="120" w:beforeAutospacing="0" w:after="120"/>
              <w:rPr>
                <w:rFonts w:ascii="Verdana" w:hAnsi="Verdana"/>
                <w:sz w:val="20"/>
              </w:rPr>
            </w:pPr>
            <w:r w:rsidRPr="000A4491">
              <w:rPr>
                <w:rFonts w:ascii="Verdana" w:hAnsi="Verdana"/>
                <w:b/>
                <w:sz w:val="20"/>
              </w:rPr>
              <w:t>Telecommunications Services:</w:t>
            </w:r>
            <w:r w:rsidRPr="000A4491">
              <w:rPr>
                <w:rFonts w:ascii="Verdana" w:hAnsi="Verdana"/>
                <w:sz w:val="20"/>
              </w:rPr>
              <w:t xml:space="preserve">  If the applicant seeks a telecommunications service, support will be available only if the telecommunications service is provided by a telecommunications carrier, that is, a company that offers </w:t>
            </w:r>
            <w:r w:rsidRPr="000A4491">
              <w:rPr>
                <w:rFonts w:ascii="Verdana" w:hAnsi="Verdana"/>
                <w:sz w:val="20"/>
              </w:rPr>
              <w:lastRenderedPageBreak/>
              <w:t>telecommunications services</w:t>
            </w:r>
            <w:r w:rsidRPr="000A4491">
              <w:rPr>
                <w:rFonts w:ascii="Verdana" w:hAnsi="Verdana"/>
                <w:sz w:val="20"/>
              </w:rPr>
              <w:fldChar w:fldCharType="begin"/>
            </w:r>
            <w:r w:rsidRPr="000A4491">
              <w:rPr>
                <w:rFonts w:ascii="Verdana" w:hAnsi="Verdana"/>
                <w:sz w:val="20"/>
              </w:rPr>
              <w:instrText>xe "Telecommunications Services"</w:instrText>
            </w:r>
            <w:r w:rsidRPr="000A4491">
              <w:rPr>
                <w:rFonts w:ascii="Verdana" w:hAnsi="Verdana"/>
                <w:sz w:val="20"/>
              </w:rPr>
              <w:fldChar w:fldCharType="end"/>
            </w:r>
            <w:r w:rsidRPr="000A4491">
              <w:rPr>
                <w:rFonts w:ascii="Verdana" w:hAnsi="Verdana"/>
                <w:sz w:val="20"/>
              </w:rPr>
              <w:t xml:space="preserve"> on a common carriage basis.  A telecommunications service is “the offering of telecommunications for a fee directly to the public, or to such classes of users as to be effectively available directly to the public….”  All telecommunications carriers must be common carriers and are required by the Commission to file FCC Form 499A (</w:t>
            </w:r>
            <w:r w:rsidRPr="000A4491">
              <w:rPr>
                <w:rFonts w:ascii="Verdana" w:hAnsi="Verdana"/>
                <w:i/>
                <w:sz w:val="20"/>
              </w:rPr>
              <w:t>Telecommunications Reporting Worksheet</w:t>
            </w:r>
            <w:r w:rsidRPr="000A4491">
              <w:rPr>
                <w:rFonts w:ascii="Verdana" w:hAnsi="Verdana"/>
                <w:sz w:val="20"/>
              </w:rPr>
              <w:t xml:space="preserve">).  Supported telecommunications services provided by telecommunications carriers include all commercially available telecommunications services.  </w:t>
            </w:r>
          </w:p>
          <w:p w14:paraId="4E07A915" w14:textId="77777777" w:rsidR="00F935B1" w:rsidRPr="000A4491" w:rsidRDefault="00F935B1" w:rsidP="0083602C">
            <w:pPr>
              <w:pStyle w:val="NormalWeb"/>
              <w:spacing w:before="120" w:beforeAutospacing="0" w:after="120"/>
              <w:rPr>
                <w:rFonts w:ascii="Verdana" w:hAnsi="Verdana"/>
                <w:sz w:val="20"/>
              </w:rPr>
            </w:pPr>
          </w:p>
          <w:p w14:paraId="16EE691E" w14:textId="77777777" w:rsidR="00F935B1" w:rsidRPr="000A4491" w:rsidRDefault="00F935B1" w:rsidP="0083602C">
            <w:pPr>
              <w:pStyle w:val="NormalWeb"/>
              <w:spacing w:before="120" w:beforeAutospacing="0" w:after="120"/>
              <w:rPr>
                <w:rFonts w:ascii="Verdana" w:hAnsi="Verdana"/>
                <w:sz w:val="20"/>
              </w:rPr>
            </w:pPr>
            <w:r w:rsidRPr="000A4491">
              <w:rPr>
                <w:rFonts w:ascii="Verdana" w:hAnsi="Verdana"/>
                <w:b/>
                <w:sz w:val="20"/>
                <w:u w:val="single"/>
              </w:rPr>
              <w:t>Telecommunications:</w:t>
            </w:r>
            <w:r w:rsidRPr="000A4491">
              <w:rPr>
                <w:rFonts w:ascii="Verdana" w:hAnsi="Verdana"/>
                <w:sz w:val="20"/>
              </w:rPr>
              <w:t xml:space="preserve">  Supported telecommunications can be provided in whole or in part via lit or dark fiber</w:t>
            </w:r>
            <w:r w:rsidRPr="000A4491">
              <w:rPr>
                <w:rFonts w:ascii="Verdana" w:hAnsi="Verdana"/>
                <w:sz w:val="20"/>
              </w:rPr>
              <w:fldChar w:fldCharType="begin"/>
            </w:r>
            <w:r w:rsidRPr="000A4491">
              <w:rPr>
                <w:rFonts w:ascii="Verdana" w:hAnsi="Verdana"/>
                <w:sz w:val="20"/>
              </w:rPr>
              <w:instrText>xe "Fiber"</w:instrText>
            </w:r>
            <w:r w:rsidRPr="000A4491">
              <w:rPr>
                <w:rFonts w:ascii="Verdana" w:hAnsi="Verdana"/>
                <w:sz w:val="20"/>
              </w:rPr>
              <w:fldChar w:fldCharType="end"/>
            </w:r>
            <w:r w:rsidRPr="000A4491">
              <w:rPr>
                <w:rFonts w:ascii="Verdana" w:hAnsi="Verdana"/>
                <w:sz w:val="20"/>
              </w:rPr>
              <w:t xml:space="preserve"> by any entity, including non- telecommunications carriers.  Telecommunications</w:t>
            </w:r>
            <w:r w:rsidRPr="000A4491">
              <w:rPr>
                <w:rFonts w:ascii="Verdana" w:hAnsi="Verdana"/>
                <w:sz w:val="20"/>
              </w:rPr>
              <w:fldChar w:fldCharType="begin"/>
            </w:r>
            <w:r w:rsidRPr="000A4491">
              <w:rPr>
                <w:rFonts w:ascii="Verdana" w:hAnsi="Verdana"/>
                <w:sz w:val="20"/>
              </w:rPr>
              <w:instrText>xe "</w:instrText>
            </w:r>
            <w:r w:rsidRPr="000A4491">
              <w:rPr>
                <w:rStyle w:val="Hyperlink"/>
                <w:rFonts w:ascii="Verdana" w:hAnsi="Verdana"/>
                <w:sz w:val="20"/>
              </w:rPr>
              <w:instrText>Telecommunications</w:instrText>
            </w:r>
            <w:r w:rsidRPr="000A4491">
              <w:rPr>
                <w:rFonts w:ascii="Verdana" w:hAnsi="Verdana"/>
                <w:sz w:val="20"/>
              </w:rPr>
              <w:instrText>"</w:instrText>
            </w:r>
            <w:r w:rsidRPr="000A4491">
              <w:rPr>
                <w:rFonts w:ascii="Verdana" w:hAnsi="Verdana"/>
                <w:sz w:val="20"/>
              </w:rPr>
              <w:fldChar w:fldCharType="end"/>
            </w:r>
            <w:r w:rsidRPr="000A4491">
              <w:rPr>
                <w:rFonts w:ascii="Verdana" w:hAnsi="Verdana"/>
                <w:sz w:val="20"/>
              </w:rPr>
              <w:t xml:space="preserve"> is defined as “the transmission, between or among points specified by the user, of information of the user’s choosing, without change in the form or content</w:t>
            </w:r>
            <w:r w:rsidRPr="000A4491">
              <w:rPr>
                <w:rFonts w:ascii="Verdana" w:hAnsi="Verdana"/>
                <w:sz w:val="20"/>
              </w:rPr>
              <w:fldChar w:fldCharType="begin"/>
            </w:r>
            <w:r w:rsidRPr="000A4491">
              <w:rPr>
                <w:rFonts w:ascii="Verdana" w:hAnsi="Verdana"/>
                <w:sz w:val="20"/>
              </w:rPr>
              <w:instrText>xe "Content"</w:instrText>
            </w:r>
            <w:r w:rsidRPr="000A4491">
              <w:rPr>
                <w:rFonts w:ascii="Verdana" w:hAnsi="Verdana"/>
                <w:sz w:val="20"/>
              </w:rPr>
              <w:fldChar w:fldCharType="end"/>
            </w:r>
            <w:r w:rsidRPr="000A4491">
              <w:rPr>
                <w:rFonts w:ascii="Verdana" w:hAnsi="Verdana"/>
                <w:sz w:val="20"/>
              </w:rPr>
              <w:t xml:space="preserve"> of the information as sent and received.”  </w:t>
            </w:r>
          </w:p>
          <w:p w14:paraId="5343593F" w14:textId="77777777" w:rsidR="00F935B1" w:rsidRPr="000A4491" w:rsidRDefault="00F935B1" w:rsidP="0083602C">
            <w:pPr>
              <w:pStyle w:val="NormalWeb"/>
              <w:spacing w:before="120" w:beforeAutospacing="0" w:after="120"/>
              <w:rPr>
                <w:rFonts w:ascii="Verdana" w:hAnsi="Verdana"/>
                <w:sz w:val="20"/>
              </w:rPr>
            </w:pPr>
          </w:p>
          <w:p w14:paraId="59C3AC50" w14:textId="77777777" w:rsidR="00F935B1" w:rsidRPr="000A4491" w:rsidRDefault="00F935B1" w:rsidP="0083602C">
            <w:pPr>
              <w:pStyle w:val="NormalWeb"/>
              <w:spacing w:before="120" w:beforeAutospacing="0" w:after="120"/>
              <w:rPr>
                <w:rFonts w:ascii="Verdana" w:hAnsi="Verdana"/>
                <w:sz w:val="20"/>
              </w:rPr>
            </w:pPr>
            <w:r w:rsidRPr="000A4491">
              <w:rPr>
                <w:rFonts w:ascii="Verdana" w:hAnsi="Verdana"/>
                <w:b/>
                <w:sz w:val="20"/>
                <w:u w:val="single"/>
              </w:rPr>
              <w:t>Internet access.</w:t>
            </w:r>
            <w:r w:rsidRPr="000A4491">
              <w:rPr>
                <w:rFonts w:ascii="Verdana" w:hAnsi="Verdana"/>
                <w:b/>
                <w:sz w:val="20"/>
              </w:rPr>
              <w:t xml:space="preserve">  </w:t>
            </w:r>
            <w:r w:rsidRPr="000A4491">
              <w:rPr>
                <w:rFonts w:ascii="Verdana" w:hAnsi="Verdana"/>
                <w:sz w:val="20"/>
              </w:rPr>
              <w:t>If the applicant seeks Internet access, support will generally be available only for basic conduit</w:t>
            </w:r>
            <w:r w:rsidRPr="000A4491">
              <w:rPr>
                <w:rFonts w:ascii="Verdana" w:hAnsi="Verdana"/>
                <w:sz w:val="20"/>
              </w:rPr>
              <w:fldChar w:fldCharType="begin"/>
            </w:r>
            <w:r w:rsidRPr="000A4491">
              <w:rPr>
                <w:rFonts w:ascii="Verdana" w:hAnsi="Verdana"/>
                <w:sz w:val="20"/>
              </w:rPr>
              <w:instrText>xe "BasicConduit"</w:instrText>
            </w:r>
            <w:r w:rsidRPr="000A4491">
              <w:rPr>
                <w:rFonts w:ascii="Verdana" w:hAnsi="Verdana"/>
                <w:sz w:val="20"/>
              </w:rPr>
              <w:fldChar w:fldCharType="end"/>
            </w:r>
            <w:r w:rsidRPr="000A4491">
              <w:rPr>
                <w:rFonts w:ascii="Verdana" w:hAnsi="Verdana"/>
                <w:sz w:val="20"/>
              </w:rPr>
              <w:t xml:space="preserve"> access to the Internet.  “Internet access” is defined in section 54.5 of the Commission’s rules.  Some Internet Access</w:t>
            </w:r>
            <w:r w:rsidRPr="000A4491">
              <w:rPr>
                <w:rFonts w:ascii="Verdana" w:hAnsi="Verdana"/>
                <w:sz w:val="20"/>
              </w:rPr>
              <w:fldChar w:fldCharType="begin"/>
            </w:r>
            <w:r w:rsidRPr="000A4491">
              <w:rPr>
                <w:rFonts w:ascii="Verdana" w:hAnsi="Verdana"/>
                <w:sz w:val="20"/>
              </w:rPr>
              <w:instrText>xe "</w:instrText>
            </w:r>
            <w:r w:rsidRPr="000A4491">
              <w:rPr>
                <w:rStyle w:val="Hyperlink"/>
                <w:rFonts w:ascii="Verdana" w:hAnsi="Verdana"/>
                <w:sz w:val="20"/>
              </w:rPr>
              <w:instrText>Internet Access</w:instrText>
            </w:r>
            <w:r w:rsidRPr="000A4491">
              <w:rPr>
                <w:rFonts w:ascii="Verdana" w:hAnsi="Verdana"/>
                <w:sz w:val="20"/>
              </w:rPr>
              <w:instrText>"</w:instrText>
            </w:r>
            <w:r w:rsidRPr="000A4491">
              <w:rPr>
                <w:rFonts w:ascii="Verdana" w:hAnsi="Verdana"/>
                <w:sz w:val="20"/>
              </w:rPr>
              <w:fldChar w:fldCharType="end"/>
            </w:r>
            <w:r w:rsidRPr="000A4491">
              <w:rPr>
                <w:rFonts w:ascii="Verdana" w:hAnsi="Verdana"/>
                <w:sz w:val="20"/>
              </w:rPr>
              <w:t xml:space="preserve"> services may include features that are not themselves eligible, such as specialized content, caching services, and/or filtering services.  In general, funding requests that provide only a single price for a product or service that contains both eligible and ineligible functionality are fully ineligible.  However, cost allocation</w:t>
            </w:r>
            <w:r w:rsidRPr="000A4491">
              <w:rPr>
                <w:rFonts w:ascii="Verdana" w:hAnsi="Verdana"/>
                <w:sz w:val="20"/>
              </w:rPr>
              <w:fldChar w:fldCharType="begin"/>
            </w:r>
            <w:r w:rsidRPr="000A4491">
              <w:rPr>
                <w:rFonts w:ascii="Verdana" w:hAnsi="Verdana"/>
                <w:sz w:val="20"/>
              </w:rPr>
              <w:instrText>xe "</w:instrText>
            </w:r>
            <w:r w:rsidRPr="000A4491">
              <w:rPr>
                <w:rFonts w:ascii="Verdana" w:hAnsi="Verdana"/>
                <w:bCs/>
                <w:sz w:val="20"/>
              </w:rPr>
              <w:instrText>Cost Allocation</w:instrText>
            </w:r>
            <w:r w:rsidRPr="000A4491">
              <w:rPr>
                <w:rFonts w:ascii="Verdana" w:hAnsi="Verdana"/>
                <w:sz w:val="20"/>
              </w:rPr>
              <w:instrText>"</w:instrText>
            </w:r>
            <w:r w:rsidRPr="000A4491">
              <w:rPr>
                <w:rFonts w:ascii="Verdana" w:hAnsi="Verdana"/>
                <w:sz w:val="20"/>
              </w:rPr>
              <w:fldChar w:fldCharType="end"/>
            </w:r>
            <w:r w:rsidRPr="000A4491">
              <w:rPr>
                <w:rFonts w:ascii="Verdana" w:hAnsi="Verdana"/>
                <w:sz w:val="20"/>
              </w:rPr>
              <w:t xml:space="preserve"> may be used to provide separate pricing for the eligible and ineligible components. </w:t>
            </w:r>
          </w:p>
          <w:p w14:paraId="42B65E84" w14:textId="77777777" w:rsidR="00F935B1" w:rsidRPr="000A4491" w:rsidRDefault="00F935B1" w:rsidP="0083602C">
            <w:pPr>
              <w:pStyle w:val="NormalWeb"/>
              <w:spacing w:before="120" w:beforeAutospacing="0" w:after="120"/>
              <w:rPr>
                <w:rFonts w:ascii="Verdana" w:hAnsi="Verdana"/>
                <w:sz w:val="20"/>
              </w:rPr>
            </w:pPr>
          </w:p>
        </w:tc>
      </w:tr>
      <w:tr w:rsidR="00F935B1" w:rsidRPr="000A4491" w14:paraId="6E4B548E" w14:textId="77777777" w:rsidTr="0083602C">
        <w:trPr>
          <w:tblCellSpacing w:w="15" w:type="dxa"/>
        </w:trPr>
        <w:tc>
          <w:tcPr>
            <w:tcW w:w="1391" w:type="pct"/>
          </w:tcPr>
          <w:p w14:paraId="742B4C4B" w14:textId="77777777" w:rsidR="00F935B1" w:rsidRPr="000A4491" w:rsidRDefault="00F935B1" w:rsidP="0083602C">
            <w:pPr>
              <w:rPr>
                <w:rFonts w:ascii="Verdana" w:hAnsi="Verdana"/>
                <w:sz w:val="20"/>
              </w:rPr>
            </w:pPr>
            <w:r w:rsidRPr="000A4491">
              <w:rPr>
                <w:rFonts w:ascii="Verdana" w:hAnsi="Verdana"/>
                <w:sz w:val="20"/>
              </w:rPr>
              <w:lastRenderedPageBreak/>
              <w:t>Two-in-Five Rule</w:t>
            </w:r>
            <w:r w:rsidRPr="000A4491">
              <w:rPr>
                <w:rFonts w:ascii="Verdana" w:hAnsi="Verdana"/>
                <w:sz w:val="20"/>
              </w:rPr>
              <w:fldChar w:fldCharType="begin"/>
            </w:r>
            <w:r w:rsidRPr="000A4491">
              <w:rPr>
                <w:rFonts w:ascii="Verdana" w:hAnsi="Verdana"/>
                <w:sz w:val="20"/>
              </w:rPr>
              <w:instrText>xe "Two-in-Five Rule"</w:instrText>
            </w:r>
            <w:r w:rsidRPr="000A4491">
              <w:rPr>
                <w:rFonts w:ascii="Verdana" w:hAnsi="Verdana"/>
                <w:sz w:val="20"/>
              </w:rPr>
              <w:fldChar w:fldCharType="end"/>
            </w:r>
          </w:p>
        </w:tc>
        <w:tc>
          <w:tcPr>
            <w:tcW w:w="3560" w:type="pct"/>
          </w:tcPr>
          <w:p w14:paraId="3C1AE18B" w14:textId="17000613" w:rsidR="00F935B1" w:rsidRPr="000A4491" w:rsidRDefault="00F935B1" w:rsidP="0083602C">
            <w:pPr>
              <w:rPr>
                <w:rFonts w:ascii="Verdana" w:hAnsi="Verdana"/>
                <w:sz w:val="20"/>
              </w:rPr>
            </w:pPr>
            <w:r w:rsidRPr="000A4491">
              <w:rPr>
                <w:rFonts w:ascii="Verdana" w:hAnsi="Verdana"/>
                <w:sz w:val="20"/>
              </w:rPr>
              <w:t xml:space="preserve">The </w:t>
            </w:r>
            <w:hyperlink r:id="rId43" w:history="1">
              <w:r w:rsidRPr="000A4491">
                <w:rPr>
                  <w:rStyle w:val="Hyperlink"/>
                  <w:rFonts w:ascii="Verdana" w:hAnsi="Verdana"/>
                  <w:sz w:val="20"/>
                </w:rPr>
                <w:t>“Two-in-Five Rule</w:t>
              </w:r>
              <w:r w:rsidRPr="000A4491">
                <w:rPr>
                  <w:rFonts w:ascii="Verdana" w:hAnsi="Verdana"/>
                  <w:sz w:val="20"/>
                </w:rPr>
                <w:fldChar w:fldCharType="begin"/>
              </w:r>
              <w:r w:rsidRPr="000A4491">
                <w:rPr>
                  <w:rFonts w:ascii="Verdana" w:hAnsi="Verdana"/>
                  <w:sz w:val="20"/>
                </w:rPr>
                <w:instrText>xe "Two-in-Five Rule"</w:instrText>
              </w:r>
              <w:r w:rsidRPr="000A4491">
                <w:rPr>
                  <w:rFonts w:ascii="Verdana" w:hAnsi="Verdana"/>
                  <w:sz w:val="20"/>
                </w:rPr>
                <w:fldChar w:fldCharType="end"/>
              </w:r>
            </w:hyperlink>
            <w:r w:rsidRPr="000A4491">
              <w:rPr>
                <w:rFonts w:ascii="Verdana" w:hAnsi="Verdana"/>
                <w:sz w:val="20"/>
              </w:rPr>
              <w:t>” allows each eligible entity to obtain support for Internal Connections funding requests every two out of five years.  This limitation applies only to Internal Connections and not to requests appropriately categorized as Telecommunications Services</w:t>
            </w:r>
            <w:r w:rsidRPr="000A4491">
              <w:rPr>
                <w:rFonts w:ascii="Verdana" w:hAnsi="Verdana"/>
                <w:sz w:val="20"/>
              </w:rPr>
              <w:fldChar w:fldCharType="begin"/>
            </w:r>
            <w:r w:rsidRPr="000A4491">
              <w:rPr>
                <w:rFonts w:ascii="Verdana" w:hAnsi="Verdana"/>
                <w:sz w:val="20"/>
              </w:rPr>
              <w:instrText>xe "</w:instrText>
            </w:r>
            <w:r w:rsidRPr="000A4491">
              <w:rPr>
                <w:rStyle w:val="Hyperlink"/>
                <w:rFonts w:ascii="Verdana" w:hAnsi="Verdana"/>
                <w:sz w:val="20"/>
              </w:rPr>
              <w:instrText>Telecommunications Services</w:instrText>
            </w:r>
            <w:r w:rsidRPr="000A4491">
              <w:rPr>
                <w:rFonts w:ascii="Verdana" w:hAnsi="Verdana"/>
                <w:sz w:val="20"/>
              </w:rPr>
              <w:instrText>"</w:instrText>
            </w:r>
            <w:r w:rsidRPr="000A4491">
              <w:rPr>
                <w:rFonts w:ascii="Verdana" w:hAnsi="Verdana"/>
                <w:sz w:val="20"/>
              </w:rPr>
              <w:fldChar w:fldCharType="end"/>
            </w:r>
            <w:r w:rsidRPr="000A4491">
              <w:rPr>
                <w:rFonts w:ascii="Verdana" w:hAnsi="Verdana"/>
                <w:sz w:val="20"/>
              </w:rPr>
              <w:t>, Internet Access</w:t>
            </w:r>
            <w:r w:rsidRPr="000A4491">
              <w:rPr>
                <w:rFonts w:ascii="Verdana" w:hAnsi="Verdana"/>
                <w:sz w:val="20"/>
              </w:rPr>
              <w:fldChar w:fldCharType="begin"/>
            </w:r>
            <w:r w:rsidRPr="000A4491">
              <w:rPr>
                <w:rFonts w:ascii="Verdana" w:hAnsi="Verdana"/>
                <w:sz w:val="20"/>
              </w:rPr>
              <w:instrText>xe "</w:instrText>
            </w:r>
            <w:r w:rsidRPr="000A4491">
              <w:rPr>
                <w:rStyle w:val="Hyperlink"/>
                <w:rFonts w:ascii="Verdana" w:hAnsi="Verdana"/>
                <w:sz w:val="20"/>
              </w:rPr>
              <w:instrText>Internet Access</w:instrText>
            </w:r>
            <w:r w:rsidRPr="000A4491">
              <w:rPr>
                <w:rFonts w:ascii="Verdana" w:hAnsi="Verdana"/>
                <w:sz w:val="20"/>
              </w:rPr>
              <w:instrText>"</w:instrText>
            </w:r>
            <w:r w:rsidRPr="000A4491">
              <w:rPr>
                <w:rFonts w:ascii="Verdana" w:hAnsi="Verdana"/>
                <w:sz w:val="20"/>
              </w:rPr>
              <w:fldChar w:fldCharType="end"/>
            </w:r>
            <w:r w:rsidRPr="000A4491">
              <w:rPr>
                <w:rFonts w:ascii="Verdana" w:hAnsi="Verdana"/>
                <w:sz w:val="20"/>
              </w:rPr>
              <w:t>, or Basic Maintenance</w:t>
            </w:r>
            <w:r w:rsidRPr="000A4491">
              <w:rPr>
                <w:rFonts w:ascii="Verdana" w:hAnsi="Verdana"/>
                <w:sz w:val="20"/>
              </w:rPr>
              <w:fldChar w:fldCharType="begin"/>
            </w:r>
            <w:r w:rsidRPr="000A4491">
              <w:rPr>
                <w:rFonts w:ascii="Verdana" w:hAnsi="Verdana"/>
                <w:sz w:val="20"/>
              </w:rPr>
              <w:instrText>xe "</w:instrText>
            </w:r>
            <w:r w:rsidRPr="000A4491">
              <w:rPr>
                <w:rFonts w:ascii="Verdana" w:hAnsi="Verdana"/>
                <w:bCs/>
                <w:sz w:val="20"/>
              </w:rPr>
              <w:instrText>Maintenance</w:instrText>
            </w:r>
            <w:r w:rsidRPr="000A4491">
              <w:rPr>
                <w:rFonts w:ascii="Verdana" w:hAnsi="Verdana"/>
                <w:sz w:val="20"/>
              </w:rPr>
              <w:instrText>"</w:instrText>
            </w:r>
            <w:r w:rsidRPr="000A4491">
              <w:rPr>
                <w:rFonts w:ascii="Verdana" w:hAnsi="Verdana"/>
                <w:sz w:val="20"/>
              </w:rPr>
              <w:fldChar w:fldCharType="end"/>
            </w:r>
            <w:r w:rsidRPr="000A4491">
              <w:rPr>
                <w:rFonts w:ascii="Verdana" w:hAnsi="Verdana"/>
                <w:sz w:val="20"/>
              </w:rPr>
              <w:t xml:space="preserve"> of Internal Connections</w:t>
            </w:r>
            <w:r w:rsidRPr="000A4491">
              <w:rPr>
                <w:rFonts w:ascii="Verdana" w:hAnsi="Verdana"/>
                <w:sz w:val="20"/>
              </w:rPr>
              <w:fldChar w:fldCharType="begin"/>
            </w:r>
            <w:r w:rsidRPr="000A4491">
              <w:rPr>
                <w:rFonts w:ascii="Verdana" w:hAnsi="Verdana"/>
                <w:sz w:val="20"/>
              </w:rPr>
              <w:instrText>xe "</w:instrText>
            </w:r>
            <w:r w:rsidRPr="000A4491">
              <w:rPr>
                <w:rStyle w:val="Hyperlink"/>
                <w:rFonts w:ascii="Verdana" w:hAnsi="Verdana"/>
                <w:sz w:val="20"/>
              </w:rPr>
              <w:instrText>Basic Maintenance of Internal Connections</w:instrText>
            </w:r>
            <w:r w:rsidRPr="000A4491">
              <w:rPr>
                <w:rFonts w:ascii="Verdana" w:hAnsi="Verdana"/>
                <w:sz w:val="20"/>
              </w:rPr>
              <w:instrText>"</w:instrText>
            </w:r>
            <w:r w:rsidRPr="000A4491">
              <w:rPr>
                <w:rFonts w:ascii="Verdana" w:hAnsi="Verdana"/>
                <w:sz w:val="20"/>
              </w:rPr>
              <w:fldChar w:fldCharType="end"/>
            </w:r>
            <w:r w:rsidRPr="000A4491">
              <w:rPr>
                <w:rFonts w:ascii="Verdana" w:hAnsi="Verdana"/>
                <w:sz w:val="20"/>
              </w:rPr>
              <w:t xml:space="preserve">. </w:t>
            </w:r>
          </w:p>
        </w:tc>
      </w:tr>
      <w:tr w:rsidR="00F935B1" w:rsidRPr="000A4491" w14:paraId="5B73148F" w14:textId="77777777" w:rsidTr="0083602C">
        <w:trPr>
          <w:tblCellSpacing w:w="15" w:type="dxa"/>
        </w:trPr>
        <w:tc>
          <w:tcPr>
            <w:tcW w:w="1391" w:type="pct"/>
          </w:tcPr>
          <w:p w14:paraId="5AF7BB3A" w14:textId="77777777" w:rsidR="00F935B1" w:rsidRPr="000A4491" w:rsidRDefault="00F935B1" w:rsidP="0083602C">
            <w:pPr>
              <w:pStyle w:val="intro"/>
              <w:shd w:val="clear" w:color="auto" w:fill="FFFFFF"/>
              <w:spacing w:before="0" w:after="0"/>
              <w:rPr>
                <w:rFonts w:ascii="Verdana" w:hAnsi="Verdana" w:cs="Arial"/>
                <w:color w:val="auto"/>
                <w:sz w:val="20"/>
                <w:szCs w:val="20"/>
              </w:rPr>
            </w:pPr>
            <w:r w:rsidRPr="000A4491">
              <w:rPr>
                <w:rFonts w:ascii="Verdana" w:hAnsi="Verdana" w:cs="Arial"/>
                <w:color w:val="auto"/>
                <w:sz w:val="20"/>
                <w:szCs w:val="20"/>
              </w:rPr>
              <w:t>Wide Area Networks</w:t>
            </w:r>
            <w:r w:rsidRPr="000A4491">
              <w:rPr>
                <w:rFonts w:ascii="Verdana" w:hAnsi="Verdana"/>
                <w:sz w:val="20"/>
                <w:szCs w:val="20"/>
              </w:rPr>
              <w:fldChar w:fldCharType="begin"/>
            </w:r>
            <w:r w:rsidRPr="000A4491">
              <w:rPr>
                <w:rFonts w:ascii="Verdana" w:hAnsi="Verdana"/>
                <w:sz w:val="20"/>
                <w:szCs w:val="20"/>
              </w:rPr>
              <w:instrText>xe "</w:instrText>
            </w:r>
            <w:r w:rsidRPr="000A4491">
              <w:rPr>
                <w:rFonts w:ascii="Verdana" w:hAnsi="Verdana" w:cs="Arial"/>
                <w:color w:val="auto"/>
                <w:sz w:val="20"/>
                <w:szCs w:val="20"/>
              </w:rPr>
              <w:instrText>Wide Area Network</w:instrText>
            </w:r>
            <w:r w:rsidRPr="000A4491">
              <w:rPr>
                <w:rFonts w:ascii="Verdana" w:hAnsi="Verdana"/>
                <w:sz w:val="20"/>
                <w:szCs w:val="20"/>
              </w:rPr>
              <w:instrText>"</w:instrText>
            </w:r>
            <w:r w:rsidRPr="000A4491">
              <w:rPr>
                <w:rFonts w:ascii="Verdana" w:hAnsi="Verdana"/>
                <w:sz w:val="20"/>
                <w:szCs w:val="20"/>
              </w:rPr>
              <w:fldChar w:fldCharType="end"/>
            </w:r>
          </w:p>
        </w:tc>
        <w:tc>
          <w:tcPr>
            <w:tcW w:w="3560" w:type="pct"/>
          </w:tcPr>
          <w:p w14:paraId="6CD692A2" w14:textId="77777777" w:rsidR="00F935B1" w:rsidRPr="000A4491" w:rsidRDefault="00F935B1" w:rsidP="00F935B1">
            <w:pPr>
              <w:pStyle w:val="NormalWeb"/>
              <w:numPr>
                <w:ilvl w:val="0"/>
                <w:numId w:val="34"/>
              </w:numPr>
              <w:spacing w:before="120" w:beforeAutospacing="0" w:after="120"/>
              <w:rPr>
                <w:rFonts w:ascii="Verdana" w:hAnsi="Verdana"/>
                <w:sz w:val="20"/>
              </w:rPr>
            </w:pPr>
            <w:r w:rsidRPr="000A4491">
              <w:rPr>
                <w:rFonts w:ascii="Verdana" w:hAnsi="Verdana"/>
                <w:sz w:val="20"/>
                <w:u w:val="single"/>
              </w:rPr>
              <w:t>WAN Restriction.</w:t>
            </w:r>
            <w:r w:rsidRPr="000A4491">
              <w:rPr>
                <w:rFonts w:ascii="Verdana" w:hAnsi="Verdana"/>
                <w:sz w:val="20"/>
              </w:rPr>
              <w:t xml:space="preserve">  WANs cannot be built or purchased using E-rate support but WAN facilities may be leased.  </w:t>
            </w:r>
          </w:p>
          <w:p w14:paraId="7EC446A3" w14:textId="3493DD06" w:rsidR="00F935B1" w:rsidRPr="000A4491" w:rsidRDefault="00F935B1" w:rsidP="00F935B1">
            <w:pPr>
              <w:pStyle w:val="NormalWeb"/>
              <w:numPr>
                <w:ilvl w:val="0"/>
                <w:numId w:val="34"/>
              </w:numPr>
              <w:spacing w:before="120" w:beforeAutospacing="0" w:after="120"/>
              <w:rPr>
                <w:rFonts w:ascii="Verdana" w:hAnsi="Verdana"/>
                <w:sz w:val="20"/>
              </w:rPr>
            </w:pPr>
            <w:r w:rsidRPr="000A4491">
              <w:rPr>
                <w:rFonts w:ascii="Verdana" w:hAnsi="Verdana"/>
                <w:sz w:val="20"/>
                <w:u w:val="single"/>
              </w:rPr>
              <w:t>Lease of Wide Area Network Infrastructure</w:t>
            </w:r>
            <w:r w:rsidRPr="000A4491">
              <w:rPr>
                <w:rFonts w:ascii="Verdana" w:hAnsi="Verdana"/>
                <w:sz w:val="20"/>
              </w:rPr>
              <w:t>.  Facilities that provide a Wide Area Network may be leased by applicants as a Priority One service.  Limitations apply to the reimbursements that are available for initial implementation costs (leased equipment and its installation</w:t>
            </w:r>
            <w:r w:rsidRPr="000A4491">
              <w:rPr>
                <w:rFonts w:ascii="Verdana" w:hAnsi="Verdana"/>
                <w:sz w:val="20"/>
              </w:rPr>
              <w:fldChar w:fldCharType="begin"/>
            </w:r>
            <w:r w:rsidRPr="000A4491">
              <w:rPr>
                <w:rFonts w:ascii="Verdana" w:hAnsi="Verdana"/>
                <w:sz w:val="20"/>
              </w:rPr>
              <w:instrText>xe "Installation"</w:instrText>
            </w:r>
            <w:r w:rsidRPr="000A4491">
              <w:rPr>
                <w:rFonts w:ascii="Verdana" w:hAnsi="Verdana"/>
                <w:sz w:val="20"/>
              </w:rPr>
              <w:fldChar w:fldCharType="end"/>
            </w:r>
            <w:r w:rsidRPr="000A4491">
              <w:rPr>
                <w:rFonts w:ascii="Verdana" w:hAnsi="Verdana"/>
                <w:sz w:val="20"/>
              </w:rPr>
              <w:t xml:space="preserve">) of service provider infrastructure.  The </w:t>
            </w:r>
            <w:hyperlink r:id="rId44" w:tgtFrame="_CHILD" w:history="1">
              <w:r w:rsidRPr="000A4491">
                <w:rPr>
                  <w:rStyle w:val="Hyperlink"/>
                  <w:rFonts w:ascii="Verdana" w:hAnsi="Verdana"/>
                  <w:sz w:val="20"/>
                </w:rPr>
                <w:t xml:space="preserve">Wide </w:t>
              </w:r>
              <w:r w:rsidRPr="000A4491">
                <w:rPr>
                  <w:rStyle w:val="Hyperlink"/>
                  <w:rFonts w:ascii="Verdana" w:hAnsi="Verdana"/>
                  <w:sz w:val="20"/>
                </w:rPr>
                <w:lastRenderedPageBreak/>
                <w:t>Area Network Fact Sheet</w:t>
              </w:r>
            </w:hyperlink>
            <w:r w:rsidRPr="000A4491">
              <w:rPr>
                <w:rFonts w:ascii="Verdana" w:hAnsi="Verdana"/>
                <w:sz w:val="20"/>
              </w:rPr>
              <w:t xml:space="preserve"> has further details about exclusive access limitations, amortization requirements, and other eligibility conditions for lease of Wide Area Network functionality.</w:t>
            </w:r>
          </w:p>
          <w:p w14:paraId="4AD6C9BC" w14:textId="3761E573" w:rsidR="00F935B1" w:rsidRPr="000A4491" w:rsidRDefault="00F935B1" w:rsidP="00F935B1">
            <w:pPr>
              <w:pStyle w:val="NormalWeb"/>
              <w:numPr>
                <w:ilvl w:val="0"/>
                <w:numId w:val="34"/>
              </w:numPr>
              <w:spacing w:before="120" w:beforeAutospacing="0" w:after="120"/>
              <w:rPr>
                <w:rFonts w:ascii="Verdana" w:hAnsi="Verdana"/>
                <w:sz w:val="20"/>
              </w:rPr>
            </w:pPr>
            <w:r w:rsidRPr="000A4491">
              <w:rPr>
                <w:rFonts w:ascii="Verdana" w:hAnsi="Verdana"/>
                <w:sz w:val="20"/>
                <w:u w:val="single"/>
              </w:rPr>
              <w:t>WAN Versus LAN Components (On-Premise Priority One Equipment)</w:t>
            </w:r>
            <w:r w:rsidRPr="000A4491">
              <w:rPr>
                <w:rFonts w:ascii="Verdana" w:hAnsi="Verdana"/>
                <w:sz w:val="20"/>
              </w:rPr>
              <w:t>.  For data and other networks, the distinction between Wide Area Network (WAN</w:t>
            </w:r>
            <w:r w:rsidRPr="000A4491">
              <w:rPr>
                <w:rFonts w:ascii="Verdana" w:hAnsi="Verdana"/>
                <w:sz w:val="20"/>
              </w:rPr>
              <w:fldChar w:fldCharType="begin"/>
            </w:r>
            <w:r w:rsidRPr="000A4491">
              <w:rPr>
                <w:rFonts w:ascii="Verdana" w:hAnsi="Verdana"/>
                <w:sz w:val="20"/>
              </w:rPr>
              <w:instrText>xe "WAN"</w:instrText>
            </w:r>
            <w:r w:rsidRPr="000A4491">
              <w:rPr>
                <w:rFonts w:ascii="Verdana" w:hAnsi="Verdana"/>
                <w:sz w:val="20"/>
              </w:rPr>
              <w:fldChar w:fldCharType="end"/>
            </w:r>
            <w:r w:rsidRPr="000A4491">
              <w:rPr>
                <w:rFonts w:ascii="Verdana" w:hAnsi="Verdana"/>
                <w:sz w:val="20"/>
              </w:rPr>
              <w:t xml:space="preserve">) functionality and Local Area Network (LAN) functionality is important.    FCC rules establish a rebuttable presumption that a connection does not constitute an Internal Connection if it crosses a public right of way.  In order to determine what may be properly funded as Internal Connections, a demarcation point between a Wide Area Network service and the Local Area Network components must be established.  This approach is described more fully in the web document </w:t>
            </w:r>
            <w:hyperlink r:id="rId45" w:history="1">
              <w:r w:rsidRPr="000A4491">
                <w:rPr>
                  <w:rStyle w:val="Hyperlink"/>
                  <w:rFonts w:ascii="Verdana" w:hAnsi="Verdana"/>
                  <w:sz w:val="20"/>
                </w:rPr>
                <w:t>On-premise Priority 1 Equipment</w:t>
              </w:r>
              <w:r w:rsidRPr="000A4491">
                <w:rPr>
                  <w:rFonts w:ascii="Verdana" w:hAnsi="Verdana"/>
                  <w:sz w:val="20"/>
                </w:rPr>
                <w:fldChar w:fldCharType="begin"/>
              </w:r>
              <w:r w:rsidRPr="000A4491">
                <w:rPr>
                  <w:rFonts w:ascii="Verdana" w:hAnsi="Verdana"/>
                  <w:sz w:val="20"/>
                </w:rPr>
                <w:instrText>xe "</w:instrText>
              </w:r>
              <w:r w:rsidRPr="000A4491">
                <w:rPr>
                  <w:rStyle w:val="Hyperlink"/>
                  <w:rFonts w:ascii="Verdana" w:hAnsi="Verdana"/>
                  <w:sz w:val="20"/>
                </w:rPr>
                <w:instrText>On-premise Priority 1 Equipment</w:instrText>
              </w:r>
              <w:r w:rsidRPr="000A4491">
                <w:rPr>
                  <w:rFonts w:ascii="Verdana" w:hAnsi="Verdana"/>
                  <w:sz w:val="20"/>
                </w:rPr>
                <w:instrText>"</w:instrText>
              </w:r>
              <w:r w:rsidRPr="000A4491">
                <w:rPr>
                  <w:rFonts w:ascii="Verdana" w:hAnsi="Verdana"/>
                  <w:sz w:val="20"/>
                </w:rPr>
                <w:fldChar w:fldCharType="end"/>
              </w:r>
            </w:hyperlink>
            <w:r w:rsidRPr="000A4491">
              <w:rPr>
                <w:rFonts w:ascii="Verdana" w:hAnsi="Verdana"/>
                <w:sz w:val="20"/>
              </w:rPr>
              <w:t xml:space="preserve"> located in the SLD Reference Area of the USAC web site.</w:t>
            </w:r>
          </w:p>
          <w:p w14:paraId="2D060824" w14:textId="77777777" w:rsidR="00F935B1" w:rsidRPr="000A4491" w:rsidRDefault="00F935B1" w:rsidP="0083602C">
            <w:pPr>
              <w:pStyle w:val="NormalWeb"/>
              <w:spacing w:before="120" w:beforeAutospacing="0" w:after="120"/>
              <w:rPr>
                <w:rFonts w:ascii="Verdana" w:hAnsi="Verdana"/>
                <w:sz w:val="20"/>
              </w:rPr>
            </w:pPr>
          </w:p>
        </w:tc>
      </w:tr>
    </w:tbl>
    <w:p w14:paraId="68E896BA" w14:textId="77777777" w:rsidR="00F935B1" w:rsidRPr="000A4491" w:rsidRDefault="00F935B1" w:rsidP="00F935B1">
      <w:pPr>
        <w:rPr>
          <w:rFonts w:ascii="Verdana" w:hAnsi="Verdana"/>
          <w:sz w:val="20"/>
          <w:u w:val="single"/>
        </w:rPr>
        <w:sectPr w:rsidR="00F935B1" w:rsidRPr="000A4491" w:rsidSect="0083602C">
          <w:footerReference w:type="default" r:id="rId46"/>
          <w:pgSz w:w="12240" w:h="15840"/>
          <w:pgMar w:top="1440" w:right="1800" w:bottom="1440" w:left="1800" w:header="720" w:footer="720" w:gutter="0"/>
          <w:cols w:space="720"/>
          <w:docGrid w:linePitch="360"/>
        </w:sectPr>
      </w:pPr>
    </w:p>
    <w:tbl>
      <w:tblPr>
        <w:tblW w:w="9115" w:type="dxa"/>
        <w:tblCellSpacing w:w="15" w:type="dxa"/>
        <w:tblInd w:w="197"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43" w:type="dxa"/>
          <w:left w:w="288" w:type="dxa"/>
          <w:bottom w:w="43" w:type="dxa"/>
          <w:right w:w="288" w:type="dxa"/>
        </w:tblCellMar>
        <w:tblLook w:val="0000" w:firstRow="0" w:lastRow="0" w:firstColumn="0" w:lastColumn="0" w:noHBand="0" w:noVBand="0"/>
      </w:tblPr>
      <w:tblGrid>
        <w:gridCol w:w="9115"/>
      </w:tblGrid>
      <w:tr w:rsidR="00F935B1" w14:paraId="057CD484" w14:textId="77777777" w:rsidTr="0083602C">
        <w:trPr>
          <w:cantSplit/>
          <w:tblCellSpacing w:w="15" w:type="dxa"/>
        </w:trPr>
        <w:tc>
          <w:tcPr>
            <w:tcW w:w="9115" w:type="dxa"/>
            <w:shd w:val="clear" w:color="auto" w:fill="FFCC00"/>
          </w:tcPr>
          <w:p w14:paraId="3DEB432C" w14:textId="77777777" w:rsidR="00F935B1" w:rsidRDefault="00F935B1" w:rsidP="0083602C">
            <w:pPr>
              <w:spacing w:before="200" w:after="200"/>
              <w:jc w:val="center"/>
              <w:rPr>
                <w:rFonts w:ascii="Verdana" w:hAnsi="Verdana" w:cs="Arial"/>
                <w:b/>
                <w:bCs/>
              </w:rPr>
            </w:pPr>
            <w:r>
              <w:rPr>
                <w:rFonts w:ascii="Verdana" w:hAnsi="Verdana" w:cs="Arial"/>
                <w:b/>
                <w:bCs/>
                <w:color w:val="000080"/>
                <w:sz w:val="36"/>
              </w:rPr>
              <w:lastRenderedPageBreak/>
              <w:t>Glossary</w:t>
            </w:r>
            <w:r w:rsidRPr="00443613">
              <w:rPr>
                <w:rFonts w:ascii="Verdana" w:hAnsi="Verdana"/>
                <w:sz w:val="20"/>
              </w:rPr>
              <w:fldChar w:fldCharType="begin"/>
            </w:r>
            <w:r w:rsidRPr="00443613">
              <w:rPr>
                <w:rFonts w:ascii="Verdana" w:hAnsi="Verdana"/>
                <w:sz w:val="20"/>
              </w:rPr>
              <w:instrText>xe "Glossary"</w:instrText>
            </w:r>
            <w:r w:rsidRPr="00443613">
              <w:rPr>
                <w:rFonts w:ascii="Verdana" w:hAnsi="Verdana"/>
                <w:sz w:val="20"/>
              </w:rPr>
              <w:fldChar w:fldCharType="end"/>
            </w:r>
          </w:p>
        </w:tc>
      </w:tr>
    </w:tbl>
    <w:p w14:paraId="20F18427" w14:textId="77777777" w:rsidR="00F935B1" w:rsidRDefault="00F935B1" w:rsidP="00F935B1">
      <w:pPr>
        <w:rPr>
          <w:rFonts w:ascii="Verdana" w:hAnsi="Verdana"/>
          <w:sz w:val="4"/>
          <w:szCs w:val="4"/>
          <w:u w:val="single"/>
        </w:rPr>
      </w:pPr>
    </w:p>
    <w:tbl>
      <w:tblPr>
        <w:tblW w:w="9187" w:type="dxa"/>
        <w:tblCellSpacing w:w="15" w:type="dxa"/>
        <w:tblInd w:w="15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43" w:type="dxa"/>
          <w:left w:w="288" w:type="dxa"/>
          <w:bottom w:w="43" w:type="dxa"/>
          <w:right w:w="288" w:type="dxa"/>
        </w:tblCellMar>
        <w:tblLook w:val="0000" w:firstRow="0" w:lastRow="0" w:firstColumn="0" w:lastColumn="0" w:noHBand="0" w:noVBand="0"/>
      </w:tblPr>
      <w:tblGrid>
        <w:gridCol w:w="3701"/>
        <w:gridCol w:w="5486"/>
      </w:tblGrid>
      <w:tr w:rsidR="00F935B1" w14:paraId="461799C0" w14:textId="77777777" w:rsidTr="0083602C">
        <w:trPr>
          <w:tblCellSpacing w:w="15" w:type="dxa"/>
        </w:trPr>
        <w:tc>
          <w:tcPr>
            <w:tcW w:w="3656" w:type="dxa"/>
          </w:tcPr>
          <w:p w14:paraId="6C67887C" w14:textId="77777777" w:rsidR="00F935B1" w:rsidRPr="000A4491" w:rsidRDefault="00F935B1" w:rsidP="0083602C">
            <w:pPr>
              <w:rPr>
                <w:rFonts w:ascii="Verdana" w:hAnsi="Verdana"/>
                <w:sz w:val="20"/>
              </w:rPr>
            </w:pPr>
            <w:r w:rsidRPr="000A4491">
              <w:rPr>
                <w:rFonts w:ascii="Verdana" w:hAnsi="Verdana"/>
                <w:sz w:val="20"/>
              </w:rPr>
              <w:t>800 Service</w:t>
            </w:r>
            <w:r w:rsidRPr="000A4491">
              <w:rPr>
                <w:rFonts w:ascii="Verdana" w:hAnsi="Verdana"/>
                <w:sz w:val="20"/>
              </w:rPr>
              <w:fldChar w:fldCharType="begin"/>
            </w:r>
            <w:r w:rsidRPr="000A4491">
              <w:rPr>
                <w:rFonts w:ascii="Verdana" w:hAnsi="Verdana"/>
                <w:sz w:val="20"/>
              </w:rPr>
              <w:instrText>xe "800 Service"</w:instrText>
            </w:r>
            <w:r w:rsidRPr="000A4491">
              <w:rPr>
                <w:rFonts w:ascii="Verdana" w:hAnsi="Verdana"/>
                <w:sz w:val="20"/>
              </w:rPr>
              <w:fldChar w:fldCharType="end"/>
            </w:r>
          </w:p>
          <w:p w14:paraId="5AEBDF5A" w14:textId="77777777" w:rsidR="00F935B1" w:rsidRPr="000A4491" w:rsidRDefault="00F935B1" w:rsidP="0083602C">
            <w:pPr>
              <w:rPr>
                <w:rFonts w:ascii="Verdana" w:hAnsi="Verdana"/>
                <w:sz w:val="20"/>
              </w:rPr>
            </w:pPr>
            <w:r w:rsidRPr="000A4491">
              <w:rPr>
                <w:rFonts w:ascii="Verdana" w:hAnsi="Verdana"/>
                <w:sz w:val="20"/>
              </w:rPr>
              <w:t>(</w:t>
            </w:r>
            <w:hyperlink w:anchor="aattTelephoneService" w:history="1">
              <w:r w:rsidRPr="000A4491">
                <w:rPr>
                  <w:rStyle w:val="Hyperlink"/>
                  <w:rFonts w:ascii="Verdana" w:hAnsi="Verdana"/>
                  <w:sz w:val="20"/>
                </w:rPr>
                <w:t>Telephone Service</w:t>
              </w:r>
              <w:r w:rsidRPr="000A4491">
                <w:rPr>
                  <w:rFonts w:ascii="Verdana" w:hAnsi="Verdana"/>
                  <w:sz w:val="20"/>
                </w:rPr>
                <w:fldChar w:fldCharType="begin"/>
              </w:r>
              <w:r w:rsidRPr="000A4491">
                <w:rPr>
                  <w:rFonts w:ascii="Verdana" w:hAnsi="Verdana"/>
                  <w:sz w:val="20"/>
                </w:rPr>
                <w:instrText>xe "Telephone Service"</w:instrText>
              </w:r>
              <w:r w:rsidRPr="000A4491">
                <w:rPr>
                  <w:rFonts w:ascii="Verdana" w:hAnsi="Verdana"/>
                  <w:sz w:val="20"/>
                </w:rPr>
                <w:fldChar w:fldCharType="end"/>
              </w:r>
            </w:hyperlink>
            <w:r w:rsidRPr="000A4491">
              <w:rPr>
                <w:rFonts w:ascii="Verdana" w:hAnsi="Verdana"/>
                <w:sz w:val="20"/>
              </w:rPr>
              <w:t>)</w:t>
            </w:r>
          </w:p>
        </w:tc>
        <w:tc>
          <w:tcPr>
            <w:tcW w:w="5441" w:type="dxa"/>
          </w:tcPr>
          <w:p w14:paraId="25E46586" w14:textId="77777777" w:rsidR="00F935B1" w:rsidRPr="000A4491" w:rsidRDefault="00F935B1" w:rsidP="0083602C">
            <w:pPr>
              <w:rPr>
                <w:rFonts w:ascii="Verdana" w:hAnsi="Verdana"/>
                <w:sz w:val="20"/>
              </w:rPr>
            </w:pPr>
            <w:r w:rsidRPr="000A4491">
              <w:rPr>
                <w:rFonts w:ascii="Verdana" w:hAnsi="Verdana"/>
                <w:sz w:val="20"/>
              </w:rPr>
              <w:t>800 Service</w:t>
            </w:r>
            <w:r w:rsidRPr="000A4491">
              <w:rPr>
                <w:rFonts w:ascii="Verdana" w:hAnsi="Verdana"/>
                <w:sz w:val="20"/>
              </w:rPr>
              <w:fldChar w:fldCharType="begin"/>
            </w:r>
            <w:r w:rsidRPr="000A4491">
              <w:rPr>
                <w:rFonts w:ascii="Verdana" w:hAnsi="Verdana"/>
                <w:sz w:val="20"/>
              </w:rPr>
              <w:instrText>xe "800 Service"</w:instrText>
            </w:r>
            <w:r w:rsidRPr="000A4491">
              <w:rPr>
                <w:rFonts w:ascii="Verdana" w:hAnsi="Verdana"/>
                <w:sz w:val="20"/>
              </w:rPr>
              <w:fldChar w:fldCharType="end"/>
            </w:r>
            <w:r w:rsidRPr="000A4491">
              <w:rPr>
                <w:rFonts w:ascii="Verdana" w:hAnsi="Verdana"/>
                <w:sz w:val="20"/>
              </w:rPr>
              <w:t xml:space="preserve"> provides toll calling that is paid by the called party rather than the calling party.  The name comes from the original Area Code used for all toll-free</w:t>
            </w:r>
            <w:r w:rsidRPr="000A4491">
              <w:rPr>
                <w:rFonts w:ascii="Verdana" w:hAnsi="Verdana"/>
                <w:sz w:val="20"/>
              </w:rPr>
              <w:fldChar w:fldCharType="begin"/>
            </w:r>
            <w:r w:rsidRPr="000A4491">
              <w:rPr>
                <w:rFonts w:ascii="Verdana" w:hAnsi="Verdana"/>
                <w:sz w:val="20"/>
              </w:rPr>
              <w:instrText>xe "Toll-Free"</w:instrText>
            </w:r>
            <w:r w:rsidRPr="000A4491">
              <w:rPr>
                <w:rFonts w:ascii="Verdana" w:hAnsi="Verdana"/>
                <w:sz w:val="20"/>
              </w:rPr>
              <w:fldChar w:fldCharType="end"/>
            </w:r>
            <w:r w:rsidRPr="000A4491">
              <w:rPr>
                <w:rFonts w:ascii="Verdana" w:hAnsi="Verdana"/>
                <w:sz w:val="20"/>
              </w:rPr>
              <w:t xml:space="preserve"> numbers.  Current and future “800 Service” area codes use the convention 8NN, when N is a specific digit, for example 888, 877, and 866.</w:t>
            </w:r>
          </w:p>
        </w:tc>
      </w:tr>
      <w:tr w:rsidR="00F935B1" w14:paraId="078B45DF" w14:textId="77777777" w:rsidTr="0083602C">
        <w:trPr>
          <w:tblCellSpacing w:w="15" w:type="dxa"/>
        </w:trPr>
        <w:tc>
          <w:tcPr>
            <w:tcW w:w="3656" w:type="dxa"/>
          </w:tcPr>
          <w:p w14:paraId="12722CF3" w14:textId="77777777" w:rsidR="00F935B1" w:rsidRPr="000A4491" w:rsidRDefault="00F935B1" w:rsidP="0083602C">
            <w:pPr>
              <w:rPr>
                <w:rFonts w:ascii="Verdana" w:hAnsi="Verdana"/>
                <w:sz w:val="20"/>
              </w:rPr>
            </w:pPr>
            <w:r w:rsidRPr="000A4491">
              <w:rPr>
                <w:rFonts w:ascii="Verdana" w:hAnsi="Verdana"/>
                <w:sz w:val="20"/>
              </w:rPr>
              <w:t>900</w:t>
            </w:r>
            <w:r w:rsidRPr="000A4491">
              <w:rPr>
                <w:rFonts w:ascii="Verdana" w:hAnsi="Verdana"/>
                <w:sz w:val="20"/>
              </w:rPr>
              <w:fldChar w:fldCharType="begin"/>
            </w:r>
            <w:r w:rsidRPr="000A4491">
              <w:rPr>
                <w:rFonts w:ascii="Verdana" w:hAnsi="Verdana"/>
                <w:sz w:val="20"/>
              </w:rPr>
              <w:instrText>xe "900 Charges"</w:instrText>
            </w:r>
            <w:r w:rsidRPr="000A4491">
              <w:rPr>
                <w:rFonts w:ascii="Verdana" w:hAnsi="Verdana"/>
                <w:sz w:val="20"/>
              </w:rPr>
              <w:fldChar w:fldCharType="end"/>
            </w:r>
            <w:r w:rsidRPr="000A4491">
              <w:rPr>
                <w:rFonts w:ascii="Verdana" w:hAnsi="Verdana"/>
                <w:sz w:val="20"/>
              </w:rPr>
              <w:t>/976 Call Blocking</w:t>
            </w:r>
            <w:r w:rsidRPr="000A4491">
              <w:rPr>
                <w:rFonts w:ascii="Verdana" w:hAnsi="Verdana"/>
                <w:sz w:val="20"/>
              </w:rPr>
              <w:fldChar w:fldCharType="begin"/>
            </w:r>
            <w:r w:rsidRPr="000A4491">
              <w:rPr>
                <w:rFonts w:ascii="Verdana" w:hAnsi="Verdana"/>
                <w:sz w:val="20"/>
              </w:rPr>
              <w:instrText>xe "Call Blocking"</w:instrText>
            </w:r>
            <w:r w:rsidRPr="000A4491">
              <w:rPr>
                <w:rFonts w:ascii="Verdana" w:hAnsi="Verdana"/>
                <w:sz w:val="20"/>
              </w:rPr>
              <w:fldChar w:fldCharType="end"/>
            </w:r>
          </w:p>
          <w:p w14:paraId="413323B8" w14:textId="77777777" w:rsidR="00F935B1" w:rsidRPr="000A4491" w:rsidRDefault="00F935B1" w:rsidP="0083602C">
            <w:pPr>
              <w:rPr>
                <w:rFonts w:ascii="Verdana" w:hAnsi="Verdana"/>
                <w:sz w:val="20"/>
              </w:rPr>
            </w:pPr>
            <w:r w:rsidRPr="000A4491">
              <w:rPr>
                <w:rFonts w:ascii="Verdana" w:hAnsi="Verdana"/>
                <w:sz w:val="20"/>
              </w:rPr>
              <w:t>(</w:t>
            </w:r>
            <w:hyperlink w:anchor="aattTelephoneComponents" w:history="1">
              <w:r w:rsidRPr="000A4491">
                <w:rPr>
                  <w:rStyle w:val="Hyperlink"/>
                  <w:rFonts w:ascii="Verdana" w:hAnsi="Verdana"/>
                  <w:sz w:val="20"/>
                </w:rPr>
                <w:t>Telephone Service Components</w:t>
              </w:r>
              <w:r w:rsidRPr="000A4491">
                <w:rPr>
                  <w:rFonts w:ascii="Verdana" w:hAnsi="Verdana"/>
                  <w:sz w:val="20"/>
                </w:rPr>
                <w:fldChar w:fldCharType="begin"/>
              </w:r>
              <w:r w:rsidRPr="000A4491">
                <w:rPr>
                  <w:rFonts w:ascii="Verdana" w:hAnsi="Verdana"/>
                  <w:sz w:val="20"/>
                </w:rPr>
                <w:instrText>xe "Telephone Service Components"</w:instrText>
              </w:r>
              <w:r w:rsidRPr="000A4491">
                <w:rPr>
                  <w:rFonts w:ascii="Verdana" w:hAnsi="Verdana"/>
                  <w:sz w:val="20"/>
                </w:rPr>
                <w:fldChar w:fldCharType="end"/>
              </w:r>
            </w:hyperlink>
            <w:r w:rsidRPr="000A4491">
              <w:rPr>
                <w:rFonts w:ascii="Verdana" w:hAnsi="Verdana"/>
                <w:sz w:val="20"/>
              </w:rPr>
              <w:t>)</w:t>
            </w:r>
          </w:p>
        </w:tc>
        <w:tc>
          <w:tcPr>
            <w:tcW w:w="5441" w:type="dxa"/>
          </w:tcPr>
          <w:p w14:paraId="61EE2195" w14:textId="77777777" w:rsidR="00F935B1" w:rsidRPr="000A4491" w:rsidRDefault="00F935B1" w:rsidP="0083602C">
            <w:pPr>
              <w:pStyle w:val="NormalWeb"/>
              <w:spacing w:before="0" w:beforeAutospacing="0" w:after="0"/>
              <w:rPr>
                <w:rFonts w:ascii="Verdana" w:hAnsi="Verdana"/>
                <w:sz w:val="20"/>
              </w:rPr>
            </w:pPr>
            <w:r w:rsidRPr="000A4491">
              <w:rPr>
                <w:rFonts w:ascii="Verdana" w:hAnsi="Verdana"/>
                <w:sz w:val="20"/>
              </w:rPr>
              <w:t>Call Blocking</w:t>
            </w:r>
            <w:r w:rsidRPr="000A4491">
              <w:rPr>
                <w:rFonts w:ascii="Verdana" w:hAnsi="Verdana"/>
                <w:sz w:val="20"/>
              </w:rPr>
              <w:fldChar w:fldCharType="begin"/>
            </w:r>
            <w:r w:rsidRPr="000A4491">
              <w:rPr>
                <w:rFonts w:ascii="Verdana" w:hAnsi="Verdana"/>
                <w:sz w:val="20"/>
              </w:rPr>
              <w:instrText>xe "Call Blocking"</w:instrText>
            </w:r>
            <w:r w:rsidRPr="000A4491">
              <w:rPr>
                <w:rFonts w:ascii="Verdana" w:hAnsi="Verdana"/>
                <w:sz w:val="20"/>
              </w:rPr>
              <w:fldChar w:fldCharType="end"/>
            </w:r>
            <w:r w:rsidRPr="000A4491">
              <w:rPr>
                <w:rFonts w:ascii="Verdana" w:hAnsi="Verdana"/>
                <w:sz w:val="20"/>
              </w:rPr>
              <w:t xml:space="preserve"> is a monthly or recurring telephone company charge for the blocking of calls, such as to 900</w:t>
            </w:r>
            <w:r w:rsidRPr="000A4491">
              <w:rPr>
                <w:rFonts w:ascii="Verdana" w:hAnsi="Verdana"/>
                <w:sz w:val="20"/>
              </w:rPr>
              <w:fldChar w:fldCharType="begin"/>
            </w:r>
            <w:r w:rsidRPr="000A4491">
              <w:rPr>
                <w:rFonts w:ascii="Verdana" w:hAnsi="Verdana"/>
                <w:sz w:val="20"/>
              </w:rPr>
              <w:instrText>xe "900 Charges"</w:instrText>
            </w:r>
            <w:r w:rsidRPr="000A4491">
              <w:rPr>
                <w:rFonts w:ascii="Verdana" w:hAnsi="Verdana"/>
                <w:sz w:val="20"/>
              </w:rPr>
              <w:fldChar w:fldCharType="end"/>
            </w:r>
            <w:r w:rsidRPr="000A4491">
              <w:rPr>
                <w:rFonts w:ascii="Verdana" w:hAnsi="Verdana"/>
                <w:sz w:val="20"/>
              </w:rPr>
              <w:t xml:space="preserve"> or 976 numbers.  The blocking prevents callers from completing calls to 900 or 976 numbers.</w:t>
            </w:r>
          </w:p>
        </w:tc>
      </w:tr>
      <w:tr w:rsidR="00F935B1" w14:paraId="2DCA30A3" w14:textId="77777777" w:rsidTr="0083602C">
        <w:trPr>
          <w:tblCellSpacing w:w="15" w:type="dxa"/>
        </w:trPr>
        <w:tc>
          <w:tcPr>
            <w:tcW w:w="3656" w:type="dxa"/>
          </w:tcPr>
          <w:p w14:paraId="05042F57" w14:textId="77777777" w:rsidR="00F935B1" w:rsidRPr="000A4491" w:rsidRDefault="00F935B1" w:rsidP="0083602C">
            <w:pPr>
              <w:rPr>
                <w:rFonts w:ascii="Verdana" w:hAnsi="Verdana"/>
                <w:sz w:val="20"/>
              </w:rPr>
            </w:pPr>
            <w:r w:rsidRPr="000A4491">
              <w:rPr>
                <w:rFonts w:ascii="Verdana" w:hAnsi="Verdana"/>
                <w:sz w:val="20"/>
              </w:rPr>
              <w:t>900</w:t>
            </w:r>
            <w:r w:rsidRPr="000A4491">
              <w:rPr>
                <w:rFonts w:ascii="Verdana" w:hAnsi="Verdana"/>
                <w:sz w:val="20"/>
              </w:rPr>
              <w:fldChar w:fldCharType="begin"/>
            </w:r>
            <w:r w:rsidRPr="000A4491">
              <w:rPr>
                <w:rFonts w:ascii="Verdana" w:hAnsi="Verdana"/>
                <w:sz w:val="20"/>
              </w:rPr>
              <w:instrText>xe "900 Charges"</w:instrText>
            </w:r>
            <w:r w:rsidRPr="000A4491">
              <w:rPr>
                <w:rFonts w:ascii="Verdana" w:hAnsi="Verdana"/>
                <w:sz w:val="20"/>
              </w:rPr>
              <w:fldChar w:fldCharType="end"/>
            </w:r>
            <w:r w:rsidRPr="000A4491">
              <w:rPr>
                <w:rFonts w:ascii="Verdana" w:hAnsi="Verdana"/>
                <w:sz w:val="20"/>
              </w:rPr>
              <w:t>/976 Charges</w:t>
            </w:r>
            <w:r w:rsidRPr="000A4491">
              <w:rPr>
                <w:rFonts w:ascii="Verdana" w:hAnsi="Verdana"/>
                <w:sz w:val="20"/>
              </w:rPr>
              <w:fldChar w:fldCharType="begin"/>
            </w:r>
            <w:r w:rsidRPr="000A4491">
              <w:rPr>
                <w:rFonts w:ascii="Verdana" w:hAnsi="Verdana"/>
                <w:sz w:val="20"/>
              </w:rPr>
              <w:instrText>xe "976 Charges"</w:instrText>
            </w:r>
            <w:r w:rsidRPr="000A4491">
              <w:rPr>
                <w:rFonts w:ascii="Verdana" w:hAnsi="Verdana"/>
                <w:sz w:val="20"/>
              </w:rPr>
              <w:fldChar w:fldCharType="end"/>
            </w:r>
          </w:p>
          <w:p w14:paraId="0C98E058" w14:textId="77777777" w:rsidR="00F935B1" w:rsidRPr="000A4491" w:rsidRDefault="00F935B1" w:rsidP="0083602C">
            <w:pPr>
              <w:rPr>
                <w:rFonts w:ascii="Verdana" w:hAnsi="Verdana"/>
                <w:sz w:val="20"/>
              </w:rPr>
            </w:pPr>
            <w:r w:rsidRPr="000A4491">
              <w:rPr>
                <w:rFonts w:ascii="Verdana" w:hAnsi="Verdana"/>
                <w:sz w:val="20"/>
              </w:rPr>
              <w:t>(</w:t>
            </w:r>
            <w:hyperlink w:anchor="aattIneligibleServices" w:history="1">
              <w:r w:rsidRPr="000A4491">
                <w:rPr>
                  <w:rStyle w:val="Hyperlink"/>
                  <w:rFonts w:ascii="Verdana" w:hAnsi="Verdana"/>
                  <w:sz w:val="20"/>
                </w:rPr>
                <w:t>NOT Eligible for Funding as Telecommunications Services</w:t>
              </w:r>
              <w:r w:rsidRPr="000A4491">
                <w:rPr>
                  <w:rFonts w:ascii="Verdana" w:hAnsi="Verdana"/>
                  <w:sz w:val="20"/>
                </w:rPr>
                <w:fldChar w:fldCharType="begin"/>
              </w:r>
              <w:r w:rsidRPr="000A4491">
                <w:rPr>
                  <w:rFonts w:ascii="Verdana" w:hAnsi="Verdana"/>
                  <w:sz w:val="20"/>
                </w:rPr>
                <w:instrText>xe "</w:instrText>
              </w:r>
              <w:r w:rsidRPr="000A4491">
                <w:rPr>
                  <w:rStyle w:val="Hyperlink"/>
                  <w:rFonts w:ascii="Verdana" w:hAnsi="Verdana"/>
                  <w:sz w:val="20"/>
                </w:rPr>
                <w:instrText>Telecommunications</w:instrText>
              </w:r>
              <w:r w:rsidRPr="000A4491">
                <w:rPr>
                  <w:rFonts w:ascii="Verdana" w:hAnsi="Verdana"/>
                  <w:sz w:val="20"/>
                </w:rPr>
                <w:instrText>"</w:instrText>
              </w:r>
              <w:r w:rsidRPr="000A4491">
                <w:rPr>
                  <w:rFonts w:ascii="Verdana" w:hAnsi="Verdana"/>
                  <w:sz w:val="20"/>
                </w:rPr>
                <w:fldChar w:fldCharType="end"/>
              </w:r>
            </w:hyperlink>
            <w:r w:rsidRPr="000A4491">
              <w:rPr>
                <w:rFonts w:ascii="Verdana" w:hAnsi="Verdana"/>
                <w:sz w:val="20"/>
              </w:rPr>
              <w:t>)</w:t>
            </w:r>
          </w:p>
        </w:tc>
        <w:tc>
          <w:tcPr>
            <w:tcW w:w="5441" w:type="dxa"/>
          </w:tcPr>
          <w:p w14:paraId="5FE34B3C" w14:textId="77777777" w:rsidR="00F935B1" w:rsidRPr="000A4491" w:rsidRDefault="00F935B1" w:rsidP="0083602C">
            <w:pPr>
              <w:rPr>
                <w:rFonts w:ascii="Verdana" w:hAnsi="Verdana"/>
                <w:sz w:val="20"/>
              </w:rPr>
            </w:pPr>
            <w:r w:rsidRPr="000A4491">
              <w:rPr>
                <w:rFonts w:ascii="Verdana" w:hAnsi="Verdana"/>
                <w:sz w:val="20"/>
              </w:rPr>
              <w:t>“900</w:t>
            </w:r>
            <w:r w:rsidRPr="000A4491">
              <w:rPr>
                <w:rFonts w:ascii="Verdana" w:hAnsi="Verdana"/>
                <w:sz w:val="20"/>
              </w:rPr>
              <w:fldChar w:fldCharType="begin"/>
            </w:r>
            <w:r w:rsidRPr="000A4491">
              <w:rPr>
                <w:rFonts w:ascii="Verdana" w:hAnsi="Verdana"/>
                <w:sz w:val="20"/>
              </w:rPr>
              <w:instrText>xe "900 Charges"</w:instrText>
            </w:r>
            <w:r w:rsidRPr="000A4491">
              <w:rPr>
                <w:rFonts w:ascii="Verdana" w:hAnsi="Verdana"/>
                <w:sz w:val="20"/>
              </w:rPr>
              <w:fldChar w:fldCharType="end"/>
            </w:r>
            <w:r w:rsidRPr="000A4491">
              <w:rPr>
                <w:rFonts w:ascii="Verdana" w:hAnsi="Verdana"/>
                <w:sz w:val="20"/>
              </w:rPr>
              <w:t>” is an area code used to reach a wide range of information providers.  Examples of the information that may be provided via a 900 number are adult content</w:t>
            </w:r>
            <w:r w:rsidRPr="000A4491">
              <w:rPr>
                <w:rFonts w:ascii="Verdana" w:hAnsi="Verdana"/>
                <w:sz w:val="20"/>
              </w:rPr>
              <w:fldChar w:fldCharType="begin"/>
            </w:r>
            <w:r w:rsidRPr="000A4491">
              <w:rPr>
                <w:rFonts w:ascii="Verdana" w:hAnsi="Verdana"/>
                <w:sz w:val="20"/>
              </w:rPr>
              <w:instrText>xe "Content"</w:instrText>
            </w:r>
            <w:r w:rsidRPr="000A4491">
              <w:rPr>
                <w:rFonts w:ascii="Verdana" w:hAnsi="Verdana"/>
                <w:sz w:val="20"/>
              </w:rPr>
              <w:fldChar w:fldCharType="end"/>
            </w:r>
            <w:r w:rsidRPr="000A4491">
              <w:rPr>
                <w:rFonts w:ascii="Verdana" w:hAnsi="Verdana"/>
                <w:sz w:val="20"/>
              </w:rPr>
              <w:t xml:space="preserve"> programming</w:t>
            </w:r>
            <w:r w:rsidRPr="000A4491">
              <w:rPr>
                <w:rFonts w:ascii="Verdana" w:hAnsi="Verdana"/>
                <w:sz w:val="20"/>
              </w:rPr>
              <w:fldChar w:fldCharType="begin"/>
            </w:r>
            <w:r w:rsidRPr="000A4491">
              <w:rPr>
                <w:rFonts w:ascii="Verdana" w:hAnsi="Verdana"/>
                <w:sz w:val="20"/>
              </w:rPr>
              <w:instrText>xe "Programming"</w:instrText>
            </w:r>
            <w:r w:rsidRPr="000A4491">
              <w:rPr>
                <w:rFonts w:ascii="Verdana" w:hAnsi="Verdana"/>
                <w:sz w:val="20"/>
              </w:rPr>
              <w:fldChar w:fldCharType="end"/>
            </w:r>
            <w:r w:rsidRPr="000A4491">
              <w:rPr>
                <w:rFonts w:ascii="Verdana" w:hAnsi="Verdana"/>
                <w:sz w:val="20"/>
              </w:rPr>
              <w:t>, weather reports, lottery results, or caller voting for various topics such as television</w:t>
            </w:r>
            <w:r w:rsidRPr="000A4491">
              <w:rPr>
                <w:rFonts w:ascii="Verdana" w:hAnsi="Verdana"/>
                <w:sz w:val="20"/>
              </w:rPr>
              <w:fldChar w:fldCharType="begin"/>
            </w:r>
            <w:r w:rsidRPr="000A4491">
              <w:rPr>
                <w:rFonts w:ascii="Verdana" w:hAnsi="Verdana"/>
                <w:sz w:val="20"/>
              </w:rPr>
              <w:instrText>xe "Television"</w:instrText>
            </w:r>
            <w:r w:rsidRPr="000A4491">
              <w:rPr>
                <w:rFonts w:ascii="Verdana" w:hAnsi="Verdana"/>
                <w:sz w:val="20"/>
              </w:rPr>
              <w:fldChar w:fldCharType="end"/>
            </w:r>
            <w:r w:rsidRPr="000A4491">
              <w:rPr>
                <w:rFonts w:ascii="Verdana" w:hAnsi="Verdana"/>
                <w:sz w:val="20"/>
              </w:rPr>
              <w:t xml:space="preserve"> polls.  900 service calls are charged to the party originating the call.  Charges for accessing 900 calls are often included in the toll charges</w:t>
            </w:r>
            <w:r w:rsidRPr="000A4491">
              <w:rPr>
                <w:rFonts w:ascii="Verdana" w:hAnsi="Verdana"/>
                <w:sz w:val="20"/>
              </w:rPr>
              <w:fldChar w:fldCharType="begin"/>
            </w:r>
            <w:r w:rsidRPr="000A4491">
              <w:rPr>
                <w:rFonts w:ascii="Verdana" w:hAnsi="Verdana"/>
                <w:sz w:val="20"/>
              </w:rPr>
              <w:instrText>xe "Toll Charges"</w:instrText>
            </w:r>
            <w:r w:rsidRPr="000A4491">
              <w:rPr>
                <w:rFonts w:ascii="Verdana" w:hAnsi="Verdana"/>
                <w:sz w:val="20"/>
              </w:rPr>
              <w:fldChar w:fldCharType="end"/>
            </w:r>
            <w:r w:rsidRPr="000A4491">
              <w:rPr>
                <w:rFonts w:ascii="Verdana" w:hAnsi="Verdana"/>
                <w:sz w:val="20"/>
              </w:rPr>
              <w:t xml:space="preserve"> on the local telephone bill.  976 service provides a local, pay-per-call telephone service</w:t>
            </w:r>
            <w:r w:rsidRPr="000A4491">
              <w:rPr>
                <w:rFonts w:ascii="Verdana" w:hAnsi="Verdana"/>
                <w:sz w:val="20"/>
              </w:rPr>
              <w:fldChar w:fldCharType="begin"/>
            </w:r>
            <w:r w:rsidRPr="000A4491">
              <w:rPr>
                <w:rFonts w:ascii="Verdana" w:hAnsi="Verdana"/>
                <w:sz w:val="20"/>
              </w:rPr>
              <w:instrText>xe "Telephone Service"</w:instrText>
            </w:r>
            <w:r w:rsidRPr="000A4491">
              <w:rPr>
                <w:rFonts w:ascii="Verdana" w:hAnsi="Verdana"/>
                <w:sz w:val="20"/>
              </w:rPr>
              <w:fldChar w:fldCharType="end"/>
            </w:r>
            <w:r w:rsidRPr="000A4491">
              <w:rPr>
                <w:rFonts w:ascii="Verdana" w:hAnsi="Verdana"/>
                <w:sz w:val="20"/>
              </w:rPr>
              <w:t>.</w:t>
            </w:r>
          </w:p>
        </w:tc>
      </w:tr>
      <w:tr w:rsidR="00F935B1" w14:paraId="3B504BD0" w14:textId="77777777" w:rsidTr="0083602C">
        <w:trPr>
          <w:tblCellSpacing w:w="15" w:type="dxa"/>
        </w:trPr>
        <w:tc>
          <w:tcPr>
            <w:tcW w:w="3656" w:type="dxa"/>
          </w:tcPr>
          <w:p w14:paraId="40B8B003" w14:textId="77777777" w:rsidR="00F935B1" w:rsidRPr="000A4491" w:rsidRDefault="00F935B1" w:rsidP="0083602C">
            <w:pPr>
              <w:rPr>
                <w:rFonts w:ascii="Verdana" w:hAnsi="Verdana"/>
                <w:sz w:val="20"/>
              </w:rPr>
            </w:pPr>
            <w:r w:rsidRPr="000A4491">
              <w:rPr>
                <w:rFonts w:ascii="Verdana" w:hAnsi="Verdana"/>
                <w:sz w:val="20"/>
              </w:rPr>
              <w:t>911</w:t>
            </w:r>
            <w:r w:rsidRPr="000A4491">
              <w:rPr>
                <w:rFonts w:ascii="Verdana" w:hAnsi="Verdana"/>
                <w:sz w:val="20"/>
              </w:rPr>
              <w:fldChar w:fldCharType="begin"/>
            </w:r>
            <w:r w:rsidRPr="000A4491">
              <w:rPr>
                <w:rFonts w:ascii="Verdana" w:hAnsi="Verdana"/>
                <w:sz w:val="20"/>
              </w:rPr>
              <w:instrText>xe "</w:instrText>
            </w:r>
            <w:r w:rsidRPr="000A4491">
              <w:rPr>
                <w:rFonts w:ascii="Verdana" w:hAnsi="Verdana"/>
                <w:bCs/>
                <w:sz w:val="20"/>
              </w:rPr>
              <w:instrText>911</w:instrText>
            </w:r>
            <w:r w:rsidRPr="000A4491">
              <w:rPr>
                <w:rFonts w:ascii="Verdana" w:hAnsi="Verdana"/>
                <w:sz w:val="20"/>
              </w:rPr>
              <w:instrText>"</w:instrText>
            </w:r>
            <w:r w:rsidRPr="000A4491">
              <w:rPr>
                <w:rFonts w:ascii="Verdana" w:hAnsi="Verdana"/>
                <w:sz w:val="20"/>
              </w:rPr>
              <w:fldChar w:fldCharType="end"/>
            </w:r>
            <w:r w:rsidRPr="000A4491">
              <w:rPr>
                <w:rFonts w:ascii="Verdana" w:hAnsi="Verdana"/>
                <w:sz w:val="20"/>
              </w:rPr>
              <w:t>/E911</w:t>
            </w:r>
            <w:r w:rsidRPr="000A4491">
              <w:rPr>
                <w:rFonts w:ascii="Verdana" w:hAnsi="Verdana"/>
                <w:sz w:val="20"/>
              </w:rPr>
              <w:fldChar w:fldCharType="begin"/>
            </w:r>
            <w:r w:rsidRPr="000A4491">
              <w:rPr>
                <w:rFonts w:ascii="Verdana" w:hAnsi="Verdana"/>
                <w:sz w:val="20"/>
              </w:rPr>
              <w:instrText>xe "</w:instrText>
            </w:r>
            <w:r w:rsidRPr="000A4491">
              <w:rPr>
                <w:rFonts w:ascii="Verdana" w:hAnsi="Verdana"/>
                <w:bCs/>
                <w:sz w:val="20"/>
              </w:rPr>
              <w:instrText>E911</w:instrText>
            </w:r>
            <w:r w:rsidRPr="000A4491">
              <w:rPr>
                <w:rFonts w:ascii="Verdana" w:hAnsi="Verdana"/>
                <w:sz w:val="20"/>
              </w:rPr>
              <w:instrText>"</w:instrText>
            </w:r>
            <w:r w:rsidRPr="000A4491">
              <w:rPr>
                <w:rFonts w:ascii="Verdana" w:hAnsi="Verdana"/>
                <w:sz w:val="20"/>
              </w:rPr>
              <w:fldChar w:fldCharType="end"/>
            </w:r>
            <w:r w:rsidRPr="000A4491">
              <w:rPr>
                <w:rFonts w:ascii="Verdana" w:hAnsi="Verdana"/>
                <w:sz w:val="20"/>
              </w:rPr>
              <w:t xml:space="preserve"> Trunks/Lines</w:t>
            </w:r>
          </w:p>
          <w:p w14:paraId="084531EB" w14:textId="77777777" w:rsidR="00F935B1" w:rsidRPr="000A4491" w:rsidRDefault="00F935B1" w:rsidP="0083602C">
            <w:pPr>
              <w:rPr>
                <w:rFonts w:ascii="Verdana" w:hAnsi="Verdana"/>
                <w:sz w:val="20"/>
              </w:rPr>
            </w:pPr>
            <w:r w:rsidRPr="000A4491">
              <w:rPr>
                <w:rFonts w:ascii="Verdana" w:hAnsi="Verdana"/>
                <w:sz w:val="20"/>
              </w:rPr>
              <w:t>(</w:t>
            </w:r>
            <w:hyperlink w:anchor="aattTelephoneService" w:history="1">
              <w:r w:rsidRPr="000A4491">
                <w:rPr>
                  <w:rStyle w:val="Hyperlink"/>
                  <w:rFonts w:ascii="Verdana" w:hAnsi="Verdana"/>
                  <w:sz w:val="20"/>
                </w:rPr>
                <w:t>Telephone Service</w:t>
              </w:r>
              <w:r w:rsidRPr="000A4491">
                <w:rPr>
                  <w:rFonts w:ascii="Verdana" w:hAnsi="Verdana"/>
                  <w:sz w:val="20"/>
                </w:rPr>
                <w:fldChar w:fldCharType="begin"/>
              </w:r>
              <w:r w:rsidRPr="000A4491">
                <w:rPr>
                  <w:rFonts w:ascii="Verdana" w:hAnsi="Verdana"/>
                  <w:sz w:val="20"/>
                </w:rPr>
                <w:instrText>xe "Telephone Service"</w:instrText>
              </w:r>
              <w:r w:rsidRPr="000A4491">
                <w:rPr>
                  <w:rFonts w:ascii="Verdana" w:hAnsi="Verdana"/>
                  <w:sz w:val="20"/>
                </w:rPr>
                <w:fldChar w:fldCharType="end"/>
              </w:r>
            </w:hyperlink>
            <w:r w:rsidRPr="000A4491">
              <w:rPr>
                <w:rFonts w:ascii="Verdana" w:hAnsi="Verdana"/>
                <w:sz w:val="20"/>
              </w:rPr>
              <w:t>)</w:t>
            </w:r>
          </w:p>
        </w:tc>
        <w:tc>
          <w:tcPr>
            <w:tcW w:w="5441" w:type="dxa"/>
          </w:tcPr>
          <w:p w14:paraId="6198BB24" w14:textId="77777777" w:rsidR="00F935B1" w:rsidRPr="000A4491" w:rsidRDefault="00F935B1" w:rsidP="0083602C">
            <w:pPr>
              <w:rPr>
                <w:rFonts w:ascii="Verdana" w:hAnsi="Verdana"/>
                <w:sz w:val="20"/>
              </w:rPr>
            </w:pPr>
            <w:r w:rsidRPr="000A4491">
              <w:rPr>
                <w:rFonts w:ascii="Verdana" w:hAnsi="Verdana"/>
                <w:sz w:val="20"/>
              </w:rPr>
              <w:t>911</w:t>
            </w:r>
            <w:r w:rsidRPr="000A4491">
              <w:rPr>
                <w:rFonts w:ascii="Verdana" w:hAnsi="Verdana"/>
                <w:sz w:val="20"/>
              </w:rPr>
              <w:fldChar w:fldCharType="begin"/>
            </w:r>
            <w:r w:rsidRPr="000A4491">
              <w:rPr>
                <w:rFonts w:ascii="Verdana" w:hAnsi="Verdana"/>
                <w:sz w:val="20"/>
              </w:rPr>
              <w:instrText>xe "</w:instrText>
            </w:r>
            <w:r w:rsidRPr="000A4491">
              <w:rPr>
                <w:rFonts w:ascii="Verdana" w:hAnsi="Verdana"/>
                <w:bCs/>
                <w:sz w:val="20"/>
              </w:rPr>
              <w:instrText>911</w:instrText>
            </w:r>
            <w:r w:rsidRPr="000A4491">
              <w:rPr>
                <w:rFonts w:ascii="Verdana" w:hAnsi="Verdana"/>
                <w:sz w:val="20"/>
              </w:rPr>
              <w:instrText>"</w:instrText>
            </w:r>
            <w:r w:rsidRPr="000A4491">
              <w:rPr>
                <w:rFonts w:ascii="Verdana" w:hAnsi="Verdana"/>
                <w:sz w:val="20"/>
              </w:rPr>
              <w:fldChar w:fldCharType="end"/>
            </w:r>
            <w:r w:rsidRPr="000A4491">
              <w:rPr>
                <w:rFonts w:ascii="Verdana" w:hAnsi="Verdana"/>
                <w:sz w:val="20"/>
              </w:rPr>
              <w:t xml:space="preserve"> and E911</w:t>
            </w:r>
            <w:r w:rsidRPr="000A4491">
              <w:rPr>
                <w:rFonts w:ascii="Verdana" w:hAnsi="Verdana"/>
                <w:sz w:val="20"/>
              </w:rPr>
              <w:fldChar w:fldCharType="begin"/>
            </w:r>
            <w:r w:rsidRPr="000A4491">
              <w:rPr>
                <w:rFonts w:ascii="Verdana" w:hAnsi="Verdana"/>
                <w:sz w:val="20"/>
              </w:rPr>
              <w:instrText>xe "</w:instrText>
            </w:r>
            <w:r w:rsidRPr="000A4491">
              <w:rPr>
                <w:rFonts w:ascii="Verdana" w:hAnsi="Verdana"/>
                <w:bCs/>
                <w:sz w:val="20"/>
              </w:rPr>
              <w:instrText>E911</w:instrText>
            </w:r>
            <w:r w:rsidRPr="000A4491">
              <w:rPr>
                <w:rFonts w:ascii="Verdana" w:hAnsi="Verdana"/>
                <w:sz w:val="20"/>
              </w:rPr>
              <w:instrText>"</w:instrText>
            </w:r>
            <w:r w:rsidRPr="000A4491">
              <w:rPr>
                <w:rFonts w:ascii="Verdana" w:hAnsi="Verdana"/>
                <w:sz w:val="20"/>
              </w:rPr>
              <w:fldChar w:fldCharType="end"/>
            </w:r>
            <w:r w:rsidRPr="000A4491">
              <w:rPr>
                <w:rFonts w:ascii="Verdana" w:hAnsi="Verdana"/>
                <w:sz w:val="20"/>
              </w:rPr>
              <w:t xml:space="preserve"> trunks or lines are dedicated telecommunications</w:t>
            </w:r>
            <w:r w:rsidRPr="000A4491">
              <w:rPr>
                <w:rFonts w:ascii="Verdana" w:hAnsi="Verdana"/>
                <w:sz w:val="20"/>
              </w:rPr>
              <w:fldChar w:fldCharType="begin"/>
            </w:r>
            <w:r w:rsidRPr="000A4491">
              <w:rPr>
                <w:rFonts w:ascii="Verdana" w:hAnsi="Verdana"/>
                <w:sz w:val="20"/>
              </w:rPr>
              <w:instrText>xe "Telecommunications"</w:instrText>
            </w:r>
            <w:r w:rsidRPr="000A4491">
              <w:rPr>
                <w:rFonts w:ascii="Verdana" w:hAnsi="Verdana"/>
                <w:sz w:val="20"/>
              </w:rPr>
              <w:fldChar w:fldCharType="end"/>
            </w:r>
            <w:r w:rsidRPr="000A4491">
              <w:rPr>
                <w:rFonts w:ascii="Verdana" w:hAnsi="Verdana"/>
                <w:sz w:val="20"/>
              </w:rPr>
              <w:t xml:space="preserve"> links specifically or exclusively used for connection between a school/library and a Public Safety Answering Point</w:t>
            </w:r>
            <w:r w:rsidRPr="000A4491">
              <w:rPr>
                <w:rFonts w:ascii="Verdana" w:hAnsi="Verdana"/>
                <w:sz w:val="20"/>
              </w:rPr>
              <w:fldChar w:fldCharType="begin"/>
            </w:r>
            <w:r w:rsidRPr="000A4491">
              <w:rPr>
                <w:rFonts w:ascii="Verdana" w:hAnsi="Verdana"/>
                <w:sz w:val="20"/>
              </w:rPr>
              <w:instrText>xe "Public Safety Answering Point"</w:instrText>
            </w:r>
            <w:r w:rsidRPr="000A4491">
              <w:rPr>
                <w:rFonts w:ascii="Verdana" w:hAnsi="Verdana"/>
                <w:sz w:val="20"/>
              </w:rPr>
              <w:fldChar w:fldCharType="end"/>
            </w:r>
            <w:r w:rsidRPr="000A4491">
              <w:rPr>
                <w:rFonts w:ascii="Verdana" w:hAnsi="Verdana"/>
                <w:sz w:val="20"/>
              </w:rPr>
              <w:t xml:space="preserve"> (PSAP</w:t>
            </w:r>
            <w:r w:rsidRPr="000A4491">
              <w:rPr>
                <w:rFonts w:ascii="Verdana" w:hAnsi="Verdana"/>
                <w:sz w:val="20"/>
              </w:rPr>
              <w:fldChar w:fldCharType="begin"/>
            </w:r>
            <w:r w:rsidRPr="000A4491">
              <w:rPr>
                <w:rFonts w:ascii="Verdana" w:hAnsi="Verdana"/>
                <w:sz w:val="20"/>
              </w:rPr>
              <w:instrText>xe "PSAP"</w:instrText>
            </w:r>
            <w:r w:rsidRPr="000A4491">
              <w:rPr>
                <w:rFonts w:ascii="Verdana" w:hAnsi="Verdana"/>
                <w:sz w:val="20"/>
              </w:rPr>
              <w:fldChar w:fldCharType="end"/>
            </w:r>
            <w:r w:rsidRPr="000A4491">
              <w:rPr>
                <w:rFonts w:ascii="Verdana" w:hAnsi="Verdana"/>
                <w:sz w:val="20"/>
              </w:rPr>
              <w:t>).</w:t>
            </w:r>
          </w:p>
        </w:tc>
      </w:tr>
      <w:tr w:rsidR="00F935B1" w14:paraId="233FBA19" w14:textId="77777777" w:rsidTr="0083602C">
        <w:trPr>
          <w:tblCellSpacing w:w="15" w:type="dxa"/>
        </w:trPr>
        <w:tc>
          <w:tcPr>
            <w:tcW w:w="3656" w:type="dxa"/>
          </w:tcPr>
          <w:p w14:paraId="12794E72" w14:textId="77777777" w:rsidR="00F935B1" w:rsidRPr="000A4491" w:rsidRDefault="00F935B1" w:rsidP="0083602C">
            <w:pPr>
              <w:rPr>
                <w:rFonts w:ascii="Verdana" w:hAnsi="Verdana"/>
                <w:sz w:val="20"/>
              </w:rPr>
            </w:pPr>
            <w:r w:rsidRPr="000A4491">
              <w:rPr>
                <w:rFonts w:ascii="Verdana" w:hAnsi="Verdana"/>
                <w:sz w:val="20"/>
              </w:rPr>
              <w:t>Access Point</w:t>
            </w:r>
            <w:r w:rsidRPr="000A4491">
              <w:rPr>
                <w:rFonts w:ascii="Verdana" w:hAnsi="Verdana"/>
                <w:sz w:val="20"/>
              </w:rPr>
              <w:fldChar w:fldCharType="begin"/>
            </w:r>
            <w:r w:rsidRPr="000A4491">
              <w:rPr>
                <w:rFonts w:ascii="Verdana" w:hAnsi="Verdana"/>
                <w:sz w:val="20"/>
              </w:rPr>
              <w:instrText>xe "</w:instrText>
            </w:r>
            <w:r w:rsidRPr="000A4491">
              <w:rPr>
                <w:rStyle w:val="Hyperlink"/>
                <w:rFonts w:ascii="Verdana" w:hAnsi="Verdana"/>
                <w:bCs/>
                <w:sz w:val="20"/>
              </w:rPr>
              <w:instrText>Access Point</w:instrText>
            </w:r>
            <w:r w:rsidRPr="000A4491">
              <w:rPr>
                <w:rFonts w:ascii="Verdana" w:hAnsi="Verdana"/>
                <w:sz w:val="20"/>
              </w:rPr>
              <w:instrText>"</w:instrText>
            </w:r>
            <w:r w:rsidRPr="000A4491">
              <w:rPr>
                <w:rFonts w:ascii="Verdana" w:hAnsi="Verdana"/>
                <w:sz w:val="20"/>
              </w:rPr>
              <w:fldChar w:fldCharType="end"/>
            </w:r>
            <w:r w:rsidRPr="000A4491">
              <w:rPr>
                <w:rFonts w:ascii="Verdana" w:hAnsi="Verdana"/>
                <w:sz w:val="20"/>
              </w:rPr>
              <w:t xml:space="preserve"> </w:t>
            </w:r>
            <w:r w:rsidRPr="000A4491">
              <w:rPr>
                <w:rFonts w:ascii="Verdana" w:hAnsi="Verdana"/>
                <w:sz w:val="20"/>
              </w:rPr>
              <w:br/>
              <w:t>(</w:t>
            </w:r>
            <w:hyperlink w:anchor="aaDataDistribution" w:history="1">
              <w:r w:rsidRPr="000A4491">
                <w:rPr>
                  <w:rStyle w:val="Hyperlink"/>
                  <w:rFonts w:ascii="Verdana" w:hAnsi="Verdana"/>
                  <w:sz w:val="20"/>
                </w:rPr>
                <w:t>Data Distribution</w:t>
              </w:r>
              <w:r w:rsidRPr="000A4491">
                <w:rPr>
                  <w:rFonts w:ascii="Verdana" w:hAnsi="Verdana"/>
                  <w:sz w:val="20"/>
                </w:rPr>
                <w:fldChar w:fldCharType="begin"/>
              </w:r>
              <w:r w:rsidRPr="000A4491">
                <w:rPr>
                  <w:rFonts w:ascii="Verdana" w:hAnsi="Verdana"/>
                  <w:sz w:val="20"/>
                </w:rPr>
                <w:instrText>xe "Data Distribution"</w:instrText>
              </w:r>
              <w:r w:rsidRPr="000A4491">
                <w:rPr>
                  <w:rFonts w:ascii="Verdana" w:hAnsi="Verdana"/>
                  <w:sz w:val="20"/>
                </w:rPr>
                <w:fldChar w:fldCharType="end"/>
              </w:r>
            </w:hyperlink>
            <w:r w:rsidRPr="000A4491">
              <w:rPr>
                <w:rFonts w:ascii="Verdana" w:hAnsi="Verdana"/>
                <w:sz w:val="20"/>
              </w:rPr>
              <w:t>)</w:t>
            </w:r>
          </w:p>
        </w:tc>
        <w:tc>
          <w:tcPr>
            <w:tcW w:w="5441" w:type="dxa"/>
          </w:tcPr>
          <w:p w14:paraId="52C323C2" w14:textId="77777777" w:rsidR="00F935B1" w:rsidRPr="000A4491" w:rsidRDefault="00F935B1" w:rsidP="0083602C">
            <w:pPr>
              <w:pStyle w:val="NormalWeb"/>
              <w:spacing w:before="0" w:beforeAutospacing="0" w:after="0"/>
              <w:rPr>
                <w:rFonts w:ascii="Verdana" w:hAnsi="Verdana"/>
                <w:sz w:val="20"/>
              </w:rPr>
            </w:pPr>
            <w:r w:rsidRPr="000A4491">
              <w:rPr>
                <w:rFonts w:ascii="Verdana" w:hAnsi="Verdana"/>
                <w:sz w:val="20"/>
              </w:rPr>
              <w:t>An Access Point</w:t>
            </w:r>
            <w:r w:rsidRPr="000A4491">
              <w:rPr>
                <w:rFonts w:ascii="Verdana" w:hAnsi="Verdana"/>
                <w:sz w:val="20"/>
              </w:rPr>
              <w:fldChar w:fldCharType="begin"/>
            </w:r>
            <w:r w:rsidRPr="000A4491">
              <w:rPr>
                <w:rFonts w:ascii="Verdana" w:hAnsi="Verdana"/>
                <w:sz w:val="20"/>
              </w:rPr>
              <w:instrText>xe "</w:instrText>
            </w:r>
            <w:r w:rsidRPr="000A4491">
              <w:rPr>
                <w:rStyle w:val="Hyperlink"/>
                <w:rFonts w:ascii="Verdana" w:hAnsi="Verdana"/>
                <w:bCs/>
                <w:sz w:val="20"/>
              </w:rPr>
              <w:instrText>Access Point</w:instrText>
            </w:r>
            <w:r w:rsidRPr="000A4491">
              <w:rPr>
                <w:rFonts w:ascii="Verdana" w:hAnsi="Verdana"/>
                <w:sz w:val="20"/>
              </w:rPr>
              <w:instrText>"</w:instrText>
            </w:r>
            <w:r w:rsidRPr="000A4491">
              <w:rPr>
                <w:rFonts w:ascii="Verdana" w:hAnsi="Verdana"/>
                <w:sz w:val="20"/>
              </w:rPr>
              <w:fldChar w:fldCharType="end"/>
            </w:r>
            <w:r w:rsidRPr="000A4491">
              <w:rPr>
                <w:rFonts w:ascii="Verdana" w:hAnsi="Verdana"/>
                <w:sz w:val="20"/>
              </w:rPr>
              <w:t xml:space="preserve"> is a base station in a wireless</w:t>
            </w:r>
            <w:r w:rsidRPr="000A4491">
              <w:rPr>
                <w:rFonts w:ascii="Verdana" w:hAnsi="Verdana"/>
                <w:sz w:val="20"/>
              </w:rPr>
              <w:fldChar w:fldCharType="begin"/>
            </w:r>
            <w:r w:rsidRPr="000A4491">
              <w:rPr>
                <w:rFonts w:ascii="Verdana" w:hAnsi="Verdana"/>
                <w:sz w:val="20"/>
              </w:rPr>
              <w:instrText>xe "Wireless"</w:instrText>
            </w:r>
            <w:r w:rsidRPr="000A4491">
              <w:rPr>
                <w:rFonts w:ascii="Verdana" w:hAnsi="Verdana"/>
                <w:sz w:val="20"/>
              </w:rPr>
              <w:fldChar w:fldCharType="end"/>
            </w:r>
            <w:r w:rsidRPr="000A4491">
              <w:rPr>
                <w:rFonts w:ascii="Verdana" w:hAnsi="Verdana"/>
                <w:sz w:val="20"/>
              </w:rPr>
              <w:t xml:space="preserve"> LAN</w:t>
            </w:r>
            <w:r w:rsidRPr="000A4491">
              <w:rPr>
                <w:rFonts w:ascii="Verdana" w:hAnsi="Verdana"/>
                <w:sz w:val="20"/>
              </w:rPr>
              <w:fldChar w:fldCharType="begin"/>
            </w:r>
            <w:r w:rsidRPr="000A4491">
              <w:rPr>
                <w:rFonts w:ascii="Verdana" w:hAnsi="Verdana"/>
                <w:sz w:val="20"/>
              </w:rPr>
              <w:instrText>xe "LAN"</w:instrText>
            </w:r>
            <w:r w:rsidRPr="000A4491">
              <w:rPr>
                <w:rFonts w:ascii="Verdana" w:hAnsi="Verdana"/>
                <w:sz w:val="20"/>
              </w:rPr>
              <w:fldChar w:fldCharType="end"/>
            </w:r>
            <w:r w:rsidRPr="000A4491">
              <w:rPr>
                <w:rFonts w:ascii="Verdana" w:hAnsi="Verdana"/>
                <w:sz w:val="20"/>
              </w:rPr>
              <w:t>.  Access points are typically stand-alone devices that may plug into an Ethernet hub or server</w:t>
            </w:r>
            <w:r w:rsidRPr="000A4491">
              <w:rPr>
                <w:rFonts w:ascii="Verdana" w:hAnsi="Verdana"/>
                <w:sz w:val="20"/>
              </w:rPr>
              <w:fldChar w:fldCharType="begin"/>
            </w:r>
            <w:r w:rsidRPr="000A4491">
              <w:rPr>
                <w:rFonts w:ascii="Verdana" w:hAnsi="Verdana"/>
                <w:sz w:val="20"/>
              </w:rPr>
              <w:instrText>xe "Servers"</w:instrText>
            </w:r>
            <w:r w:rsidRPr="000A4491">
              <w:rPr>
                <w:rFonts w:ascii="Verdana" w:hAnsi="Verdana"/>
                <w:sz w:val="20"/>
              </w:rPr>
              <w:fldChar w:fldCharType="end"/>
            </w:r>
            <w:r w:rsidRPr="000A4491">
              <w:rPr>
                <w:rFonts w:ascii="Verdana" w:hAnsi="Verdana"/>
                <w:sz w:val="20"/>
              </w:rPr>
              <w:t xml:space="preserve"> or may provide a repeater function for wireless networks.</w:t>
            </w:r>
          </w:p>
        </w:tc>
      </w:tr>
      <w:tr w:rsidR="00F935B1" w14:paraId="0B9DFB01" w14:textId="77777777" w:rsidTr="0083602C">
        <w:trPr>
          <w:tblCellSpacing w:w="15" w:type="dxa"/>
        </w:trPr>
        <w:tc>
          <w:tcPr>
            <w:tcW w:w="3656" w:type="dxa"/>
          </w:tcPr>
          <w:p w14:paraId="5ED304C8" w14:textId="77777777" w:rsidR="00F935B1" w:rsidRPr="000A4491" w:rsidRDefault="00F935B1" w:rsidP="0083602C">
            <w:pPr>
              <w:rPr>
                <w:rFonts w:ascii="Verdana" w:hAnsi="Verdana"/>
                <w:sz w:val="20"/>
              </w:rPr>
            </w:pPr>
            <w:r w:rsidRPr="000A4491">
              <w:rPr>
                <w:rFonts w:ascii="Verdana" w:hAnsi="Verdana"/>
                <w:sz w:val="20"/>
              </w:rPr>
              <w:t>Alarm Telephone</w:t>
            </w:r>
            <w:r w:rsidRPr="000A4491">
              <w:rPr>
                <w:rFonts w:ascii="Verdana" w:hAnsi="Verdana"/>
                <w:sz w:val="20"/>
              </w:rPr>
              <w:fldChar w:fldCharType="begin"/>
            </w:r>
            <w:r w:rsidRPr="000A4491">
              <w:rPr>
                <w:rFonts w:ascii="Verdana" w:hAnsi="Verdana"/>
                <w:sz w:val="20"/>
              </w:rPr>
              <w:instrText>xe "Telephone"</w:instrText>
            </w:r>
            <w:r w:rsidRPr="000A4491">
              <w:rPr>
                <w:rFonts w:ascii="Verdana" w:hAnsi="Verdana"/>
                <w:sz w:val="20"/>
              </w:rPr>
              <w:fldChar w:fldCharType="end"/>
            </w:r>
            <w:r w:rsidRPr="000A4491">
              <w:rPr>
                <w:rFonts w:ascii="Verdana" w:hAnsi="Verdana"/>
                <w:sz w:val="20"/>
              </w:rPr>
              <w:t xml:space="preserve"> Line</w:t>
            </w:r>
          </w:p>
          <w:p w14:paraId="606B533B" w14:textId="77777777" w:rsidR="00F935B1" w:rsidRPr="000A4491" w:rsidRDefault="00F935B1" w:rsidP="0083602C">
            <w:pPr>
              <w:rPr>
                <w:rFonts w:ascii="Verdana" w:hAnsi="Verdana"/>
                <w:sz w:val="20"/>
              </w:rPr>
            </w:pPr>
            <w:r w:rsidRPr="000A4491">
              <w:rPr>
                <w:rFonts w:ascii="Verdana" w:hAnsi="Verdana"/>
                <w:sz w:val="20"/>
              </w:rPr>
              <w:t>(</w:t>
            </w:r>
            <w:hyperlink w:anchor="aattTelephoneService" w:history="1">
              <w:r w:rsidRPr="000A4491">
                <w:rPr>
                  <w:rStyle w:val="Hyperlink"/>
                  <w:rFonts w:ascii="Verdana" w:hAnsi="Verdana"/>
                  <w:sz w:val="20"/>
                </w:rPr>
                <w:t>Telephone Service</w:t>
              </w:r>
              <w:r w:rsidRPr="000A4491">
                <w:rPr>
                  <w:rFonts w:ascii="Verdana" w:hAnsi="Verdana"/>
                  <w:sz w:val="20"/>
                </w:rPr>
                <w:fldChar w:fldCharType="begin"/>
              </w:r>
              <w:r w:rsidRPr="000A4491">
                <w:rPr>
                  <w:rFonts w:ascii="Verdana" w:hAnsi="Verdana"/>
                  <w:sz w:val="20"/>
                </w:rPr>
                <w:instrText>xe "Telephone Service"</w:instrText>
              </w:r>
              <w:r w:rsidRPr="000A4491">
                <w:rPr>
                  <w:rFonts w:ascii="Verdana" w:hAnsi="Verdana"/>
                  <w:sz w:val="20"/>
                </w:rPr>
                <w:fldChar w:fldCharType="end"/>
              </w:r>
            </w:hyperlink>
            <w:r w:rsidRPr="000A4491">
              <w:rPr>
                <w:rFonts w:ascii="Verdana" w:hAnsi="Verdana"/>
                <w:sz w:val="20"/>
              </w:rPr>
              <w:t>)</w:t>
            </w:r>
          </w:p>
        </w:tc>
        <w:tc>
          <w:tcPr>
            <w:tcW w:w="5441" w:type="dxa"/>
          </w:tcPr>
          <w:p w14:paraId="1064F1D4" w14:textId="77777777" w:rsidR="00F935B1" w:rsidRPr="000A4491" w:rsidRDefault="00F935B1" w:rsidP="0083602C">
            <w:pPr>
              <w:pStyle w:val="NormalWeb"/>
              <w:spacing w:before="0" w:beforeAutospacing="0" w:after="0"/>
              <w:rPr>
                <w:rFonts w:ascii="Verdana" w:hAnsi="Verdana"/>
                <w:sz w:val="20"/>
              </w:rPr>
            </w:pPr>
            <w:r w:rsidRPr="000A4491">
              <w:rPr>
                <w:rFonts w:ascii="Verdana" w:hAnsi="Verdana"/>
                <w:sz w:val="20"/>
              </w:rPr>
              <w:t>An alarm telephone</w:t>
            </w:r>
            <w:r w:rsidRPr="000A4491">
              <w:rPr>
                <w:rFonts w:ascii="Verdana" w:hAnsi="Verdana"/>
                <w:sz w:val="20"/>
              </w:rPr>
              <w:fldChar w:fldCharType="begin"/>
            </w:r>
            <w:r w:rsidRPr="000A4491">
              <w:rPr>
                <w:rFonts w:ascii="Verdana" w:hAnsi="Verdana"/>
                <w:sz w:val="20"/>
              </w:rPr>
              <w:instrText>xe "</w:instrText>
            </w:r>
            <w:r w:rsidRPr="000A4491">
              <w:rPr>
                <w:rFonts w:ascii="Verdana" w:hAnsi="Verdana"/>
                <w:bCs/>
                <w:sz w:val="20"/>
              </w:rPr>
              <w:instrText>Alarm Telephone Line</w:instrText>
            </w:r>
            <w:r w:rsidRPr="000A4491">
              <w:rPr>
                <w:rFonts w:ascii="Verdana" w:hAnsi="Verdana"/>
                <w:sz w:val="20"/>
              </w:rPr>
              <w:instrText>"</w:instrText>
            </w:r>
            <w:r w:rsidRPr="000A4491">
              <w:rPr>
                <w:rFonts w:ascii="Verdana" w:hAnsi="Verdana"/>
                <w:sz w:val="20"/>
              </w:rPr>
              <w:fldChar w:fldCharType="end"/>
            </w:r>
            <w:r w:rsidRPr="000A4491">
              <w:rPr>
                <w:rFonts w:ascii="Verdana" w:hAnsi="Verdana"/>
                <w:sz w:val="20"/>
              </w:rPr>
              <w:t xml:space="preserve"> line is a telecommunications</w:t>
            </w:r>
            <w:r w:rsidRPr="000A4491">
              <w:rPr>
                <w:rFonts w:ascii="Verdana" w:hAnsi="Verdana"/>
                <w:sz w:val="20"/>
              </w:rPr>
              <w:fldChar w:fldCharType="begin"/>
            </w:r>
            <w:r w:rsidRPr="000A4491">
              <w:rPr>
                <w:rFonts w:ascii="Verdana" w:hAnsi="Verdana"/>
                <w:sz w:val="20"/>
              </w:rPr>
              <w:instrText>xe "Telecommunications"</w:instrText>
            </w:r>
            <w:r w:rsidRPr="000A4491">
              <w:rPr>
                <w:rFonts w:ascii="Verdana" w:hAnsi="Verdana"/>
                <w:sz w:val="20"/>
              </w:rPr>
              <w:fldChar w:fldCharType="end"/>
            </w:r>
            <w:r w:rsidRPr="000A4491">
              <w:rPr>
                <w:rFonts w:ascii="Verdana" w:hAnsi="Verdana"/>
                <w:sz w:val="20"/>
              </w:rPr>
              <w:t xml:space="preserve"> line specifically dedicated to a school or library burglar or fire alarm</w:t>
            </w:r>
            <w:r w:rsidRPr="000A4491">
              <w:rPr>
                <w:rFonts w:ascii="Verdana" w:hAnsi="Verdana"/>
                <w:sz w:val="20"/>
              </w:rPr>
              <w:fldChar w:fldCharType="begin"/>
            </w:r>
            <w:r w:rsidRPr="000A4491">
              <w:rPr>
                <w:rFonts w:ascii="Verdana" w:hAnsi="Verdana"/>
                <w:sz w:val="20"/>
              </w:rPr>
              <w:instrText>xe "Fire Alarm"</w:instrText>
            </w:r>
            <w:r w:rsidRPr="000A4491">
              <w:rPr>
                <w:rFonts w:ascii="Verdana" w:hAnsi="Verdana"/>
                <w:sz w:val="20"/>
              </w:rPr>
              <w:fldChar w:fldCharType="end"/>
            </w:r>
            <w:r w:rsidRPr="000A4491">
              <w:rPr>
                <w:rFonts w:ascii="Verdana" w:hAnsi="Verdana"/>
                <w:sz w:val="20"/>
              </w:rPr>
              <w:fldChar w:fldCharType="begin"/>
            </w:r>
            <w:r w:rsidRPr="000A4491">
              <w:rPr>
                <w:rFonts w:ascii="Verdana" w:hAnsi="Verdana"/>
                <w:sz w:val="20"/>
              </w:rPr>
              <w:instrText>xe "Burglar Alarm"</w:instrText>
            </w:r>
            <w:r w:rsidRPr="000A4491">
              <w:rPr>
                <w:rFonts w:ascii="Verdana" w:hAnsi="Verdana"/>
                <w:sz w:val="20"/>
              </w:rPr>
              <w:fldChar w:fldCharType="end"/>
            </w:r>
            <w:r w:rsidRPr="000A4491">
              <w:rPr>
                <w:rFonts w:ascii="Verdana" w:hAnsi="Verdana"/>
                <w:sz w:val="20"/>
              </w:rPr>
              <w:t xml:space="preserve"> system.  It may be the equivalent of a POTS</w:t>
            </w:r>
            <w:r w:rsidRPr="000A4491">
              <w:rPr>
                <w:rFonts w:ascii="Verdana" w:hAnsi="Verdana"/>
                <w:sz w:val="20"/>
              </w:rPr>
              <w:fldChar w:fldCharType="begin"/>
            </w:r>
            <w:r w:rsidRPr="000A4491">
              <w:rPr>
                <w:rFonts w:ascii="Verdana" w:hAnsi="Verdana"/>
                <w:sz w:val="20"/>
              </w:rPr>
              <w:instrText>xe "</w:instrText>
            </w:r>
            <w:r w:rsidRPr="000A4491">
              <w:rPr>
                <w:rStyle w:val="Hyperlink"/>
                <w:rFonts w:ascii="Verdana" w:hAnsi="Verdana"/>
                <w:bCs/>
                <w:sz w:val="20"/>
              </w:rPr>
              <w:instrText>POTS</w:instrText>
            </w:r>
            <w:r w:rsidRPr="000A4491">
              <w:rPr>
                <w:rFonts w:ascii="Verdana" w:hAnsi="Verdana"/>
                <w:sz w:val="20"/>
              </w:rPr>
              <w:instrText>"</w:instrText>
            </w:r>
            <w:r w:rsidRPr="000A4491">
              <w:rPr>
                <w:rFonts w:ascii="Verdana" w:hAnsi="Verdana"/>
                <w:sz w:val="20"/>
              </w:rPr>
              <w:fldChar w:fldCharType="end"/>
            </w:r>
            <w:r w:rsidRPr="000A4491">
              <w:rPr>
                <w:rFonts w:ascii="Verdana" w:hAnsi="Verdana"/>
                <w:sz w:val="20"/>
              </w:rPr>
              <w:t xml:space="preserve"> line or a dedicated line between the school or library and the alarm company.</w:t>
            </w:r>
          </w:p>
        </w:tc>
      </w:tr>
      <w:tr w:rsidR="00F935B1" w14:paraId="25ABEAAD" w14:textId="77777777" w:rsidTr="0083602C">
        <w:trPr>
          <w:tblCellSpacing w:w="15" w:type="dxa"/>
        </w:trPr>
        <w:tc>
          <w:tcPr>
            <w:tcW w:w="3656" w:type="dxa"/>
          </w:tcPr>
          <w:p w14:paraId="46B3168D" w14:textId="77777777" w:rsidR="00F935B1" w:rsidRPr="000A4491" w:rsidRDefault="00F935B1" w:rsidP="0083602C">
            <w:pPr>
              <w:rPr>
                <w:rFonts w:ascii="Verdana" w:hAnsi="Verdana"/>
                <w:sz w:val="20"/>
              </w:rPr>
            </w:pPr>
            <w:r w:rsidRPr="000A4491">
              <w:rPr>
                <w:rFonts w:ascii="Verdana" w:hAnsi="Verdana"/>
                <w:sz w:val="20"/>
              </w:rPr>
              <w:t xml:space="preserve">Antennas </w:t>
            </w:r>
            <w:r w:rsidRPr="000A4491">
              <w:rPr>
                <w:rFonts w:ascii="Verdana" w:hAnsi="Verdana"/>
                <w:sz w:val="20"/>
              </w:rPr>
              <w:br/>
              <w:t>(</w:t>
            </w:r>
            <w:hyperlink w:anchor="aaInterfacesGatewaysAntennas" w:history="1">
              <w:r w:rsidRPr="000A4491">
                <w:rPr>
                  <w:rStyle w:val="Hyperlink"/>
                  <w:rFonts w:ascii="Verdana" w:hAnsi="Verdana"/>
                  <w:sz w:val="20"/>
                </w:rPr>
                <w:t>Interfaces</w:t>
              </w:r>
              <w:r w:rsidRPr="000A4491">
                <w:rPr>
                  <w:rFonts w:ascii="Verdana" w:hAnsi="Verdana"/>
                  <w:sz w:val="20"/>
                </w:rPr>
                <w:fldChar w:fldCharType="begin"/>
              </w:r>
              <w:r w:rsidRPr="000A4491">
                <w:rPr>
                  <w:rFonts w:ascii="Verdana" w:hAnsi="Verdana"/>
                  <w:sz w:val="20"/>
                </w:rPr>
                <w:instrText>xe "</w:instrText>
              </w:r>
              <w:r w:rsidRPr="000A4491">
                <w:rPr>
                  <w:rFonts w:ascii="Verdana" w:hAnsi="Verdana"/>
                  <w:bCs/>
                  <w:sz w:val="20"/>
                </w:rPr>
                <w:instrText>Interfaces</w:instrText>
              </w:r>
              <w:r w:rsidRPr="000A4491">
                <w:rPr>
                  <w:rFonts w:ascii="Verdana" w:hAnsi="Verdana"/>
                  <w:sz w:val="20"/>
                </w:rPr>
                <w:instrText>"</w:instrText>
              </w:r>
              <w:r w:rsidRPr="000A4491">
                <w:rPr>
                  <w:rFonts w:ascii="Verdana" w:hAnsi="Verdana"/>
                  <w:sz w:val="20"/>
                </w:rPr>
                <w:fldChar w:fldCharType="end"/>
              </w:r>
            </w:hyperlink>
            <w:r w:rsidRPr="000A4491">
              <w:rPr>
                <w:rFonts w:ascii="Verdana" w:hAnsi="Verdana"/>
                <w:sz w:val="20"/>
              </w:rPr>
              <w:t>)</w:t>
            </w:r>
          </w:p>
        </w:tc>
        <w:tc>
          <w:tcPr>
            <w:tcW w:w="5441" w:type="dxa"/>
          </w:tcPr>
          <w:p w14:paraId="5F74FA1C" w14:textId="77777777" w:rsidR="00F935B1" w:rsidRPr="000A4491" w:rsidRDefault="00F935B1" w:rsidP="0083602C">
            <w:pPr>
              <w:pStyle w:val="NormalWeb"/>
              <w:spacing w:before="0" w:beforeAutospacing="0" w:after="0"/>
              <w:rPr>
                <w:rFonts w:ascii="Verdana" w:hAnsi="Verdana"/>
                <w:sz w:val="20"/>
              </w:rPr>
            </w:pPr>
            <w:r w:rsidRPr="000A4491">
              <w:rPr>
                <w:rFonts w:ascii="Verdana" w:hAnsi="Verdana"/>
                <w:sz w:val="20"/>
              </w:rPr>
              <w:t>An antenna</w:t>
            </w:r>
            <w:r w:rsidRPr="000A4491">
              <w:rPr>
                <w:rFonts w:ascii="Verdana" w:hAnsi="Verdana"/>
                <w:sz w:val="20"/>
              </w:rPr>
              <w:fldChar w:fldCharType="begin"/>
            </w:r>
            <w:r w:rsidRPr="000A4491">
              <w:rPr>
                <w:rFonts w:ascii="Verdana" w:hAnsi="Verdana"/>
                <w:sz w:val="20"/>
              </w:rPr>
              <w:instrText>xe "Antennas"</w:instrText>
            </w:r>
            <w:r w:rsidRPr="000A4491">
              <w:rPr>
                <w:rFonts w:ascii="Verdana" w:hAnsi="Verdana"/>
                <w:sz w:val="20"/>
              </w:rPr>
              <w:fldChar w:fldCharType="end"/>
            </w:r>
            <w:r w:rsidRPr="000A4491">
              <w:rPr>
                <w:rFonts w:ascii="Verdana" w:hAnsi="Verdana"/>
                <w:sz w:val="20"/>
              </w:rPr>
              <w:t xml:space="preserve"> is a device for transmitting and/or receiving radio</w:t>
            </w:r>
            <w:r w:rsidRPr="000A4491">
              <w:rPr>
                <w:rFonts w:ascii="Verdana" w:hAnsi="Verdana"/>
                <w:sz w:val="20"/>
              </w:rPr>
              <w:fldChar w:fldCharType="begin"/>
            </w:r>
            <w:r w:rsidRPr="000A4491">
              <w:rPr>
                <w:rFonts w:ascii="Verdana" w:hAnsi="Verdana"/>
                <w:sz w:val="20"/>
              </w:rPr>
              <w:instrText>xe "Radio"</w:instrText>
            </w:r>
            <w:r w:rsidRPr="000A4491">
              <w:rPr>
                <w:rFonts w:ascii="Verdana" w:hAnsi="Verdana"/>
                <w:sz w:val="20"/>
              </w:rPr>
              <w:fldChar w:fldCharType="end"/>
            </w:r>
            <w:r w:rsidRPr="000A4491">
              <w:rPr>
                <w:rFonts w:ascii="Verdana" w:hAnsi="Verdana"/>
                <w:sz w:val="20"/>
              </w:rPr>
              <w:t xml:space="preserve"> frequency signals.</w:t>
            </w:r>
          </w:p>
        </w:tc>
      </w:tr>
      <w:tr w:rsidR="00F935B1" w14:paraId="25D4DBEE" w14:textId="77777777" w:rsidTr="0083602C">
        <w:trPr>
          <w:tblCellSpacing w:w="15" w:type="dxa"/>
        </w:trPr>
        <w:tc>
          <w:tcPr>
            <w:tcW w:w="3656" w:type="dxa"/>
          </w:tcPr>
          <w:p w14:paraId="4F56B4E8" w14:textId="77777777" w:rsidR="00F935B1" w:rsidRPr="000A4491" w:rsidRDefault="00F935B1" w:rsidP="0083602C">
            <w:pPr>
              <w:rPr>
                <w:rFonts w:ascii="Verdana" w:hAnsi="Verdana"/>
                <w:sz w:val="20"/>
              </w:rPr>
            </w:pPr>
            <w:r w:rsidRPr="000A4491">
              <w:rPr>
                <w:rFonts w:ascii="Verdana" w:hAnsi="Verdana"/>
                <w:sz w:val="20"/>
              </w:rPr>
              <w:t>Application Software</w:t>
            </w:r>
            <w:r w:rsidRPr="000A4491">
              <w:rPr>
                <w:rFonts w:ascii="Verdana" w:hAnsi="Verdana"/>
                <w:sz w:val="20"/>
              </w:rPr>
              <w:fldChar w:fldCharType="begin"/>
            </w:r>
            <w:r w:rsidRPr="000A4491">
              <w:rPr>
                <w:rFonts w:ascii="Verdana" w:hAnsi="Verdana"/>
                <w:sz w:val="20"/>
              </w:rPr>
              <w:instrText>xe "Application Software"</w:instrText>
            </w:r>
            <w:r w:rsidRPr="000A4491">
              <w:rPr>
                <w:rFonts w:ascii="Verdana" w:hAnsi="Verdana"/>
                <w:sz w:val="20"/>
              </w:rPr>
              <w:fldChar w:fldCharType="end"/>
            </w:r>
            <w:r w:rsidRPr="000A4491">
              <w:rPr>
                <w:rFonts w:ascii="Verdana" w:hAnsi="Verdana"/>
                <w:sz w:val="20"/>
              </w:rPr>
              <w:t xml:space="preserve"> </w:t>
            </w:r>
            <w:r w:rsidRPr="000A4491">
              <w:rPr>
                <w:rFonts w:ascii="Verdana" w:hAnsi="Verdana"/>
                <w:sz w:val="20"/>
              </w:rPr>
              <w:br/>
              <w:t>(</w:t>
            </w:r>
            <w:hyperlink w:anchor="aaSoftware" w:history="1">
              <w:r w:rsidRPr="000A4491">
                <w:rPr>
                  <w:rStyle w:val="Hyperlink"/>
                  <w:rFonts w:ascii="Verdana" w:hAnsi="Verdana"/>
                  <w:sz w:val="20"/>
                </w:rPr>
                <w:t xml:space="preserve">Not Eligible for E-rate </w:t>
              </w:r>
              <w:r w:rsidRPr="000A4491">
                <w:rPr>
                  <w:rStyle w:val="Hyperlink"/>
                  <w:rFonts w:ascii="Verdana" w:hAnsi="Verdana"/>
                  <w:sz w:val="20"/>
                </w:rPr>
                <w:lastRenderedPageBreak/>
                <w:t>Funding as Internal Connections Components</w:t>
              </w:r>
            </w:hyperlink>
            <w:r w:rsidRPr="000A4491">
              <w:rPr>
                <w:rFonts w:ascii="Verdana" w:hAnsi="Verdana"/>
                <w:sz w:val="20"/>
              </w:rPr>
              <w:t>)</w:t>
            </w:r>
          </w:p>
        </w:tc>
        <w:tc>
          <w:tcPr>
            <w:tcW w:w="5441" w:type="dxa"/>
          </w:tcPr>
          <w:p w14:paraId="4C66FBC0" w14:textId="77777777" w:rsidR="00F935B1" w:rsidRPr="000A4491" w:rsidRDefault="00F935B1" w:rsidP="0083602C">
            <w:pPr>
              <w:pStyle w:val="NormalWeb"/>
              <w:spacing w:before="0" w:beforeAutospacing="0" w:after="0"/>
              <w:rPr>
                <w:rFonts w:ascii="Verdana" w:hAnsi="Verdana"/>
                <w:sz w:val="20"/>
              </w:rPr>
            </w:pPr>
            <w:r w:rsidRPr="000A4491">
              <w:rPr>
                <w:rFonts w:ascii="Verdana" w:hAnsi="Verdana"/>
                <w:sz w:val="20"/>
              </w:rPr>
              <w:lastRenderedPageBreak/>
              <w:t>Application software</w:t>
            </w:r>
            <w:r w:rsidRPr="000A4491">
              <w:rPr>
                <w:rFonts w:ascii="Verdana" w:hAnsi="Verdana"/>
                <w:sz w:val="20"/>
              </w:rPr>
              <w:fldChar w:fldCharType="begin"/>
            </w:r>
            <w:r w:rsidRPr="000A4491">
              <w:rPr>
                <w:rFonts w:ascii="Verdana" w:hAnsi="Verdana"/>
                <w:sz w:val="20"/>
              </w:rPr>
              <w:instrText>xe "Software"</w:instrText>
            </w:r>
            <w:r w:rsidRPr="000A4491">
              <w:rPr>
                <w:rFonts w:ascii="Verdana" w:hAnsi="Verdana"/>
                <w:sz w:val="20"/>
              </w:rPr>
              <w:fldChar w:fldCharType="end"/>
            </w:r>
            <w:r w:rsidRPr="000A4491">
              <w:rPr>
                <w:rFonts w:ascii="Verdana" w:hAnsi="Verdana"/>
                <w:sz w:val="20"/>
              </w:rPr>
              <w:t xml:space="preserve"> applies to software accessed directly by end users, such as word </w:t>
            </w:r>
            <w:r w:rsidRPr="000A4491">
              <w:rPr>
                <w:rFonts w:ascii="Verdana" w:hAnsi="Verdana"/>
                <w:sz w:val="20"/>
              </w:rPr>
              <w:lastRenderedPageBreak/>
              <w:t>processors, spreadsheets, utility, anti-virus</w:t>
            </w:r>
            <w:r w:rsidRPr="000A4491">
              <w:rPr>
                <w:rFonts w:ascii="Verdana" w:hAnsi="Verdana"/>
                <w:sz w:val="20"/>
              </w:rPr>
              <w:fldChar w:fldCharType="begin"/>
            </w:r>
            <w:r w:rsidRPr="000A4491">
              <w:rPr>
                <w:rFonts w:ascii="Verdana" w:hAnsi="Verdana"/>
                <w:sz w:val="20"/>
              </w:rPr>
              <w:instrText>xe "Anti-Virus"</w:instrText>
            </w:r>
            <w:r w:rsidRPr="000A4491">
              <w:rPr>
                <w:rFonts w:ascii="Verdana" w:hAnsi="Verdana"/>
                <w:sz w:val="20"/>
              </w:rPr>
              <w:fldChar w:fldCharType="end"/>
            </w:r>
            <w:r w:rsidRPr="000A4491">
              <w:rPr>
                <w:rFonts w:ascii="Verdana" w:hAnsi="Verdana"/>
                <w:sz w:val="20"/>
              </w:rPr>
              <w:t xml:space="preserve">, and graphics programs. </w:t>
            </w:r>
          </w:p>
        </w:tc>
      </w:tr>
      <w:tr w:rsidR="00F935B1" w14:paraId="7A4000B7" w14:textId="77777777" w:rsidTr="0083602C">
        <w:trPr>
          <w:tblCellSpacing w:w="15" w:type="dxa"/>
        </w:trPr>
        <w:tc>
          <w:tcPr>
            <w:tcW w:w="3656" w:type="dxa"/>
          </w:tcPr>
          <w:p w14:paraId="7205F181" w14:textId="77777777" w:rsidR="00F935B1" w:rsidRPr="000A4491" w:rsidRDefault="00F935B1" w:rsidP="0083602C">
            <w:pPr>
              <w:rPr>
                <w:rFonts w:ascii="Verdana" w:hAnsi="Verdana"/>
                <w:sz w:val="20"/>
              </w:rPr>
            </w:pPr>
            <w:r w:rsidRPr="000A4491">
              <w:rPr>
                <w:rFonts w:ascii="Verdana" w:hAnsi="Verdana"/>
                <w:sz w:val="20"/>
              </w:rPr>
              <w:lastRenderedPageBreak/>
              <w:t>Asbestos Removal</w:t>
            </w:r>
            <w:r w:rsidRPr="000A4491">
              <w:rPr>
                <w:rFonts w:ascii="Verdana" w:hAnsi="Verdana"/>
                <w:sz w:val="20"/>
              </w:rPr>
              <w:fldChar w:fldCharType="begin"/>
            </w:r>
            <w:r w:rsidRPr="000A4491">
              <w:rPr>
                <w:rFonts w:ascii="Verdana" w:hAnsi="Verdana"/>
                <w:sz w:val="20"/>
              </w:rPr>
              <w:instrText>xe "Asbestos Removal"</w:instrText>
            </w:r>
            <w:r w:rsidRPr="000A4491">
              <w:rPr>
                <w:rFonts w:ascii="Verdana" w:hAnsi="Verdana"/>
                <w:sz w:val="20"/>
              </w:rPr>
              <w:fldChar w:fldCharType="end"/>
            </w:r>
            <w:r w:rsidRPr="000A4491">
              <w:rPr>
                <w:rFonts w:ascii="Verdana" w:hAnsi="Verdana"/>
                <w:sz w:val="20"/>
              </w:rPr>
              <w:t xml:space="preserve"> </w:t>
            </w:r>
            <w:r w:rsidRPr="000A4491">
              <w:rPr>
                <w:rFonts w:ascii="Verdana" w:hAnsi="Verdana"/>
                <w:sz w:val="20"/>
              </w:rPr>
              <w:br/>
              <w:t>(</w:t>
            </w:r>
            <w:hyperlink w:anchor="aaIneligibleComponents" w:history="1">
              <w:r w:rsidRPr="000A4491">
                <w:rPr>
                  <w:rStyle w:val="Hyperlink"/>
                  <w:rFonts w:ascii="Verdana" w:hAnsi="Verdana"/>
                  <w:sz w:val="20"/>
                </w:rPr>
                <w:t>Not Eligible for E-rate Funding as Internal Connections Components</w:t>
              </w:r>
            </w:hyperlink>
            <w:r w:rsidRPr="000A4491">
              <w:rPr>
                <w:rFonts w:ascii="Verdana" w:hAnsi="Verdana"/>
                <w:sz w:val="20"/>
              </w:rPr>
              <w:t>)</w:t>
            </w:r>
          </w:p>
        </w:tc>
        <w:tc>
          <w:tcPr>
            <w:tcW w:w="5441" w:type="dxa"/>
          </w:tcPr>
          <w:p w14:paraId="690EDCF8" w14:textId="77777777" w:rsidR="00F935B1" w:rsidRPr="000A4491" w:rsidRDefault="00F935B1" w:rsidP="0083602C">
            <w:pPr>
              <w:pStyle w:val="NormalWeb"/>
              <w:spacing w:before="0" w:beforeAutospacing="0" w:after="0"/>
              <w:rPr>
                <w:rFonts w:ascii="Verdana" w:hAnsi="Verdana"/>
                <w:sz w:val="20"/>
              </w:rPr>
            </w:pPr>
            <w:r w:rsidRPr="000A4491">
              <w:rPr>
                <w:rFonts w:ascii="Verdana" w:hAnsi="Verdana"/>
                <w:sz w:val="20"/>
              </w:rPr>
              <w:t>Some older buildings were constructed using products that contain asbestos, which has been determined to be harmful to health.  Renovations and installations in such buildings require special treatment, such as, asbestos removal.</w:t>
            </w:r>
          </w:p>
        </w:tc>
      </w:tr>
      <w:tr w:rsidR="00F935B1" w14:paraId="522CCC79" w14:textId="77777777" w:rsidTr="0083602C">
        <w:trPr>
          <w:tblCellSpacing w:w="15" w:type="dxa"/>
        </w:trPr>
        <w:tc>
          <w:tcPr>
            <w:tcW w:w="3656" w:type="dxa"/>
          </w:tcPr>
          <w:p w14:paraId="04685888" w14:textId="77777777" w:rsidR="00F935B1" w:rsidRPr="000A4491" w:rsidRDefault="00F935B1" w:rsidP="0083602C">
            <w:pPr>
              <w:rPr>
                <w:rFonts w:ascii="Verdana" w:hAnsi="Verdana"/>
                <w:sz w:val="20"/>
                <w:lang w:val="fr-FR"/>
              </w:rPr>
            </w:pPr>
            <w:r w:rsidRPr="000A4491">
              <w:rPr>
                <w:rFonts w:ascii="Verdana" w:hAnsi="Verdana"/>
                <w:sz w:val="20"/>
                <w:lang w:val="fr-FR"/>
              </w:rPr>
              <w:t>Asynchronous Transfer Mode</w:t>
            </w:r>
            <w:r w:rsidRPr="000A4491">
              <w:rPr>
                <w:rFonts w:ascii="Verdana" w:hAnsi="Verdana"/>
                <w:sz w:val="20"/>
                <w:lang w:val="fr-FR"/>
              </w:rPr>
              <w:fldChar w:fldCharType="begin"/>
            </w:r>
            <w:r w:rsidRPr="000A4491">
              <w:rPr>
                <w:rFonts w:ascii="Verdana" w:hAnsi="Verdana"/>
                <w:sz w:val="20"/>
                <w:lang w:val="fr-FR"/>
              </w:rPr>
              <w:instrText>xe "</w:instrText>
            </w:r>
            <w:r w:rsidRPr="000A4491">
              <w:rPr>
                <w:rStyle w:val="Hyperlink"/>
                <w:rFonts w:ascii="Verdana" w:hAnsi="Verdana"/>
                <w:sz w:val="20"/>
                <w:lang w:val="fr-FR"/>
              </w:rPr>
              <w:instrText>Asynchronous Transfer Mode</w:instrText>
            </w:r>
            <w:r w:rsidRPr="000A4491">
              <w:rPr>
                <w:rFonts w:ascii="Verdana" w:hAnsi="Verdana"/>
                <w:sz w:val="20"/>
                <w:lang w:val="fr-FR"/>
              </w:rPr>
              <w:instrText>"</w:instrText>
            </w:r>
            <w:r w:rsidRPr="000A4491">
              <w:rPr>
                <w:rFonts w:ascii="Verdana" w:hAnsi="Verdana"/>
                <w:sz w:val="20"/>
                <w:lang w:val="fr-FR"/>
              </w:rPr>
              <w:fldChar w:fldCharType="end"/>
            </w:r>
            <w:r w:rsidRPr="000A4491">
              <w:rPr>
                <w:rFonts w:ascii="Verdana" w:hAnsi="Verdana"/>
                <w:sz w:val="20"/>
                <w:lang w:val="fr-FR"/>
              </w:rPr>
              <w:t xml:space="preserve"> (ATM</w:t>
            </w:r>
            <w:r w:rsidRPr="000A4491">
              <w:rPr>
                <w:rFonts w:ascii="Verdana" w:hAnsi="Verdana"/>
                <w:sz w:val="20"/>
                <w:lang w:val="fr-FR"/>
              </w:rPr>
              <w:fldChar w:fldCharType="begin"/>
            </w:r>
            <w:r w:rsidRPr="000A4491">
              <w:rPr>
                <w:rFonts w:ascii="Verdana" w:hAnsi="Verdana"/>
                <w:sz w:val="20"/>
                <w:lang w:val="fr-FR"/>
              </w:rPr>
              <w:instrText>xe "ATM"</w:instrText>
            </w:r>
            <w:r w:rsidRPr="000A4491">
              <w:rPr>
                <w:rFonts w:ascii="Verdana" w:hAnsi="Verdana"/>
                <w:sz w:val="20"/>
                <w:lang w:val="fr-FR"/>
              </w:rPr>
              <w:fldChar w:fldCharType="end"/>
            </w:r>
            <w:r w:rsidRPr="000A4491">
              <w:rPr>
                <w:rFonts w:ascii="Verdana" w:hAnsi="Verdana"/>
                <w:sz w:val="20"/>
                <w:lang w:val="fr-FR"/>
              </w:rPr>
              <w:t>)</w:t>
            </w:r>
          </w:p>
          <w:p w14:paraId="32190A09" w14:textId="77777777" w:rsidR="00F935B1" w:rsidRPr="000A4491" w:rsidRDefault="00F935B1" w:rsidP="0083602C">
            <w:pPr>
              <w:rPr>
                <w:rFonts w:ascii="Verdana" w:hAnsi="Verdana"/>
                <w:sz w:val="20"/>
                <w:lang w:val="fr-FR"/>
              </w:rPr>
            </w:pPr>
            <w:r w:rsidRPr="000A4491">
              <w:rPr>
                <w:rFonts w:ascii="Verdana" w:hAnsi="Verdana"/>
                <w:sz w:val="20"/>
                <w:lang w:val="fr-FR"/>
              </w:rPr>
              <w:t>(</w:t>
            </w:r>
            <w:hyperlink w:anchor="aattDigitalTransmissionServices" w:history="1">
              <w:r w:rsidRPr="000A4491">
                <w:rPr>
                  <w:rStyle w:val="Hyperlink"/>
                  <w:rFonts w:ascii="Verdana" w:hAnsi="Verdana"/>
                  <w:sz w:val="20"/>
                  <w:lang w:val="fr-FR"/>
                </w:rPr>
                <w:t>Digital Transmission Services</w:t>
              </w:r>
            </w:hyperlink>
            <w:r w:rsidRPr="000A4491">
              <w:rPr>
                <w:rFonts w:ascii="Verdana" w:hAnsi="Verdana"/>
                <w:sz w:val="20"/>
                <w:lang w:val="fr-FR"/>
              </w:rPr>
              <w:t>)</w:t>
            </w:r>
          </w:p>
        </w:tc>
        <w:tc>
          <w:tcPr>
            <w:tcW w:w="5441" w:type="dxa"/>
          </w:tcPr>
          <w:p w14:paraId="05A2D0B1" w14:textId="77777777" w:rsidR="00F935B1" w:rsidRPr="000A4491" w:rsidRDefault="00F935B1" w:rsidP="0083602C">
            <w:pPr>
              <w:rPr>
                <w:rFonts w:ascii="Verdana" w:hAnsi="Verdana"/>
                <w:sz w:val="20"/>
              </w:rPr>
            </w:pPr>
            <w:r w:rsidRPr="000A4491">
              <w:rPr>
                <w:rFonts w:ascii="Verdana" w:hAnsi="Verdana"/>
                <w:sz w:val="20"/>
              </w:rPr>
              <w:t>ATM</w:t>
            </w:r>
            <w:r w:rsidRPr="000A4491">
              <w:rPr>
                <w:rFonts w:ascii="Verdana" w:hAnsi="Verdana"/>
                <w:sz w:val="20"/>
              </w:rPr>
              <w:fldChar w:fldCharType="begin"/>
            </w:r>
            <w:r w:rsidRPr="000A4491">
              <w:rPr>
                <w:rFonts w:ascii="Verdana" w:hAnsi="Verdana"/>
                <w:sz w:val="20"/>
              </w:rPr>
              <w:instrText>xe "ATM"</w:instrText>
            </w:r>
            <w:r w:rsidRPr="000A4491">
              <w:rPr>
                <w:rFonts w:ascii="Verdana" w:hAnsi="Verdana"/>
                <w:sz w:val="20"/>
              </w:rPr>
              <w:fldChar w:fldCharType="end"/>
            </w:r>
            <w:r w:rsidRPr="000A4491">
              <w:rPr>
                <w:rFonts w:ascii="Verdana" w:hAnsi="Verdana"/>
                <w:sz w:val="20"/>
              </w:rPr>
              <w:t xml:space="preserve"> is a high-speed Digital Transmission Service that can provide bandwidth of 622 Megabits per second or higher.</w:t>
            </w:r>
          </w:p>
        </w:tc>
      </w:tr>
      <w:tr w:rsidR="00F935B1" w14:paraId="0870EBCA" w14:textId="77777777" w:rsidTr="0083602C">
        <w:trPr>
          <w:tblCellSpacing w:w="15" w:type="dxa"/>
        </w:trPr>
        <w:tc>
          <w:tcPr>
            <w:tcW w:w="3656" w:type="dxa"/>
          </w:tcPr>
          <w:p w14:paraId="1BAD2450" w14:textId="77777777" w:rsidR="00F935B1" w:rsidRPr="000A4491" w:rsidRDefault="00F935B1" w:rsidP="0083602C">
            <w:pPr>
              <w:rPr>
                <w:rFonts w:ascii="Verdana" w:hAnsi="Verdana"/>
                <w:sz w:val="20"/>
              </w:rPr>
            </w:pPr>
            <w:r w:rsidRPr="000A4491">
              <w:rPr>
                <w:rFonts w:ascii="Verdana" w:hAnsi="Verdana"/>
                <w:sz w:val="20"/>
              </w:rPr>
              <w:t>Automatic Call Distribution System</w:t>
            </w:r>
            <w:r w:rsidRPr="000A4491">
              <w:rPr>
                <w:rFonts w:ascii="Verdana" w:hAnsi="Verdana"/>
                <w:sz w:val="20"/>
              </w:rPr>
              <w:fldChar w:fldCharType="begin"/>
            </w:r>
            <w:r w:rsidRPr="000A4491">
              <w:rPr>
                <w:rFonts w:ascii="Verdana" w:hAnsi="Verdana"/>
                <w:sz w:val="20"/>
              </w:rPr>
              <w:instrText>xe "</w:instrText>
            </w:r>
            <w:r w:rsidRPr="000A4491">
              <w:rPr>
                <w:rStyle w:val="Hyperlink"/>
                <w:rFonts w:ascii="Verdana" w:hAnsi="Verdana"/>
                <w:bCs/>
                <w:sz w:val="20"/>
              </w:rPr>
              <w:instrText>Automatic Call Distribution System</w:instrText>
            </w:r>
            <w:r w:rsidRPr="000A4491">
              <w:rPr>
                <w:rFonts w:ascii="Verdana" w:hAnsi="Verdana"/>
                <w:sz w:val="20"/>
              </w:rPr>
              <w:instrText>"</w:instrText>
            </w:r>
            <w:r w:rsidRPr="000A4491">
              <w:rPr>
                <w:rFonts w:ascii="Verdana" w:hAnsi="Verdana"/>
                <w:sz w:val="20"/>
              </w:rPr>
              <w:fldChar w:fldCharType="end"/>
            </w:r>
            <w:r w:rsidRPr="000A4491">
              <w:rPr>
                <w:rFonts w:ascii="Verdana" w:hAnsi="Verdana"/>
                <w:sz w:val="20"/>
              </w:rPr>
              <w:t xml:space="preserve"> (ACD</w:t>
            </w:r>
            <w:r w:rsidRPr="000A4491">
              <w:rPr>
                <w:rFonts w:ascii="Verdana" w:hAnsi="Verdana"/>
                <w:sz w:val="20"/>
              </w:rPr>
              <w:fldChar w:fldCharType="begin"/>
            </w:r>
            <w:r w:rsidRPr="000A4491">
              <w:rPr>
                <w:rFonts w:ascii="Verdana" w:hAnsi="Verdana"/>
                <w:sz w:val="20"/>
              </w:rPr>
              <w:instrText>xe "ACD"</w:instrText>
            </w:r>
            <w:r w:rsidRPr="000A4491">
              <w:rPr>
                <w:rFonts w:ascii="Verdana" w:hAnsi="Verdana"/>
                <w:sz w:val="20"/>
              </w:rPr>
              <w:fldChar w:fldCharType="end"/>
            </w:r>
            <w:r w:rsidRPr="000A4491">
              <w:rPr>
                <w:rFonts w:ascii="Verdana" w:hAnsi="Verdana"/>
                <w:sz w:val="20"/>
              </w:rPr>
              <w:t xml:space="preserve">) </w:t>
            </w:r>
            <w:r w:rsidRPr="000A4491">
              <w:rPr>
                <w:rFonts w:ascii="Verdana" w:hAnsi="Verdana"/>
                <w:sz w:val="20"/>
              </w:rPr>
              <w:br/>
              <w:t>(</w:t>
            </w:r>
            <w:hyperlink w:anchor="aaTelephoneComponents" w:history="1">
              <w:r w:rsidRPr="000A4491">
                <w:rPr>
                  <w:rStyle w:val="Hyperlink"/>
                  <w:rFonts w:ascii="Verdana" w:hAnsi="Verdana"/>
                  <w:sz w:val="20"/>
                </w:rPr>
                <w:t>Telephone</w:t>
              </w:r>
              <w:r w:rsidRPr="000A4491">
                <w:rPr>
                  <w:rFonts w:ascii="Verdana" w:hAnsi="Verdana"/>
                  <w:sz w:val="20"/>
                </w:rPr>
                <w:fldChar w:fldCharType="begin"/>
              </w:r>
              <w:r w:rsidRPr="000A4491">
                <w:rPr>
                  <w:rFonts w:ascii="Verdana" w:hAnsi="Verdana"/>
                  <w:sz w:val="20"/>
                </w:rPr>
                <w:instrText>xe "Telephone Service"</w:instrText>
              </w:r>
              <w:r w:rsidRPr="000A4491">
                <w:rPr>
                  <w:rFonts w:ascii="Verdana" w:hAnsi="Verdana"/>
                  <w:sz w:val="20"/>
                </w:rPr>
                <w:fldChar w:fldCharType="end"/>
              </w:r>
            </w:hyperlink>
            <w:r w:rsidRPr="000A4491">
              <w:rPr>
                <w:rFonts w:ascii="Verdana" w:hAnsi="Verdana"/>
                <w:sz w:val="20"/>
              </w:rPr>
              <w:t>—Ineligible)</w:t>
            </w:r>
          </w:p>
        </w:tc>
        <w:tc>
          <w:tcPr>
            <w:tcW w:w="5441" w:type="dxa"/>
          </w:tcPr>
          <w:p w14:paraId="5C56C92F" w14:textId="77777777" w:rsidR="00F935B1" w:rsidRPr="000A4491" w:rsidRDefault="00F935B1" w:rsidP="0083602C">
            <w:pPr>
              <w:pStyle w:val="NormalWeb"/>
              <w:spacing w:before="0" w:beforeAutospacing="0" w:after="0"/>
              <w:rPr>
                <w:rFonts w:ascii="Verdana" w:hAnsi="Verdana"/>
                <w:sz w:val="20"/>
              </w:rPr>
            </w:pPr>
            <w:r w:rsidRPr="000A4491">
              <w:rPr>
                <w:rFonts w:ascii="Verdana" w:hAnsi="Verdana"/>
                <w:sz w:val="20"/>
              </w:rPr>
              <w:t>An Automatic Call Distribution (ACD</w:t>
            </w:r>
            <w:r w:rsidRPr="000A4491">
              <w:rPr>
                <w:rFonts w:ascii="Verdana" w:hAnsi="Verdana"/>
                <w:sz w:val="20"/>
              </w:rPr>
              <w:fldChar w:fldCharType="begin"/>
            </w:r>
            <w:r w:rsidRPr="000A4491">
              <w:rPr>
                <w:rFonts w:ascii="Verdana" w:hAnsi="Verdana"/>
                <w:sz w:val="20"/>
              </w:rPr>
              <w:instrText>xe "ACD"</w:instrText>
            </w:r>
            <w:r w:rsidRPr="000A4491">
              <w:rPr>
                <w:rFonts w:ascii="Verdana" w:hAnsi="Verdana"/>
                <w:sz w:val="20"/>
              </w:rPr>
              <w:fldChar w:fldCharType="end"/>
            </w:r>
            <w:r w:rsidRPr="000A4491">
              <w:rPr>
                <w:rFonts w:ascii="Verdana" w:hAnsi="Verdana"/>
                <w:sz w:val="20"/>
              </w:rPr>
              <w:t>) system, typically used with a PBX</w:t>
            </w:r>
            <w:r w:rsidRPr="000A4491">
              <w:rPr>
                <w:rFonts w:ascii="Verdana" w:hAnsi="Verdana"/>
                <w:sz w:val="20"/>
              </w:rPr>
              <w:fldChar w:fldCharType="begin"/>
            </w:r>
            <w:r w:rsidRPr="000A4491">
              <w:rPr>
                <w:rFonts w:ascii="Verdana" w:hAnsi="Verdana"/>
                <w:sz w:val="20"/>
              </w:rPr>
              <w:instrText>xe "</w:instrText>
            </w:r>
            <w:r w:rsidRPr="000A4491">
              <w:rPr>
                <w:rFonts w:ascii="Verdana" w:hAnsi="Verdana"/>
                <w:bCs/>
                <w:sz w:val="20"/>
              </w:rPr>
              <w:instrText>PBX</w:instrText>
            </w:r>
            <w:r w:rsidRPr="000A4491">
              <w:rPr>
                <w:rFonts w:ascii="Verdana" w:hAnsi="Verdana"/>
                <w:sz w:val="20"/>
              </w:rPr>
              <w:instrText>"</w:instrText>
            </w:r>
            <w:r w:rsidRPr="000A4491">
              <w:rPr>
                <w:rFonts w:ascii="Verdana" w:hAnsi="Verdana"/>
                <w:sz w:val="20"/>
              </w:rPr>
              <w:fldChar w:fldCharType="end"/>
            </w:r>
            <w:r w:rsidRPr="000A4491">
              <w:rPr>
                <w:rFonts w:ascii="Verdana" w:hAnsi="Verdana"/>
                <w:sz w:val="20"/>
              </w:rPr>
              <w:t>, provides a means of automatically distributing calls evenly on a next available agent basis, so that productivity is maintained and inbound calls are handled efficiently.  The system also allows the monitoring</w:t>
            </w:r>
            <w:r w:rsidRPr="000A4491">
              <w:rPr>
                <w:rFonts w:ascii="Verdana" w:hAnsi="Verdana"/>
                <w:sz w:val="20"/>
              </w:rPr>
              <w:fldChar w:fldCharType="begin"/>
            </w:r>
            <w:r w:rsidRPr="000A4491">
              <w:rPr>
                <w:rFonts w:ascii="Verdana" w:hAnsi="Verdana"/>
                <w:sz w:val="20"/>
              </w:rPr>
              <w:instrText>xe "M</w:instrText>
            </w:r>
            <w:r w:rsidRPr="000A4491">
              <w:rPr>
                <w:rFonts w:ascii="Verdana" w:hAnsi="Verdana"/>
                <w:bCs/>
                <w:sz w:val="20"/>
              </w:rPr>
              <w:instrText>onitoring</w:instrText>
            </w:r>
            <w:r w:rsidRPr="000A4491">
              <w:rPr>
                <w:rFonts w:ascii="Verdana" w:hAnsi="Verdana"/>
                <w:sz w:val="20"/>
              </w:rPr>
              <w:instrText>"</w:instrText>
            </w:r>
            <w:r w:rsidRPr="000A4491">
              <w:rPr>
                <w:rFonts w:ascii="Verdana" w:hAnsi="Verdana"/>
                <w:sz w:val="20"/>
              </w:rPr>
              <w:fldChar w:fldCharType="end"/>
            </w:r>
            <w:r w:rsidRPr="000A4491">
              <w:rPr>
                <w:rFonts w:ascii="Verdana" w:hAnsi="Verdana"/>
                <w:sz w:val="20"/>
              </w:rPr>
              <w:t xml:space="preserve"> of operation on a real-time basis.  Additionally, some systems compile historic reports that may enable better utilization of resources for handling incoming calls.</w:t>
            </w:r>
          </w:p>
        </w:tc>
      </w:tr>
      <w:tr w:rsidR="00F935B1" w14:paraId="4D72723D" w14:textId="77777777" w:rsidTr="0083602C">
        <w:trPr>
          <w:tblCellSpacing w:w="15" w:type="dxa"/>
        </w:trPr>
        <w:tc>
          <w:tcPr>
            <w:tcW w:w="3656" w:type="dxa"/>
          </w:tcPr>
          <w:p w14:paraId="6F126472" w14:textId="77777777" w:rsidR="00F935B1" w:rsidRPr="000A4491" w:rsidRDefault="00F935B1" w:rsidP="0083602C">
            <w:pPr>
              <w:rPr>
                <w:rFonts w:ascii="Verdana" w:hAnsi="Verdana"/>
                <w:sz w:val="20"/>
              </w:rPr>
            </w:pPr>
            <w:r w:rsidRPr="000A4491">
              <w:rPr>
                <w:rFonts w:ascii="Verdana" w:hAnsi="Verdana"/>
                <w:sz w:val="20"/>
              </w:rPr>
              <w:t>Automatic Route Selection</w:t>
            </w:r>
            <w:r w:rsidRPr="000A4491">
              <w:rPr>
                <w:rFonts w:ascii="Verdana" w:hAnsi="Verdana"/>
                <w:sz w:val="20"/>
              </w:rPr>
              <w:fldChar w:fldCharType="begin"/>
            </w:r>
            <w:r w:rsidRPr="000A4491">
              <w:rPr>
                <w:rFonts w:ascii="Verdana" w:hAnsi="Verdana"/>
                <w:sz w:val="20"/>
              </w:rPr>
              <w:instrText>xe "</w:instrText>
            </w:r>
            <w:r w:rsidRPr="000A4491">
              <w:rPr>
                <w:rStyle w:val="Hyperlink"/>
                <w:rFonts w:ascii="Verdana" w:hAnsi="Verdana"/>
                <w:bCs/>
                <w:sz w:val="20"/>
              </w:rPr>
              <w:instrText>Automatic Route Selection</w:instrText>
            </w:r>
            <w:r w:rsidRPr="000A4491">
              <w:rPr>
                <w:rFonts w:ascii="Verdana" w:hAnsi="Verdana"/>
                <w:sz w:val="20"/>
              </w:rPr>
              <w:instrText>"</w:instrText>
            </w:r>
            <w:r w:rsidRPr="000A4491">
              <w:rPr>
                <w:rFonts w:ascii="Verdana" w:hAnsi="Verdana"/>
                <w:sz w:val="20"/>
              </w:rPr>
              <w:fldChar w:fldCharType="end"/>
            </w:r>
            <w:r w:rsidRPr="000A4491">
              <w:rPr>
                <w:rFonts w:ascii="Verdana" w:hAnsi="Verdana"/>
                <w:sz w:val="20"/>
              </w:rPr>
              <w:t xml:space="preserve"> (ARS) </w:t>
            </w:r>
            <w:r w:rsidRPr="000A4491">
              <w:rPr>
                <w:rFonts w:ascii="Verdana" w:hAnsi="Verdana"/>
                <w:sz w:val="20"/>
              </w:rPr>
              <w:br/>
              <w:t>(</w:t>
            </w:r>
            <w:hyperlink w:anchor="aaTelephoneComponents" w:history="1">
              <w:r w:rsidRPr="000A4491">
                <w:rPr>
                  <w:rStyle w:val="Hyperlink"/>
                  <w:rFonts w:ascii="Verdana" w:hAnsi="Verdana"/>
                  <w:sz w:val="20"/>
                </w:rPr>
                <w:t>Telephone Components</w:t>
              </w:r>
              <w:r w:rsidRPr="000A4491">
                <w:rPr>
                  <w:rFonts w:ascii="Verdana" w:hAnsi="Verdana"/>
                  <w:sz w:val="20"/>
                </w:rPr>
                <w:fldChar w:fldCharType="begin"/>
              </w:r>
              <w:r w:rsidRPr="000A4491">
                <w:rPr>
                  <w:rFonts w:ascii="Verdana" w:hAnsi="Verdana"/>
                  <w:sz w:val="20"/>
                </w:rPr>
                <w:instrText>xe "Telephone"</w:instrText>
              </w:r>
              <w:r w:rsidRPr="000A4491">
                <w:rPr>
                  <w:rFonts w:ascii="Verdana" w:hAnsi="Verdana"/>
                  <w:sz w:val="20"/>
                </w:rPr>
                <w:fldChar w:fldCharType="end"/>
              </w:r>
            </w:hyperlink>
            <w:r w:rsidRPr="000A4491">
              <w:rPr>
                <w:rFonts w:ascii="Verdana" w:hAnsi="Verdana"/>
                <w:sz w:val="20"/>
              </w:rPr>
              <w:t>)</w:t>
            </w:r>
          </w:p>
        </w:tc>
        <w:tc>
          <w:tcPr>
            <w:tcW w:w="5441" w:type="dxa"/>
          </w:tcPr>
          <w:p w14:paraId="2FA44EDE" w14:textId="77777777" w:rsidR="00F935B1" w:rsidRPr="000A4491" w:rsidRDefault="00F935B1" w:rsidP="0083602C">
            <w:pPr>
              <w:pStyle w:val="NormalWeb"/>
              <w:spacing w:before="0" w:beforeAutospacing="0" w:after="0"/>
              <w:rPr>
                <w:rFonts w:ascii="Verdana" w:hAnsi="Verdana"/>
                <w:sz w:val="20"/>
              </w:rPr>
            </w:pPr>
            <w:r w:rsidRPr="000A4491">
              <w:rPr>
                <w:rFonts w:ascii="Verdana" w:hAnsi="Verdana"/>
                <w:sz w:val="20"/>
              </w:rPr>
              <w:t>Automatic Route Selection</w:t>
            </w:r>
            <w:r w:rsidRPr="000A4491">
              <w:rPr>
                <w:rFonts w:ascii="Verdana" w:hAnsi="Verdana"/>
                <w:sz w:val="20"/>
              </w:rPr>
              <w:fldChar w:fldCharType="begin"/>
            </w:r>
            <w:r w:rsidRPr="000A4491">
              <w:rPr>
                <w:rFonts w:ascii="Verdana" w:hAnsi="Verdana"/>
                <w:sz w:val="20"/>
              </w:rPr>
              <w:instrText>xe "</w:instrText>
            </w:r>
            <w:r w:rsidRPr="000A4491">
              <w:rPr>
                <w:rStyle w:val="Hyperlink"/>
                <w:rFonts w:ascii="Verdana" w:hAnsi="Verdana"/>
                <w:bCs/>
                <w:sz w:val="20"/>
              </w:rPr>
              <w:instrText>Automatic Route Selection</w:instrText>
            </w:r>
            <w:r w:rsidRPr="000A4491">
              <w:rPr>
                <w:rFonts w:ascii="Verdana" w:hAnsi="Verdana"/>
                <w:sz w:val="20"/>
              </w:rPr>
              <w:instrText>"</w:instrText>
            </w:r>
            <w:r w:rsidRPr="000A4491">
              <w:rPr>
                <w:rFonts w:ascii="Verdana" w:hAnsi="Verdana"/>
                <w:sz w:val="20"/>
              </w:rPr>
              <w:fldChar w:fldCharType="end"/>
            </w:r>
            <w:r w:rsidRPr="000A4491">
              <w:rPr>
                <w:rFonts w:ascii="Verdana" w:hAnsi="Verdana"/>
                <w:sz w:val="20"/>
              </w:rPr>
              <w:t xml:space="preserve"> (ARS) is a PBX</w:t>
            </w:r>
            <w:r w:rsidRPr="000A4491">
              <w:rPr>
                <w:rFonts w:ascii="Verdana" w:hAnsi="Verdana"/>
                <w:sz w:val="20"/>
              </w:rPr>
              <w:fldChar w:fldCharType="begin"/>
            </w:r>
            <w:r w:rsidRPr="000A4491">
              <w:rPr>
                <w:rFonts w:ascii="Verdana" w:hAnsi="Verdana"/>
                <w:sz w:val="20"/>
              </w:rPr>
              <w:instrText>xe "</w:instrText>
            </w:r>
            <w:r w:rsidRPr="000A4491">
              <w:rPr>
                <w:rFonts w:ascii="Verdana" w:hAnsi="Verdana"/>
                <w:bCs/>
                <w:sz w:val="20"/>
              </w:rPr>
              <w:instrText>PBX</w:instrText>
            </w:r>
            <w:r w:rsidRPr="000A4491">
              <w:rPr>
                <w:rFonts w:ascii="Verdana" w:hAnsi="Verdana"/>
                <w:sz w:val="20"/>
              </w:rPr>
              <w:instrText>"</w:instrText>
            </w:r>
            <w:r w:rsidRPr="000A4491">
              <w:rPr>
                <w:rFonts w:ascii="Verdana" w:hAnsi="Verdana"/>
                <w:sz w:val="20"/>
              </w:rPr>
              <w:fldChar w:fldCharType="end"/>
            </w:r>
            <w:r w:rsidRPr="000A4491">
              <w:rPr>
                <w:rFonts w:ascii="Verdana" w:hAnsi="Verdana"/>
                <w:sz w:val="20"/>
              </w:rPr>
              <w:t xml:space="preserve"> and Centrex</w:t>
            </w:r>
            <w:r w:rsidRPr="000A4491">
              <w:rPr>
                <w:rFonts w:ascii="Verdana" w:hAnsi="Verdana"/>
                <w:sz w:val="20"/>
              </w:rPr>
              <w:fldChar w:fldCharType="begin"/>
            </w:r>
            <w:r w:rsidRPr="000A4491">
              <w:rPr>
                <w:rFonts w:ascii="Verdana" w:hAnsi="Verdana"/>
                <w:sz w:val="20"/>
              </w:rPr>
              <w:instrText>xe "</w:instrText>
            </w:r>
            <w:r w:rsidRPr="000A4491">
              <w:rPr>
                <w:rStyle w:val="Hyperlink"/>
                <w:rFonts w:ascii="Verdana" w:hAnsi="Verdana"/>
                <w:bCs/>
                <w:sz w:val="20"/>
              </w:rPr>
              <w:instrText>Centrex</w:instrText>
            </w:r>
            <w:r w:rsidRPr="000A4491">
              <w:rPr>
                <w:rFonts w:ascii="Verdana" w:hAnsi="Verdana"/>
                <w:sz w:val="20"/>
              </w:rPr>
              <w:instrText>"</w:instrText>
            </w:r>
            <w:r w:rsidRPr="000A4491">
              <w:rPr>
                <w:rFonts w:ascii="Verdana" w:hAnsi="Verdana"/>
                <w:sz w:val="20"/>
              </w:rPr>
              <w:fldChar w:fldCharType="end"/>
            </w:r>
            <w:r w:rsidRPr="000A4491">
              <w:rPr>
                <w:rFonts w:ascii="Verdana" w:hAnsi="Verdana"/>
                <w:sz w:val="20"/>
              </w:rPr>
              <w:t xml:space="preserve"> service that allows for automatic selection of the most efficient and cost-effective</w:t>
            </w:r>
            <w:r w:rsidRPr="000A4491">
              <w:rPr>
                <w:rFonts w:ascii="Verdana" w:hAnsi="Verdana"/>
                <w:sz w:val="20"/>
              </w:rPr>
              <w:fldChar w:fldCharType="begin"/>
            </w:r>
            <w:r w:rsidRPr="000A4491">
              <w:rPr>
                <w:rFonts w:ascii="Verdana" w:hAnsi="Verdana"/>
                <w:sz w:val="20"/>
              </w:rPr>
              <w:instrText>xe "Cost-Effective"</w:instrText>
            </w:r>
            <w:r w:rsidRPr="000A4491">
              <w:rPr>
                <w:rFonts w:ascii="Verdana" w:hAnsi="Verdana"/>
                <w:sz w:val="20"/>
              </w:rPr>
              <w:fldChar w:fldCharType="end"/>
            </w:r>
            <w:r w:rsidRPr="000A4491">
              <w:rPr>
                <w:rFonts w:ascii="Verdana" w:hAnsi="Verdana"/>
                <w:sz w:val="20"/>
              </w:rPr>
              <w:t xml:space="preserve"> route.  It may also be referred to as “least cost routing”.  By using the ARS feature, outgoing phone calls from PBX and Centrex stations are routed to the most cost-efficient service or facilities.</w:t>
            </w:r>
          </w:p>
        </w:tc>
      </w:tr>
      <w:tr w:rsidR="00F935B1" w14:paraId="26EA76AE" w14:textId="77777777" w:rsidTr="0083602C">
        <w:trPr>
          <w:tblCellSpacing w:w="15" w:type="dxa"/>
        </w:trPr>
        <w:tc>
          <w:tcPr>
            <w:tcW w:w="3656" w:type="dxa"/>
          </w:tcPr>
          <w:p w14:paraId="3A9574F6" w14:textId="77777777" w:rsidR="00F935B1" w:rsidRPr="000A4491" w:rsidRDefault="00F935B1" w:rsidP="0083602C">
            <w:pPr>
              <w:rPr>
                <w:rFonts w:ascii="Verdana" w:hAnsi="Verdana"/>
                <w:sz w:val="20"/>
              </w:rPr>
            </w:pPr>
            <w:r w:rsidRPr="000A4491">
              <w:rPr>
                <w:rFonts w:ascii="Verdana" w:hAnsi="Verdana"/>
                <w:sz w:val="20"/>
              </w:rPr>
              <w:t>Bridge</w:t>
            </w:r>
            <w:r w:rsidRPr="000A4491">
              <w:rPr>
                <w:rFonts w:ascii="Verdana" w:hAnsi="Verdana"/>
                <w:sz w:val="20"/>
              </w:rPr>
              <w:fldChar w:fldCharType="begin"/>
            </w:r>
            <w:r w:rsidRPr="000A4491">
              <w:rPr>
                <w:rFonts w:ascii="Verdana" w:hAnsi="Verdana"/>
                <w:sz w:val="20"/>
              </w:rPr>
              <w:instrText>xe "</w:instrText>
            </w:r>
            <w:r w:rsidRPr="000A4491">
              <w:rPr>
                <w:rStyle w:val="Hyperlink"/>
                <w:rFonts w:ascii="Verdana" w:hAnsi="Verdana"/>
                <w:bCs/>
                <w:sz w:val="20"/>
              </w:rPr>
              <w:instrText>Bridge</w:instrText>
            </w:r>
            <w:r w:rsidRPr="000A4491">
              <w:rPr>
                <w:rFonts w:ascii="Verdana" w:hAnsi="Verdana"/>
                <w:sz w:val="20"/>
              </w:rPr>
              <w:instrText>"</w:instrText>
            </w:r>
            <w:r w:rsidRPr="000A4491">
              <w:rPr>
                <w:rFonts w:ascii="Verdana" w:hAnsi="Verdana"/>
                <w:sz w:val="20"/>
              </w:rPr>
              <w:fldChar w:fldCharType="end"/>
            </w:r>
          </w:p>
          <w:p w14:paraId="12B4E34D" w14:textId="77777777" w:rsidR="00F935B1" w:rsidRPr="000A4491" w:rsidRDefault="00F935B1" w:rsidP="0083602C">
            <w:pPr>
              <w:rPr>
                <w:rFonts w:ascii="Verdana" w:hAnsi="Verdana"/>
                <w:sz w:val="20"/>
              </w:rPr>
            </w:pPr>
            <w:r w:rsidRPr="000A4491">
              <w:rPr>
                <w:rFonts w:ascii="Verdana" w:hAnsi="Verdana"/>
                <w:sz w:val="20"/>
              </w:rPr>
              <w:t>(</w:t>
            </w:r>
            <w:hyperlink w:anchor="aaInterfacesGatewaysAntennas" w:history="1">
              <w:r w:rsidRPr="000A4491">
                <w:rPr>
                  <w:rStyle w:val="Hyperlink"/>
                  <w:rFonts w:ascii="Verdana" w:hAnsi="Verdana"/>
                  <w:sz w:val="20"/>
                </w:rPr>
                <w:t>Interfaces</w:t>
              </w:r>
              <w:r w:rsidRPr="000A4491">
                <w:rPr>
                  <w:rFonts w:ascii="Verdana" w:hAnsi="Verdana"/>
                  <w:sz w:val="20"/>
                </w:rPr>
                <w:fldChar w:fldCharType="begin"/>
              </w:r>
              <w:r w:rsidRPr="000A4491">
                <w:rPr>
                  <w:rFonts w:ascii="Verdana" w:hAnsi="Verdana"/>
                  <w:sz w:val="20"/>
                </w:rPr>
                <w:instrText>xe "</w:instrText>
              </w:r>
              <w:r w:rsidRPr="000A4491">
                <w:rPr>
                  <w:rFonts w:ascii="Verdana" w:hAnsi="Verdana"/>
                  <w:bCs/>
                  <w:sz w:val="20"/>
                </w:rPr>
                <w:instrText>Interfaces</w:instrText>
              </w:r>
              <w:r w:rsidRPr="000A4491">
                <w:rPr>
                  <w:rFonts w:ascii="Verdana" w:hAnsi="Verdana"/>
                  <w:sz w:val="20"/>
                </w:rPr>
                <w:instrText>"</w:instrText>
              </w:r>
              <w:r w:rsidRPr="000A4491">
                <w:rPr>
                  <w:rFonts w:ascii="Verdana" w:hAnsi="Verdana"/>
                  <w:sz w:val="20"/>
                </w:rPr>
                <w:fldChar w:fldCharType="end"/>
              </w:r>
            </w:hyperlink>
            <w:r w:rsidRPr="000A4491">
              <w:rPr>
                <w:rFonts w:ascii="Verdana" w:hAnsi="Verdana"/>
                <w:sz w:val="20"/>
              </w:rPr>
              <w:t>)</w:t>
            </w:r>
          </w:p>
        </w:tc>
        <w:tc>
          <w:tcPr>
            <w:tcW w:w="5441" w:type="dxa"/>
          </w:tcPr>
          <w:p w14:paraId="4080C3F5" w14:textId="77777777" w:rsidR="00F935B1" w:rsidRPr="000A4491" w:rsidRDefault="00F935B1" w:rsidP="0083602C">
            <w:pPr>
              <w:pStyle w:val="NormalWeb"/>
              <w:spacing w:before="0" w:beforeAutospacing="0" w:after="0"/>
              <w:rPr>
                <w:rFonts w:ascii="Verdana" w:hAnsi="Verdana"/>
                <w:sz w:val="20"/>
              </w:rPr>
            </w:pPr>
            <w:r w:rsidRPr="000A4491">
              <w:rPr>
                <w:rFonts w:ascii="Verdana" w:hAnsi="Verdana"/>
                <w:sz w:val="20"/>
              </w:rPr>
              <w:t>A bridge</w:t>
            </w:r>
            <w:r w:rsidRPr="000A4491">
              <w:rPr>
                <w:rFonts w:ascii="Verdana" w:hAnsi="Verdana"/>
                <w:sz w:val="20"/>
              </w:rPr>
              <w:fldChar w:fldCharType="begin"/>
            </w:r>
            <w:r w:rsidRPr="000A4491">
              <w:rPr>
                <w:rFonts w:ascii="Verdana" w:hAnsi="Verdana"/>
                <w:sz w:val="20"/>
              </w:rPr>
              <w:instrText>xe "Bridge"</w:instrText>
            </w:r>
            <w:r w:rsidRPr="000A4491">
              <w:rPr>
                <w:rFonts w:ascii="Verdana" w:hAnsi="Verdana"/>
                <w:sz w:val="20"/>
              </w:rPr>
              <w:fldChar w:fldCharType="end"/>
            </w:r>
            <w:r w:rsidRPr="000A4491">
              <w:rPr>
                <w:rFonts w:ascii="Verdana" w:hAnsi="Verdana"/>
                <w:sz w:val="20"/>
              </w:rPr>
              <w:t xml:space="preserve"> is a data communications device that connects two or more network segments, often translating information from one type of network protocol to another.</w:t>
            </w:r>
          </w:p>
        </w:tc>
      </w:tr>
      <w:tr w:rsidR="00F935B1" w14:paraId="74887785" w14:textId="77777777" w:rsidTr="0083602C">
        <w:trPr>
          <w:tblCellSpacing w:w="15" w:type="dxa"/>
        </w:trPr>
        <w:tc>
          <w:tcPr>
            <w:tcW w:w="3656" w:type="dxa"/>
          </w:tcPr>
          <w:p w14:paraId="0BD7C18A" w14:textId="77777777" w:rsidR="00F935B1" w:rsidRPr="000A4491" w:rsidRDefault="00F935B1" w:rsidP="0083602C">
            <w:pPr>
              <w:pStyle w:val="NormalWeb"/>
              <w:spacing w:before="0" w:beforeAutospacing="0" w:after="0"/>
              <w:rPr>
                <w:rFonts w:ascii="Verdana" w:hAnsi="Verdana"/>
                <w:sz w:val="20"/>
              </w:rPr>
            </w:pPr>
            <w:r w:rsidRPr="000A4491">
              <w:rPr>
                <w:rFonts w:ascii="Verdana" w:hAnsi="Verdana"/>
                <w:sz w:val="20"/>
              </w:rPr>
              <w:t>Broadband over Power Lines (BPL)</w:t>
            </w:r>
            <w:r w:rsidRPr="000A4491">
              <w:rPr>
                <w:rFonts w:ascii="Verdana" w:hAnsi="Verdana"/>
                <w:sz w:val="20"/>
              </w:rPr>
              <w:fldChar w:fldCharType="begin"/>
            </w:r>
            <w:r w:rsidRPr="000A4491">
              <w:rPr>
                <w:rFonts w:ascii="Verdana" w:hAnsi="Verdana"/>
                <w:sz w:val="20"/>
              </w:rPr>
              <w:instrText>xe "Broadband over Power Lines"</w:instrText>
            </w:r>
            <w:r w:rsidRPr="000A4491">
              <w:rPr>
                <w:rFonts w:ascii="Verdana" w:hAnsi="Verdana"/>
                <w:sz w:val="20"/>
              </w:rPr>
              <w:fldChar w:fldCharType="end"/>
            </w:r>
          </w:p>
          <w:p w14:paraId="6F2873D1" w14:textId="77777777" w:rsidR="00F935B1" w:rsidRPr="000A4491" w:rsidRDefault="00F935B1" w:rsidP="0083602C">
            <w:pPr>
              <w:rPr>
                <w:rFonts w:ascii="Verdana" w:hAnsi="Verdana"/>
                <w:sz w:val="20"/>
              </w:rPr>
            </w:pPr>
            <w:r w:rsidRPr="000A4491">
              <w:rPr>
                <w:rFonts w:ascii="Verdana" w:hAnsi="Verdana"/>
                <w:sz w:val="20"/>
              </w:rPr>
              <w:t>(</w:t>
            </w:r>
            <w:hyperlink w:anchor="aattDigitalTransmissionServices" w:history="1">
              <w:r w:rsidRPr="000A4491">
                <w:rPr>
                  <w:rStyle w:val="Hyperlink"/>
                  <w:rFonts w:ascii="Verdana" w:hAnsi="Verdana"/>
                  <w:sz w:val="20"/>
                </w:rPr>
                <w:t>Digital Transmission Services</w:t>
              </w:r>
            </w:hyperlink>
            <w:r w:rsidRPr="000A4491">
              <w:rPr>
                <w:rFonts w:ascii="Verdana" w:hAnsi="Verdana"/>
                <w:sz w:val="20"/>
              </w:rPr>
              <w:t xml:space="preserve">) </w:t>
            </w:r>
          </w:p>
          <w:p w14:paraId="7DF00AF7" w14:textId="77777777" w:rsidR="00F935B1" w:rsidRPr="000A4491" w:rsidRDefault="00F935B1" w:rsidP="0083602C">
            <w:pPr>
              <w:rPr>
                <w:rFonts w:ascii="Verdana" w:hAnsi="Verdana"/>
                <w:sz w:val="20"/>
              </w:rPr>
            </w:pPr>
            <w:r w:rsidRPr="000A4491">
              <w:rPr>
                <w:rFonts w:ascii="Verdana" w:hAnsi="Verdana"/>
                <w:sz w:val="20"/>
              </w:rPr>
              <w:t>(</w:t>
            </w:r>
            <w:hyperlink w:anchor="InternetInternetAccess" w:history="1">
              <w:r w:rsidRPr="000A4491">
                <w:rPr>
                  <w:rStyle w:val="Hyperlink"/>
                  <w:rFonts w:ascii="Verdana" w:hAnsi="Verdana"/>
                  <w:sz w:val="20"/>
                </w:rPr>
                <w:t>Internet Access</w:t>
              </w:r>
              <w:r w:rsidRPr="000A4491">
                <w:rPr>
                  <w:rFonts w:ascii="Verdana" w:hAnsi="Verdana"/>
                  <w:sz w:val="20"/>
                </w:rPr>
                <w:fldChar w:fldCharType="begin"/>
              </w:r>
              <w:r w:rsidRPr="000A4491">
                <w:rPr>
                  <w:rFonts w:ascii="Verdana" w:hAnsi="Verdana"/>
                  <w:sz w:val="20"/>
                </w:rPr>
                <w:instrText>xe "Internet Access"</w:instrText>
              </w:r>
              <w:r w:rsidRPr="000A4491">
                <w:rPr>
                  <w:rFonts w:ascii="Verdana" w:hAnsi="Verdana"/>
                  <w:sz w:val="20"/>
                </w:rPr>
                <w:fldChar w:fldCharType="end"/>
              </w:r>
            </w:hyperlink>
            <w:r w:rsidRPr="000A4491">
              <w:rPr>
                <w:rFonts w:ascii="Verdana" w:hAnsi="Verdana"/>
                <w:sz w:val="20"/>
              </w:rPr>
              <w:t>)</w:t>
            </w:r>
          </w:p>
        </w:tc>
        <w:tc>
          <w:tcPr>
            <w:tcW w:w="5441" w:type="dxa"/>
          </w:tcPr>
          <w:p w14:paraId="7CE19119" w14:textId="77777777" w:rsidR="00F935B1" w:rsidRPr="000A4491" w:rsidRDefault="00F935B1" w:rsidP="0083602C">
            <w:pPr>
              <w:pStyle w:val="NormalWeb"/>
              <w:spacing w:before="0" w:beforeAutospacing="0" w:after="0"/>
              <w:rPr>
                <w:rFonts w:ascii="Verdana" w:hAnsi="Verdana"/>
                <w:sz w:val="20"/>
              </w:rPr>
            </w:pPr>
            <w:r w:rsidRPr="000A4491">
              <w:rPr>
                <w:rFonts w:ascii="Verdana" w:hAnsi="Verdana"/>
                <w:sz w:val="20"/>
              </w:rPr>
              <w:t xml:space="preserve">Broadband over Power Lines (BPL) is a carrier current system installed and operated on an electric utility service as an unintentional radiator that sends radio frequency energy on frequencies between 1.705 MHz and 80 MHz over medium voltage lines or low voltage lines to provide broadband communications.  It is also located on the supply side of the utility service’s points of interconnection with customer premises. </w:t>
            </w:r>
          </w:p>
        </w:tc>
      </w:tr>
      <w:tr w:rsidR="00F935B1" w14:paraId="3A9BA934" w14:textId="77777777" w:rsidTr="0083602C">
        <w:trPr>
          <w:tblCellSpacing w:w="15" w:type="dxa"/>
        </w:trPr>
        <w:tc>
          <w:tcPr>
            <w:tcW w:w="3656" w:type="dxa"/>
          </w:tcPr>
          <w:p w14:paraId="325E2ADE" w14:textId="77777777" w:rsidR="00F935B1" w:rsidRPr="000A4491" w:rsidRDefault="00F935B1" w:rsidP="0083602C">
            <w:pPr>
              <w:rPr>
                <w:rFonts w:ascii="Verdana" w:hAnsi="Verdana"/>
                <w:sz w:val="20"/>
              </w:rPr>
            </w:pPr>
            <w:r w:rsidRPr="000A4491">
              <w:rPr>
                <w:rFonts w:ascii="Verdana" w:hAnsi="Verdana"/>
                <w:sz w:val="20"/>
              </w:rPr>
              <w:t>Broadcast</w:t>
            </w:r>
            <w:r w:rsidRPr="000A4491">
              <w:rPr>
                <w:rFonts w:ascii="Verdana" w:hAnsi="Verdana"/>
                <w:sz w:val="20"/>
              </w:rPr>
              <w:fldChar w:fldCharType="begin"/>
            </w:r>
            <w:r w:rsidRPr="000A4491">
              <w:rPr>
                <w:rFonts w:ascii="Verdana" w:hAnsi="Verdana"/>
                <w:sz w:val="20"/>
              </w:rPr>
              <w:instrText>xe "Broadcast Television"</w:instrText>
            </w:r>
            <w:r w:rsidRPr="000A4491">
              <w:rPr>
                <w:rFonts w:ascii="Verdana" w:hAnsi="Verdana"/>
                <w:sz w:val="20"/>
              </w:rPr>
              <w:fldChar w:fldCharType="end"/>
            </w:r>
            <w:r w:rsidRPr="000A4491">
              <w:rPr>
                <w:rFonts w:ascii="Verdana" w:hAnsi="Verdana"/>
                <w:sz w:val="20"/>
              </w:rPr>
              <w:t xml:space="preserve"> and Cable</w:t>
            </w:r>
            <w:r w:rsidRPr="000A4491">
              <w:rPr>
                <w:rFonts w:ascii="Verdana" w:hAnsi="Verdana"/>
                <w:sz w:val="20"/>
              </w:rPr>
              <w:fldChar w:fldCharType="begin"/>
            </w:r>
            <w:r w:rsidRPr="000A4491">
              <w:rPr>
                <w:rFonts w:ascii="Verdana" w:hAnsi="Verdana"/>
                <w:sz w:val="20"/>
              </w:rPr>
              <w:instrText>xe "</w:instrText>
            </w:r>
            <w:r w:rsidRPr="000A4491">
              <w:rPr>
                <w:rFonts w:ascii="Verdana" w:hAnsi="Verdana"/>
                <w:bCs/>
                <w:sz w:val="20"/>
              </w:rPr>
              <w:instrText>Cable Television</w:instrText>
            </w:r>
            <w:r w:rsidRPr="000A4491">
              <w:rPr>
                <w:rFonts w:ascii="Verdana" w:hAnsi="Verdana"/>
                <w:sz w:val="20"/>
              </w:rPr>
              <w:instrText>"</w:instrText>
            </w:r>
            <w:r w:rsidRPr="000A4491">
              <w:rPr>
                <w:rFonts w:ascii="Verdana" w:hAnsi="Verdana"/>
                <w:sz w:val="20"/>
              </w:rPr>
              <w:fldChar w:fldCharType="end"/>
            </w:r>
            <w:r w:rsidRPr="000A4491">
              <w:rPr>
                <w:rFonts w:ascii="Verdana" w:hAnsi="Verdana"/>
                <w:sz w:val="20"/>
              </w:rPr>
              <w:t xml:space="preserve"> Television Equipment </w:t>
            </w:r>
            <w:r w:rsidRPr="000A4491">
              <w:rPr>
                <w:rFonts w:ascii="Verdana" w:hAnsi="Verdana"/>
                <w:sz w:val="20"/>
              </w:rPr>
              <w:br/>
              <w:t>(</w:t>
            </w:r>
            <w:hyperlink w:anchor="aaVideo" w:history="1">
              <w:r w:rsidRPr="000A4491">
                <w:rPr>
                  <w:rStyle w:val="Hyperlink"/>
                  <w:rFonts w:ascii="Verdana" w:hAnsi="Verdana"/>
                  <w:sz w:val="20"/>
                </w:rPr>
                <w:t>Video Components</w:t>
              </w:r>
              <w:r w:rsidRPr="000A4491">
                <w:rPr>
                  <w:rFonts w:ascii="Verdana" w:hAnsi="Verdana"/>
                  <w:sz w:val="20"/>
                </w:rPr>
                <w:fldChar w:fldCharType="begin"/>
              </w:r>
              <w:r w:rsidRPr="000A4491">
                <w:rPr>
                  <w:rFonts w:ascii="Verdana" w:hAnsi="Verdana"/>
                  <w:sz w:val="20"/>
                </w:rPr>
                <w:instrText>xe "Video Components"</w:instrText>
              </w:r>
              <w:r w:rsidRPr="000A4491">
                <w:rPr>
                  <w:rFonts w:ascii="Verdana" w:hAnsi="Verdana"/>
                  <w:sz w:val="20"/>
                </w:rPr>
                <w:fldChar w:fldCharType="end"/>
              </w:r>
            </w:hyperlink>
            <w:r w:rsidRPr="000A4491">
              <w:rPr>
                <w:rFonts w:ascii="Verdana" w:hAnsi="Verdana"/>
                <w:sz w:val="20"/>
              </w:rPr>
              <w:t>—Ineligible)</w:t>
            </w:r>
          </w:p>
        </w:tc>
        <w:tc>
          <w:tcPr>
            <w:tcW w:w="5441" w:type="dxa"/>
          </w:tcPr>
          <w:p w14:paraId="619F62BC" w14:textId="77777777" w:rsidR="00F935B1" w:rsidRPr="000A4491" w:rsidRDefault="00F935B1" w:rsidP="0083602C">
            <w:pPr>
              <w:pStyle w:val="NormalWeb"/>
              <w:spacing w:before="0" w:beforeAutospacing="0" w:after="0"/>
              <w:rPr>
                <w:rFonts w:ascii="Verdana" w:hAnsi="Verdana"/>
                <w:sz w:val="20"/>
              </w:rPr>
            </w:pPr>
            <w:r w:rsidRPr="000A4491">
              <w:rPr>
                <w:rFonts w:ascii="Verdana" w:hAnsi="Verdana"/>
                <w:sz w:val="20"/>
              </w:rPr>
              <w:t>Broadcast</w:t>
            </w:r>
            <w:r w:rsidRPr="000A4491">
              <w:rPr>
                <w:rFonts w:ascii="Verdana" w:hAnsi="Verdana"/>
                <w:sz w:val="20"/>
              </w:rPr>
              <w:fldChar w:fldCharType="begin"/>
            </w:r>
            <w:r w:rsidRPr="000A4491">
              <w:rPr>
                <w:rFonts w:ascii="Verdana" w:hAnsi="Verdana"/>
                <w:sz w:val="20"/>
              </w:rPr>
              <w:instrText>xe "Broadcast Equipment"</w:instrText>
            </w:r>
            <w:r w:rsidRPr="000A4491">
              <w:rPr>
                <w:rFonts w:ascii="Verdana" w:hAnsi="Verdana"/>
                <w:sz w:val="20"/>
              </w:rPr>
              <w:fldChar w:fldCharType="end"/>
            </w:r>
            <w:r w:rsidRPr="000A4491">
              <w:rPr>
                <w:rFonts w:ascii="Verdana" w:hAnsi="Verdana"/>
                <w:sz w:val="20"/>
              </w:rPr>
              <w:t>/cable</w:t>
            </w:r>
            <w:r w:rsidRPr="000A4491">
              <w:rPr>
                <w:rFonts w:ascii="Verdana" w:hAnsi="Verdana"/>
                <w:sz w:val="20"/>
              </w:rPr>
              <w:fldChar w:fldCharType="begin"/>
            </w:r>
            <w:r w:rsidRPr="000A4491">
              <w:rPr>
                <w:rFonts w:ascii="Verdana" w:hAnsi="Verdana"/>
                <w:sz w:val="20"/>
              </w:rPr>
              <w:instrText>xe "Cable Equipment"</w:instrText>
            </w:r>
            <w:r w:rsidRPr="000A4491">
              <w:rPr>
                <w:rFonts w:ascii="Verdana" w:hAnsi="Verdana"/>
                <w:sz w:val="20"/>
              </w:rPr>
              <w:fldChar w:fldCharType="end"/>
            </w:r>
            <w:r w:rsidRPr="000A4491">
              <w:rPr>
                <w:rFonts w:ascii="Verdana" w:hAnsi="Verdana"/>
                <w:sz w:val="20"/>
              </w:rPr>
              <w:t xml:space="preserve"> equipment applies to equipment used in the transmission or receipt of broadcast TV</w:t>
            </w:r>
            <w:r w:rsidRPr="000A4491">
              <w:rPr>
                <w:rFonts w:ascii="Verdana" w:hAnsi="Verdana"/>
                <w:sz w:val="20"/>
              </w:rPr>
              <w:fldChar w:fldCharType="begin"/>
            </w:r>
            <w:r w:rsidRPr="000A4491">
              <w:rPr>
                <w:rFonts w:ascii="Verdana" w:hAnsi="Verdana"/>
                <w:sz w:val="20"/>
              </w:rPr>
              <w:instrText>xe "Television"</w:instrText>
            </w:r>
            <w:r w:rsidRPr="000A4491">
              <w:rPr>
                <w:rFonts w:ascii="Verdana" w:hAnsi="Verdana"/>
                <w:sz w:val="20"/>
              </w:rPr>
              <w:fldChar w:fldCharType="end"/>
            </w:r>
            <w:r w:rsidRPr="000A4491">
              <w:rPr>
                <w:rFonts w:ascii="Verdana" w:hAnsi="Verdana"/>
                <w:sz w:val="20"/>
              </w:rPr>
              <w:t>, broadcast radio</w:t>
            </w:r>
            <w:r w:rsidRPr="000A4491">
              <w:rPr>
                <w:rFonts w:ascii="Verdana" w:hAnsi="Verdana"/>
                <w:sz w:val="20"/>
              </w:rPr>
              <w:fldChar w:fldCharType="begin"/>
            </w:r>
            <w:r w:rsidRPr="000A4491">
              <w:rPr>
                <w:rFonts w:ascii="Verdana" w:hAnsi="Verdana"/>
                <w:sz w:val="20"/>
              </w:rPr>
              <w:instrText>xe "Radio"</w:instrText>
            </w:r>
            <w:r w:rsidRPr="000A4491">
              <w:rPr>
                <w:rFonts w:ascii="Verdana" w:hAnsi="Verdana"/>
                <w:sz w:val="20"/>
              </w:rPr>
              <w:fldChar w:fldCharType="end"/>
            </w:r>
            <w:r w:rsidRPr="000A4491">
              <w:rPr>
                <w:rFonts w:ascii="Verdana" w:hAnsi="Verdana"/>
                <w:sz w:val="20"/>
              </w:rPr>
              <w:t>, broadcast satellite</w:t>
            </w:r>
            <w:r w:rsidRPr="000A4491">
              <w:rPr>
                <w:rFonts w:ascii="Verdana" w:hAnsi="Verdana"/>
                <w:sz w:val="20"/>
              </w:rPr>
              <w:fldChar w:fldCharType="begin"/>
            </w:r>
            <w:r w:rsidRPr="000A4491">
              <w:rPr>
                <w:rFonts w:ascii="Verdana" w:hAnsi="Verdana"/>
                <w:sz w:val="20"/>
              </w:rPr>
              <w:instrText>xe "Satellite"</w:instrText>
            </w:r>
            <w:r w:rsidRPr="000A4491">
              <w:rPr>
                <w:rFonts w:ascii="Verdana" w:hAnsi="Verdana"/>
                <w:sz w:val="20"/>
              </w:rPr>
              <w:fldChar w:fldCharType="end"/>
            </w:r>
            <w:r w:rsidRPr="000A4491">
              <w:rPr>
                <w:rFonts w:ascii="Verdana" w:hAnsi="Verdana"/>
                <w:sz w:val="20"/>
              </w:rPr>
              <w:t>, or cable television</w:t>
            </w:r>
            <w:r w:rsidRPr="000A4491">
              <w:rPr>
                <w:rFonts w:ascii="Verdana" w:hAnsi="Verdana"/>
                <w:sz w:val="20"/>
              </w:rPr>
              <w:fldChar w:fldCharType="begin"/>
            </w:r>
            <w:r w:rsidRPr="000A4491">
              <w:rPr>
                <w:rFonts w:ascii="Verdana" w:hAnsi="Verdana"/>
                <w:sz w:val="20"/>
              </w:rPr>
              <w:instrText>xe "Television"</w:instrText>
            </w:r>
            <w:r w:rsidRPr="000A4491">
              <w:rPr>
                <w:rFonts w:ascii="Verdana" w:hAnsi="Verdana"/>
                <w:sz w:val="20"/>
              </w:rPr>
              <w:fldChar w:fldCharType="end"/>
            </w:r>
            <w:r w:rsidRPr="000A4491">
              <w:rPr>
                <w:rFonts w:ascii="Verdana" w:hAnsi="Verdana"/>
                <w:sz w:val="20"/>
              </w:rPr>
              <w:t xml:space="preserve"> service.</w:t>
            </w:r>
          </w:p>
        </w:tc>
      </w:tr>
      <w:tr w:rsidR="00F935B1" w14:paraId="16B5F76D" w14:textId="77777777" w:rsidTr="0083602C">
        <w:trPr>
          <w:tblCellSpacing w:w="15" w:type="dxa"/>
        </w:trPr>
        <w:tc>
          <w:tcPr>
            <w:tcW w:w="3656" w:type="dxa"/>
          </w:tcPr>
          <w:p w14:paraId="00B700BE" w14:textId="77777777" w:rsidR="00F935B1" w:rsidRPr="000A4491" w:rsidRDefault="00F935B1" w:rsidP="0083602C">
            <w:pPr>
              <w:rPr>
                <w:rFonts w:ascii="Verdana" w:hAnsi="Verdana"/>
                <w:sz w:val="20"/>
              </w:rPr>
            </w:pPr>
            <w:r w:rsidRPr="000A4491">
              <w:rPr>
                <w:rFonts w:ascii="Verdana" w:hAnsi="Verdana"/>
                <w:sz w:val="20"/>
              </w:rPr>
              <w:lastRenderedPageBreak/>
              <w:t>Broadcast “Blast” Messaging</w:t>
            </w:r>
            <w:r w:rsidRPr="000A4491">
              <w:rPr>
                <w:rFonts w:ascii="Verdana" w:hAnsi="Verdana"/>
                <w:sz w:val="20"/>
              </w:rPr>
              <w:fldChar w:fldCharType="begin"/>
            </w:r>
            <w:r w:rsidRPr="000A4491">
              <w:rPr>
                <w:rFonts w:ascii="Verdana" w:hAnsi="Verdana"/>
                <w:sz w:val="20"/>
              </w:rPr>
              <w:instrText>xe "</w:instrText>
            </w:r>
            <w:r w:rsidRPr="000A4491">
              <w:rPr>
                <w:rStyle w:val="Hyperlink"/>
                <w:rFonts w:ascii="Verdana" w:hAnsi="Verdana"/>
                <w:sz w:val="20"/>
              </w:rPr>
              <w:instrText>Broadcast Blast Messaging</w:instrText>
            </w:r>
            <w:r w:rsidRPr="000A4491">
              <w:rPr>
                <w:rFonts w:ascii="Verdana" w:hAnsi="Verdana"/>
                <w:sz w:val="20"/>
              </w:rPr>
              <w:instrText>"</w:instrText>
            </w:r>
            <w:r w:rsidRPr="000A4491">
              <w:rPr>
                <w:rFonts w:ascii="Verdana" w:hAnsi="Verdana"/>
                <w:sz w:val="20"/>
              </w:rPr>
              <w:fldChar w:fldCharType="end"/>
            </w:r>
            <w:r w:rsidRPr="000A4491">
              <w:rPr>
                <w:rFonts w:ascii="Verdana" w:hAnsi="Verdana"/>
                <w:sz w:val="20"/>
              </w:rPr>
              <w:t xml:space="preserve"> </w:t>
            </w:r>
          </w:p>
          <w:p w14:paraId="07A42C21" w14:textId="77777777" w:rsidR="00F935B1" w:rsidRPr="000A4491" w:rsidRDefault="00F935B1" w:rsidP="0083602C">
            <w:pPr>
              <w:rPr>
                <w:rFonts w:ascii="Verdana" w:hAnsi="Verdana"/>
                <w:sz w:val="20"/>
              </w:rPr>
            </w:pPr>
            <w:r w:rsidRPr="000A4491">
              <w:rPr>
                <w:rFonts w:ascii="Verdana" w:hAnsi="Verdana"/>
                <w:sz w:val="20"/>
              </w:rPr>
              <w:t>(</w:t>
            </w:r>
            <w:hyperlink w:anchor="aattIneligibleServices" w:history="1">
              <w:r w:rsidRPr="000A4491">
                <w:rPr>
                  <w:rStyle w:val="Hyperlink"/>
                  <w:rFonts w:ascii="Verdana" w:hAnsi="Verdana"/>
                  <w:sz w:val="20"/>
                </w:rPr>
                <w:t>NOT Eligible for Funding as Telecommunications Services</w:t>
              </w:r>
              <w:r w:rsidRPr="000A4491">
                <w:rPr>
                  <w:rFonts w:ascii="Verdana" w:hAnsi="Verdana"/>
                  <w:sz w:val="20"/>
                </w:rPr>
                <w:fldChar w:fldCharType="begin"/>
              </w:r>
              <w:r w:rsidRPr="000A4491">
                <w:rPr>
                  <w:rFonts w:ascii="Verdana" w:hAnsi="Verdana"/>
                  <w:sz w:val="20"/>
                </w:rPr>
                <w:instrText>xe "</w:instrText>
              </w:r>
              <w:r w:rsidRPr="000A4491">
                <w:rPr>
                  <w:rStyle w:val="Hyperlink"/>
                  <w:rFonts w:ascii="Verdana" w:hAnsi="Verdana"/>
                  <w:sz w:val="20"/>
                </w:rPr>
                <w:instrText>Telecommunications</w:instrText>
              </w:r>
              <w:r w:rsidRPr="000A4491">
                <w:rPr>
                  <w:rFonts w:ascii="Verdana" w:hAnsi="Verdana"/>
                  <w:sz w:val="20"/>
                </w:rPr>
                <w:instrText>"</w:instrText>
              </w:r>
              <w:r w:rsidRPr="000A4491">
                <w:rPr>
                  <w:rFonts w:ascii="Verdana" w:hAnsi="Verdana"/>
                  <w:sz w:val="20"/>
                </w:rPr>
                <w:fldChar w:fldCharType="end"/>
              </w:r>
            </w:hyperlink>
            <w:r w:rsidRPr="000A4491">
              <w:rPr>
                <w:rFonts w:ascii="Verdana" w:hAnsi="Verdana"/>
                <w:sz w:val="20"/>
              </w:rPr>
              <w:t>)</w:t>
            </w:r>
          </w:p>
        </w:tc>
        <w:tc>
          <w:tcPr>
            <w:tcW w:w="5441" w:type="dxa"/>
          </w:tcPr>
          <w:p w14:paraId="403D9CD2" w14:textId="77777777" w:rsidR="00F935B1" w:rsidRPr="000A4491" w:rsidRDefault="00F935B1" w:rsidP="0083602C">
            <w:pPr>
              <w:pStyle w:val="NormalWeb"/>
              <w:spacing w:before="0" w:beforeAutospacing="0" w:after="0"/>
              <w:rPr>
                <w:rFonts w:ascii="Verdana" w:hAnsi="Verdana"/>
                <w:sz w:val="20"/>
              </w:rPr>
            </w:pPr>
            <w:r w:rsidRPr="000A4491">
              <w:rPr>
                <w:rFonts w:ascii="Verdana" w:hAnsi="Verdana"/>
                <w:sz w:val="20"/>
              </w:rPr>
              <w:t>Broadcast “Blast” Messaging</w:t>
            </w:r>
            <w:r w:rsidRPr="000A4491">
              <w:rPr>
                <w:rFonts w:ascii="Verdana" w:hAnsi="Verdana"/>
                <w:sz w:val="20"/>
              </w:rPr>
              <w:fldChar w:fldCharType="begin"/>
            </w:r>
            <w:r w:rsidRPr="000A4491">
              <w:rPr>
                <w:rFonts w:ascii="Verdana" w:hAnsi="Verdana"/>
                <w:sz w:val="20"/>
              </w:rPr>
              <w:instrText>xe "</w:instrText>
            </w:r>
            <w:r w:rsidRPr="000A4491">
              <w:rPr>
                <w:rStyle w:val="Hyperlink"/>
                <w:rFonts w:ascii="Verdana" w:hAnsi="Verdana"/>
                <w:sz w:val="20"/>
              </w:rPr>
              <w:instrText>Broadcast Blast Messaging</w:instrText>
            </w:r>
            <w:r w:rsidRPr="000A4491">
              <w:rPr>
                <w:rFonts w:ascii="Verdana" w:hAnsi="Verdana"/>
                <w:sz w:val="20"/>
              </w:rPr>
              <w:instrText>"</w:instrText>
            </w:r>
            <w:r w:rsidRPr="000A4491">
              <w:rPr>
                <w:rFonts w:ascii="Verdana" w:hAnsi="Verdana"/>
                <w:sz w:val="20"/>
              </w:rPr>
              <w:fldChar w:fldCharType="end"/>
            </w:r>
            <w:r w:rsidRPr="000A4491">
              <w:rPr>
                <w:rFonts w:ascii="Verdana" w:hAnsi="Verdana"/>
                <w:sz w:val="20"/>
              </w:rPr>
              <w:t xml:space="preserve"> is a service that allows for a message to be created and delivered to a user defined group typically via voice or text message.</w:t>
            </w:r>
          </w:p>
        </w:tc>
      </w:tr>
      <w:tr w:rsidR="00F935B1" w14:paraId="4132EB37" w14:textId="77777777" w:rsidTr="0083602C">
        <w:trPr>
          <w:tblCellSpacing w:w="15" w:type="dxa"/>
        </w:trPr>
        <w:tc>
          <w:tcPr>
            <w:tcW w:w="3656" w:type="dxa"/>
          </w:tcPr>
          <w:p w14:paraId="5DE1C545" w14:textId="77777777" w:rsidR="00F935B1" w:rsidRPr="000A4491" w:rsidRDefault="00F935B1" w:rsidP="0083602C">
            <w:pPr>
              <w:rPr>
                <w:rFonts w:ascii="Verdana" w:hAnsi="Verdana"/>
                <w:sz w:val="20"/>
              </w:rPr>
            </w:pPr>
            <w:r w:rsidRPr="000A4491">
              <w:rPr>
                <w:rFonts w:ascii="Verdana" w:hAnsi="Verdana"/>
                <w:sz w:val="20"/>
              </w:rPr>
              <w:t>Cable Modem</w:t>
            </w:r>
            <w:r w:rsidRPr="000A4491">
              <w:rPr>
                <w:rFonts w:ascii="Verdana" w:hAnsi="Verdana"/>
                <w:sz w:val="20"/>
              </w:rPr>
              <w:fldChar w:fldCharType="begin"/>
            </w:r>
            <w:r w:rsidRPr="000A4491">
              <w:rPr>
                <w:rFonts w:ascii="Verdana" w:hAnsi="Verdana"/>
                <w:sz w:val="20"/>
              </w:rPr>
              <w:instrText>xe "</w:instrText>
            </w:r>
            <w:r w:rsidRPr="000A4491">
              <w:rPr>
                <w:rStyle w:val="Hyperlink"/>
                <w:rFonts w:ascii="Verdana" w:hAnsi="Verdana"/>
                <w:bCs/>
                <w:sz w:val="20"/>
              </w:rPr>
              <w:instrText>Cable Modem</w:instrText>
            </w:r>
            <w:r w:rsidRPr="000A4491">
              <w:rPr>
                <w:rFonts w:ascii="Verdana" w:hAnsi="Verdana"/>
                <w:sz w:val="20"/>
              </w:rPr>
              <w:instrText>"</w:instrText>
            </w:r>
            <w:r w:rsidRPr="000A4491">
              <w:rPr>
                <w:rFonts w:ascii="Verdana" w:hAnsi="Verdana"/>
                <w:sz w:val="20"/>
              </w:rPr>
              <w:fldChar w:fldCharType="end"/>
            </w:r>
          </w:p>
          <w:p w14:paraId="3959DC81" w14:textId="77777777" w:rsidR="00F935B1" w:rsidRPr="000A4491" w:rsidRDefault="00F935B1" w:rsidP="0083602C">
            <w:pPr>
              <w:rPr>
                <w:rFonts w:ascii="Verdana" w:hAnsi="Verdana"/>
                <w:sz w:val="20"/>
              </w:rPr>
            </w:pPr>
            <w:r w:rsidRPr="000A4491">
              <w:rPr>
                <w:rFonts w:ascii="Verdana" w:hAnsi="Verdana"/>
                <w:sz w:val="20"/>
              </w:rPr>
              <w:t>(</w:t>
            </w:r>
            <w:hyperlink w:anchor="InternetInternetAccess" w:history="1">
              <w:r w:rsidRPr="000A4491">
                <w:rPr>
                  <w:rStyle w:val="Hyperlink"/>
                  <w:rFonts w:ascii="Verdana" w:hAnsi="Verdana"/>
                  <w:sz w:val="20"/>
                </w:rPr>
                <w:t>Internet Access</w:t>
              </w:r>
              <w:r w:rsidRPr="000A4491">
                <w:rPr>
                  <w:rFonts w:ascii="Verdana" w:hAnsi="Verdana"/>
                  <w:sz w:val="20"/>
                </w:rPr>
                <w:fldChar w:fldCharType="begin"/>
              </w:r>
              <w:r w:rsidRPr="000A4491">
                <w:rPr>
                  <w:rFonts w:ascii="Verdana" w:hAnsi="Verdana"/>
                  <w:sz w:val="20"/>
                </w:rPr>
                <w:instrText>xe "</w:instrText>
              </w:r>
              <w:r w:rsidRPr="000A4491">
                <w:rPr>
                  <w:rStyle w:val="Hyperlink"/>
                  <w:rFonts w:ascii="Verdana" w:hAnsi="Verdana"/>
                  <w:sz w:val="20"/>
                </w:rPr>
                <w:instrText>Internet Access</w:instrText>
              </w:r>
              <w:r w:rsidRPr="000A4491">
                <w:rPr>
                  <w:rFonts w:ascii="Verdana" w:hAnsi="Verdana"/>
                  <w:sz w:val="20"/>
                </w:rPr>
                <w:instrText>"</w:instrText>
              </w:r>
              <w:r w:rsidRPr="000A4491">
                <w:rPr>
                  <w:rFonts w:ascii="Verdana" w:hAnsi="Verdana"/>
                  <w:sz w:val="20"/>
                </w:rPr>
                <w:fldChar w:fldCharType="end"/>
              </w:r>
            </w:hyperlink>
            <w:r w:rsidRPr="000A4491">
              <w:rPr>
                <w:rFonts w:ascii="Verdana" w:hAnsi="Verdana"/>
                <w:sz w:val="20"/>
              </w:rPr>
              <w:t>)</w:t>
            </w:r>
            <w:r w:rsidRPr="000A4491">
              <w:rPr>
                <w:rFonts w:ascii="Verdana" w:hAnsi="Verdana"/>
                <w:sz w:val="20"/>
              </w:rPr>
              <w:br/>
              <w:t>(</w:t>
            </w:r>
            <w:hyperlink w:anchor="aaInterfacesGatewaysAntennas" w:history="1">
              <w:r w:rsidRPr="000A4491">
                <w:rPr>
                  <w:rStyle w:val="Hyperlink"/>
                  <w:rFonts w:ascii="Verdana" w:hAnsi="Verdana"/>
                  <w:sz w:val="20"/>
                </w:rPr>
                <w:t>Interfaces</w:t>
              </w:r>
              <w:r w:rsidRPr="000A4491">
                <w:rPr>
                  <w:rFonts w:ascii="Verdana" w:hAnsi="Verdana"/>
                  <w:sz w:val="20"/>
                </w:rPr>
                <w:fldChar w:fldCharType="begin"/>
              </w:r>
              <w:r w:rsidRPr="000A4491">
                <w:rPr>
                  <w:rFonts w:ascii="Verdana" w:hAnsi="Verdana"/>
                  <w:sz w:val="20"/>
                </w:rPr>
                <w:instrText>xe "</w:instrText>
              </w:r>
              <w:r w:rsidRPr="000A4491">
                <w:rPr>
                  <w:rFonts w:ascii="Verdana" w:hAnsi="Verdana"/>
                  <w:bCs/>
                  <w:sz w:val="20"/>
                </w:rPr>
                <w:instrText>Interfaces</w:instrText>
              </w:r>
              <w:r w:rsidRPr="000A4491">
                <w:rPr>
                  <w:rFonts w:ascii="Verdana" w:hAnsi="Verdana"/>
                  <w:sz w:val="20"/>
                </w:rPr>
                <w:instrText>"</w:instrText>
              </w:r>
              <w:r w:rsidRPr="000A4491">
                <w:rPr>
                  <w:rFonts w:ascii="Verdana" w:hAnsi="Verdana"/>
                  <w:sz w:val="20"/>
                </w:rPr>
                <w:fldChar w:fldCharType="end"/>
              </w:r>
            </w:hyperlink>
            <w:r w:rsidRPr="000A4491">
              <w:rPr>
                <w:rFonts w:ascii="Verdana" w:hAnsi="Verdana"/>
                <w:sz w:val="20"/>
              </w:rPr>
              <w:t>)</w:t>
            </w:r>
          </w:p>
        </w:tc>
        <w:tc>
          <w:tcPr>
            <w:tcW w:w="5441" w:type="dxa"/>
          </w:tcPr>
          <w:p w14:paraId="476D250B" w14:textId="77777777" w:rsidR="00F935B1" w:rsidRPr="000A4491" w:rsidRDefault="00F935B1" w:rsidP="0083602C">
            <w:pPr>
              <w:pStyle w:val="NormalWeb"/>
              <w:spacing w:before="0" w:beforeAutospacing="0" w:after="0"/>
              <w:rPr>
                <w:rFonts w:ascii="Verdana" w:hAnsi="Verdana"/>
                <w:sz w:val="20"/>
              </w:rPr>
            </w:pPr>
            <w:r w:rsidRPr="000A4491">
              <w:rPr>
                <w:rFonts w:ascii="Verdana" w:hAnsi="Verdana"/>
                <w:sz w:val="20"/>
              </w:rPr>
              <w:t>A cable modem</w:t>
            </w:r>
            <w:r w:rsidRPr="000A4491">
              <w:rPr>
                <w:rFonts w:ascii="Verdana" w:hAnsi="Verdana"/>
                <w:sz w:val="20"/>
              </w:rPr>
              <w:fldChar w:fldCharType="begin"/>
            </w:r>
            <w:r w:rsidRPr="000A4491">
              <w:rPr>
                <w:rFonts w:ascii="Verdana" w:hAnsi="Verdana"/>
                <w:sz w:val="20"/>
              </w:rPr>
              <w:instrText>xe "M</w:instrText>
            </w:r>
            <w:r w:rsidRPr="000A4491">
              <w:rPr>
                <w:rFonts w:ascii="Verdana" w:hAnsi="Verdana"/>
                <w:bCs/>
                <w:sz w:val="20"/>
              </w:rPr>
              <w:instrText>odem</w:instrText>
            </w:r>
            <w:r w:rsidRPr="000A4491">
              <w:rPr>
                <w:rFonts w:ascii="Verdana" w:hAnsi="Verdana"/>
                <w:sz w:val="20"/>
              </w:rPr>
              <w:instrText>"</w:instrText>
            </w:r>
            <w:r w:rsidRPr="000A4491">
              <w:rPr>
                <w:rFonts w:ascii="Verdana" w:hAnsi="Verdana"/>
                <w:sz w:val="20"/>
              </w:rPr>
              <w:fldChar w:fldCharType="end"/>
            </w:r>
            <w:r w:rsidRPr="000A4491">
              <w:rPr>
                <w:rFonts w:ascii="Verdana" w:hAnsi="Verdana"/>
                <w:sz w:val="20"/>
              </w:rPr>
              <w:t xml:space="preserve"> is a modem designed for use on a TV</w:t>
            </w:r>
            <w:r w:rsidRPr="000A4491">
              <w:rPr>
                <w:rFonts w:ascii="Verdana" w:hAnsi="Verdana"/>
                <w:sz w:val="20"/>
              </w:rPr>
              <w:fldChar w:fldCharType="begin"/>
            </w:r>
            <w:r w:rsidRPr="000A4491">
              <w:rPr>
                <w:rFonts w:ascii="Verdana" w:hAnsi="Verdana"/>
                <w:sz w:val="20"/>
              </w:rPr>
              <w:instrText>xe "Television"</w:instrText>
            </w:r>
            <w:r w:rsidRPr="000A4491">
              <w:rPr>
                <w:rFonts w:ascii="Verdana" w:hAnsi="Verdana"/>
                <w:sz w:val="20"/>
              </w:rPr>
              <w:fldChar w:fldCharType="end"/>
            </w:r>
            <w:r w:rsidRPr="000A4491">
              <w:rPr>
                <w:rFonts w:ascii="Verdana" w:hAnsi="Verdana"/>
                <w:sz w:val="20"/>
              </w:rPr>
              <w:t xml:space="preserve"> coaxial cable circuit and provides a high-speed data path.  It can</w:t>
            </w:r>
            <w:r w:rsidRPr="000A4491">
              <w:rPr>
                <w:rFonts w:ascii="Verdana" w:hAnsi="Verdana"/>
                <w:sz w:val="20"/>
              </w:rPr>
              <w:fldChar w:fldCharType="begin"/>
            </w:r>
            <w:r w:rsidRPr="000A4491">
              <w:rPr>
                <w:rFonts w:ascii="Verdana" w:hAnsi="Verdana"/>
                <w:sz w:val="20"/>
              </w:rPr>
              <w:instrText>xe "</w:instrText>
            </w:r>
            <w:r w:rsidRPr="000A4491">
              <w:rPr>
                <w:rFonts w:ascii="Verdana" w:hAnsi="Verdana"/>
                <w:bCs/>
                <w:sz w:val="20"/>
              </w:rPr>
              <w:instrText>Modem</w:instrText>
            </w:r>
            <w:r w:rsidRPr="000A4491">
              <w:rPr>
                <w:rFonts w:ascii="Verdana" w:hAnsi="Verdana"/>
                <w:sz w:val="20"/>
              </w:rPr>
              <w:instrText>"</w:instrText>
            </w:r>
            <w:r w:rsidRPr="000A4491">
              <w:rPr>
                <w:rFonts w:ascii="Verdana" w:hAnsi="Verdana"/>
                <w:sz w:val="20"/>
              </w:rPr>
              <w:fldChar w:fldCharType="end"/>
            </w:r>
            <w:r w:rsidRPr="000A4491">
              <w:rPr>
                <w:rFonts w:ascii="Verdana" w:hAnsi="Verdana"/>
                <w:sz w:val="20"/>
              </w:rPr>
              <w:t xml:space="preserve"> provide high-speed access to the Internet</w:t>
            </w:r>
            <w:r w:rsidRPr="000A4491">
              <w:rPr>
                <w:rFonts w:ascii="Verdana" w:hAnsi="Verdana"/>
                <w:sz w:val="20"/>
              </w:rPr>
              <w:fldChar w:fldCharType="begin"/>
            </w:r>
            <w:r w:rsidRPr="000A4491">
              <w:rPr>
                <w:rFonts w:ascii="Verdana" w:hAnsi="Verdana"/>
                <w:sz w:val="20"/>
              </w:rPr>
              <w:instrText>xe "Internet"</w:instrText>
            </w:r>
            <w:r w:rsidRPr="000A4491">
              <w:rPr>
                <w:rFonts w:ascii="Verdana" w:hAnsi="Verdana"/>
                <w:sz w:val="20"/>
              </w:rPr>
              <w:fldChar w:fldCharType="end"/>
            </w:r>
            <w:r w:rsidRPr="000A4491">
              <w:rPr>
                <w:rFonts w:ascii="Verdana" w:hAnsi="Verdana"/>
                <w:sz w:val="20"/>
              </w:rPr>
              <w:t xml:space="preserve"> over a cable television</w:t>
            </w:r>
            <w:r w:rsidRPr="000A4491">
              <w:rPr>
                <w:rFonts w:ascii="Verdana" w:hAnsi="Verdana"/>
                <w:sz w:val="20"/>
              </w:rPr>
              <w:fldChar w:fldCharType="begin"/>
            </w:r>
            <w:r w:rsidRPr="000A4491">
              <w:rPr>
                <w:rFonts w:ascii="Verdana" w:hAnsi="Verdana"/>
                <w:sz w:val="20"/>
              </w:rPr>
              <w:instrText>xe "Television"</w:instrText>
            </w:r>
            <w:r w:rsidRPr="000A4491">
              <w:rPr>
                <w:rFonts w:ascii="Verdana" w:hAnsi="Verdana"/>
                <w:sz w:val="20"/>
              </w:rPr>
              <w:fldChar w:fldCharType="end"/>
            </w:r>
            <w:r w:rsidRPr="000A4491">
              <w:rPr>
                <w:rFonts w:ascii="Verdana" w:hAnsi="Verdana"/>
                <w:sz w:val="20"/>
              </w:rPr>
              <w:t xml:space="preserve"> line.</w:t>
            </w:r>
          </w:p>
        </w:tc>
      </w:tr>
      <w:tr w:rsidR="00F935B1" w14:paraId="7E71EEBB" w14:textId="77777777" w:rsidTr="0083602C">
        <w:trPr>
          <w:tblCellSpacing w:w="15" w:type="dxa"/>
        </w:trPr>
        <w:tc>
          <w:tcPr>
            <w:tcW w:w="3656" w:type="dxa"/>
          </w:tcPr>
          <w:p w14:paraId="59767D1D" w14:textId="77777777" w:rsidR="00F935B1" w:rsidRPr="000A4491" w:rsidRDefault="00F935B1" w:rsidP="0083602C">
            <w:pPr>
              <w:rPr>
                <w:rFonts w:ascii="Verdana" w:hAnsi="Verdana"/>
                <w:sz w:val="20"/>
              </w:rPr>
            </w:pPr>
            <w:r w:rsidRPr="000A4491">
              <w:rPr>
                <w:rFonts w:ascii="Verdana" w:hAnsi="Verdana"/>
                <w:sz w:val="20"/>
              </w:rPr>
              <w:t>Cabling</w:t>
            </w:r>
            <w:r w:rsidRPr="000A4491">
              <w:rPr>
                <w:rFonts w:ascii="Verdana" w:hAnsi="Verdana"/>
                <w:sz w:val="20"/>
              </w:rPr>
              <w:fldChar w:fldCharType="begin"/>
            </w:r>
            <w:r w:rsidRPr="000A4491">
              <w:rPr>
                <w:rFonts w:ascii="Verdana" w:hAnsi="Verdana"/>
                <w:sz w:val="20"/>
              </w:rPr>
              <w:instrText>xe "</w:instrText>
            </w:r>
            <w:r w:rsidRPr="000A4491">
              <w:rPr>
                <w:rStyle w:val="Hyperlink"/>
                <w:rFonts w:ascii="Verdana" w:hAnsi="Verdana"/>
                <w:bCs/>
                <w:sz w:val="20"/>
              </w:rPr>
              <w:instrText>Cabling</w:instrText>
            </w:r>
            <w:r w:rsidRPr="000A4491">
              <w:rPr>
                <w:rFonts w:ascii="Verdana" w:hAnsi="Verdana"/>
                <w:sz w:val="20"/>
              </w:rPr>
              <w:instrText>"</w:instrText>
            </w:r>
            <w:r w:rsidRPr="000A4491">
              <w:rPr>
                <w:rFonts w:ascii="Verdana" w:hAnsi="Verdana"/>
                <w:sz w:val="20"/>
              </w:rPr>
              <w:fldChar w:fldCharType="end"/>
            </w:r>
          </w:p>
          <w:p w14:paraId="31AA9D19" w14:textId="77777777" w:rsidR="00F935B1" w:rsidRPr="000A4491" w:rsidRDefault="00F935B1" w:rsidP="0083602C">
            <w:pPr>
              <w:rPr>
                <w:rFonts w:ascii="Verdana" w:hAnsi="Verdana"/>
                <w:sz w:val="20"/>
              </w:rPr>
            </w:pPr>
            <w:r w:rsidRPr="000A4491">
              <w:rPr>
                <w:rFonts w:ascii="Verdana" w:hAnsi="Verdana"/>
                <w:sz w:val="20"/>
              </w:rPr>
              <w:t>(</w:t>
            </w:r>
            <w:hyperlink w:anchor="aaCablingConnectors" w:history="1">
              <w:r w:rsidRPr="000A4491">
                <w:rPr>
                  <w:rStyle w:val="Hyperlink"/>
                  <w:rFonts w:ascii="Verdana" w:hAnsi="Verdana"/>
                  <w:sz w:val="20"/>
                </w:rPr>
                <w:t>Cabling</w:t>
              </w:r>
              <w:r w:rsidRPr="000A4491">
                <w:rPr>
                  <w:rFonts w:ascii="Verdana" w:hAnsi="Verdana"/>
                  <w:sz w:val="20"/>
                </w:rPr>
                <w:fldChar w:fldCharType="begin"/>
              </w:r>
              <w:r w:rsidRPr="000A4491">
                <w:rPr>
                  <w:rFonts w:ascii="Verdana" w:hAnsi="Verdana"/>
                  <w:sz w:val="20"/>
                </w:rPr>
                <w:instrText>xe "</w:instrText>
              </w:r>
              <w:r w:rsidRPr="000A4491">
                <w:rPr>
                  <w:rStyle w:val="Hyperlink"/>
                  <w:rFonts w:ascii="Verdana" w:hAnsi="Verdana"/>
                  <w:bCs/>
                  <w:sz w:val="20"/>
                </w:rPr>
                <w:instrText>Cabling</w:instrText>
              </w:r>
              <w:r w:rsidRPr="000A4491">
                <w:rPr>
                  <w:rFonts w:ascii="Verdana" w:hAnsi="Verdana"/>
                  <w:sz w:val="20"/>
                </w:rPr>
                <w:instrText>"</w:instrText>
              </w:r>
              <w:r w:rsidRPr="000A4491">
                <w:rPr>
                  <w:rFonts w:ascii="Verdana" w:hAnsi="Verdana"/>
                  <w:sz w:val="20"/>
                </w:rPr>
                <w:fldChar w:fldCharType="end"/>
              </w:r>
            </w:hyperlink>
            <w:r w:rsidRPr="000A4491">
              <w:rPr>
                <w:rFonts w:ascii="Verdana" w:hAnsi="Verdana"/>
                <w:sz w:val="20"/>
              </w:rPr>
              <w:t>)</w:t>
            </w:r>
          </w:p>
        </w:tc>
        <w:tc>
          <w:tcPr>
            <w:tcW w:w="5441" w:type="dxa"/>
          </w:tcPr>
          <w:p w14:paraId="7959A092" w14:textId="77777777" w:rsidR="00F935B1" w:rsidRPr="000A4491" w:rsidRDefault="00F935B1" w:rsidP="0083602C">
            <w:pPr>
              <w:pStyle w:val="NormalWeb"/>
              <w:spacing w:before="0" w:beforeAutospacing="0" w:after="0"/>
              <w:rPr>
                <w:rFonts w:ascii="Verdana" w:hAnsi="Verdana"/>
                <w:sz w:val="20"/>
              </w:rPr>
            </w:pPr>
            <w:r w:rsidRPr="000A4491">
              <w:rPr>
                <w:rFonts w:ascii="Verdana" w:hAnsi="Verdana"/>
                <w:bCs/>
                <w:sz w:val="20"/>
              </w:rPr>
              <w:t>Cabling</w:t>
            </w:r>
            <w:r w:rsidRPr="000A4491">
              <w:rPr>
                <w:rFonts w:ascii="Verdana" w:hAnsi="Verdana"/>
                <w:sz w:val="20"/>
              </w:rPr>
              <w:fldChar w:fldCharType="begin"/>
            </w:r>
            <w:r w:rsidRPr="000A4491">
              <w:rPr>
                <w:rFonts w:ascii="Verdana" w:hAnsi="Verdana"/>
                <w:sz w:val="20"/>
              </w:rPr>
              <w:instrText>xe "</w:instrText>
            </w:r>
            <w:r w:rsidRPr="000A4491">
              <w:rPr>
                <w:rStyle w:val="Hyperlink"/>
                <w:rFonts w:ascii="Verdana" w:hAnsi="Verdana"/>
                <w:bCs/>
                <w:sz w:val="20"/>
              </w:rPr>
              <w:instrText>Cabling</w:instrText>
            </w:r>
            <w:r w:rsidRPr="000A4491">
              <w:rPr>
                <w:rFonts w:ascii="Verdana" w:hAnsi="Verdana"/>
                <w:sz w:val="20"/>
              </w:rPr>
              <w:instrText>"</w:instrText>
            </w:r>
            <w:r w:rsidRPr="000A4491">
              <w:rPr>
                <w:rFonts w:ascii="Verdana" w:hAnsi="Verdana"/>
                <w:sz w:val="20"/>
              </w:rPr>
              <w:fldChar w:fldCharType="end"/>
            </w:r>
            <w:r w:rsidRPr="000A4491">
              <w:rPr>
                <w:rFonts w:ascii="Verdana" w:hAnsi="Verdana"/>
                <w:bCs/>
                <w:sz w:val="20"/>
              </w:rPr>
              <w:t xml:space="preserve"> refers to the wires or groups of wires capable of carrying voice, video</w:t>
            </w:r>
            <w:r w:rsidRPr="000A4491">
              <w:rPr>
                <w:rFonts w:ascii="Verdana" w:hAnsi="Verdana"/>
                <w:sz w:val="20"/>
              </w:rPr>
              <w:fldChar w:fldCharType="begin"/>
            </w:r>
            <w:r w:rsidRPr="000A4491">
              <w:rPr>
                <w:rFonts w:ascii="Verdana" w:hAnsi="Verdana"/>
                <w:sz w:val="20"/>
              </w:rPr>
              <w:instrText>xe "Video"</w:instrText>
            </w:r>
            <w:r w:rsidRPr="000A4491">
              <w:rPr>
                <w:rFonts w:ascii="Verdana" w:hAnsi="Verdana"/>
                <w:sz w:val="20"/>
              </w:rPr>
              <w:fldChar w:fldCharType="end"/>
            </w:r>
            <w:r w:rsidRPr="000A4491">
              <w:rPr>
                <w:rFonts w:ascii="Verdana" w:hAnsi="Verdana"/>
                <w:bCs/>
                <w:sz w:val="20"/>
              </w:rPr>
              <w:t>, or data transmissions.  Cabling provides electrical (or, in the case of fiber</w:t>
            </w:r>
            <w:r w:rsidRPr="000A4491">
              <w:rPr>
                <w:rFonts w:ascii="Verdana" w:hAnsi="Verdana"/>
                <w:sz w:val="20"/>
              </w:rPr>
              <w:fldChar w:fldCharType="begin"/>
            </w:r>
            <w:r w:rsidRPr="000A4491">
              <w:rPr>
                <w:rFonts w:ascii="Verdana" w:hAnsi="Verdana"/>
                <w:sz w:val="20"/>
              </w:rPr>
              <w:instrText>xe "Fiber Optics"</w:instrText>
            </w:r>
            <w:r w:rsidRPr="000A4491">
              <w:rPr>
                <w:rFonts w:ascii="Verdana" w:hAnsi="Verdana"/>
                <w:sz w:val="20"/>
              </w:rPr>
              <w:fldChar w:fldCharType="end"/>
            </w:r>
            <w:r w:rsidRPr="000A4491">
              <w:rPr>
                <w:rFonts w:ascii="Verdana" w:hAnsi="Verdana"/>
                <w:bCs/>
                <w:sz w:val="20"/>
              </w:rPr>
              <w:t xml:space="preserve"> optics, lightwave) connectivity between points.</w:t>
            </w:r>
          </w:p>
        </w:tc>
      </w:tr>
      <w:tr w:rsidR="00F935B1" w14:paraId="7C1548B8" w14:textId="77777777" w:rsidTr="0083602C">
        <w:trPr>
          <w:tblCellSpacing w:w="15" w:type="dxa"/>
        </w:trPr>
        <w:tc>
          <w:tcPr>
            <w:tcW w:w="3656" w:type="dxa"/>
          </w:tcPr>
          <w:p w14:paraId="73E07923" w14:textId="77777777" w:rsidR="00F935B1" w:rsidRPr="000A4491" w:rsidRDefault="00F935B1" w:rsidP="0083602C">
            <w:pPr>
              <w:rPr>
                <w:rFonts w:ascii="Verdana" w:hAnsi="Verdana"/>
                <w:sz w:val="20"/>
                <w:lang w:val="fr-FR"/>
              </w:rPr>
            </w:pPr>
            <w:r w:rsidRPr="000A4491">
              <w:rPr>
                <w:rFonts w:ascii="Verdana" w:hAnsi="Verdana"/>
                <w:sz w:val="20"/>
                <w:lang w:val="fr-FR"/>
              </w:rPr>
              <w:t>Caching</w:t>
            </w:r>
            <w:r w:rsidRPr="000A4491">
              <w:rPr>
                <w:rFonts w:ascii="Verdana" w:hAnsi="Verdana"/>
                <w:sz w:val="20"/>
                <w:lang w:val="fr-FR"/>
              </w:rPr>
              <w:fldChar w:fldCharType="begin"/>
            </w:r>
            <w:r w:rsidRPr="000A4491">
              <w:rPr>
                <w:rFonts w:ascii="Verdana" w:hAnsi="Verdana"/>
                <w:sz w:val="20"/>
                <w:lang w:val="fr-FR"/>
              </w:rPr>
              <w:instrText>xe "</w:instrText>
            </w:r>
            <w:r w:rsidRPr="000A4491">
              <w:rPr>
                <w:rStyle w:val="Hyperlink"/>
                <w:rFonts w:ascii="Verdana" w:hAnsi="Verdana"/>
                <w:bCs/>
                <w:sz w:val="20"/>
                <w:lang w:val="fr-FR"/>
              </w:rPr>
              <w:instrText>Caching</w:instrText>
            </w:r>
            <w:r w:rsidRPr="000A4491">
              <w:rPr>
                <w:rFonts w:ascii="Verdana" w:hAnsi="Verdana"/>
                <w:sz w:val="20"/>
                <w:lang w:val="fr-FR"/>
              </w:rPr>
              <w:instrText>"</w:instrText>
            </w:r>
            <w:r w:rsidRPr="000A4491">
              <w:rPr>
                <w:rFonts w:ascii="Verdana" w:hAnsi="Verdana"/>
                <w:sz w:val="20"/>
                <w:lang w:val="fr-FR"/>
              </w:rPr>
              <w:fldChar w:fldCharType="end"/>
            </w:r>
            <w:r w:rsidRPr="000A4491">
              <w:rPr>
                <w:rFonts w:ascii="Verdana" w:hAnsi="Verdana"/>
                <w:sz w:val="20"/>
                <w:lang w:val="fr-FR"/>
              </w:rPr>
              <w:t xml:space="preserve"> </w:t>
            </w:r>
            <w:r w:rsidRPr="000A4491">
              <w:rPr>
                <w:rFonts w:ascii="Verdana" w:hAnsi="Verdana"/>
                <w:sz w:val="20"/>
                <w:lang w:val="fr-FR"/>
              </w:rPr>
              <w:br/>
              <w:t>(</w:t>
            </w:r>
            <w:hyperlink w:anchor="aaServers" w:history="1">
              <w:r w:rsidRPr="000A4491">
                <w:rPr>
                  <w:rStyle w:val="Hyperlink"/>
                  <w:rFonts w:ascii="Verdana" w:hAnsi="Verdana"/>
                  <w:sz w:val="20"/>
                  <w:lang w:val="fr-FR"/>
                </w:rPr>
                <w:t>Servers</w:t>
              </w:r>
              <w:r w:rsidRPr="000A4491">
                <w:rPr>
                  <w:rFonts w:ascii="Verdana" w:hAnsi="Verdana"/>
                  <w:sz w:val="20"/>
                  <w:lang w:val="fr-FR"/>
                </w:rPr>
                <w:fldChar w:fldCharType="begin"/>
              </w:r>
              <w:r w:rsidRPr="000A4491">
                <w:rPr>
                  <w:rFonts w:ascii="Verdana" w:hAnsi="Verdana"/>
                  <w:sz w:val="20"/>
                  <w:lang w:val="fr-FR"/>
                </w:rPr>
                <w:instrText>xe "Servers"</w:instrText>
              </w:r>
              <w:r w:rsidRPr="000A4491">
                <w:rPr>
                  <w:rFonts w:ascii="Verdana" w:hAnsi="Verdana"/>
                  <w:sz w:val="20"/>
                  <w:lang w:val="fr-FR"/>
                </w:rPr>
                <w:fldChar w:fldCharType="end"/>
              </w:r>
            </w:hyperlink>
            <w:r w:rsidRPr="000A4491">
              <w:rPr>
                <w:rFonts w:ascii="Verdana" w:hAnsi="Verdana"/>
                <w:sz w:val="20"/>
                <w:lang w:val="fr-FR"/>
              </w:rPr>
              <w:t>—Ineligible)</w:t>
            </w:r>
          </w:p>
          <w:p w14:paraId="059421A3" w14:textId="77777777" w:rsidR="00F935B1" w:rsidRPr="000A4491" w:rsidRDefault="00F935B1" w:rsidP="0083602C">
            <w:pPr>
              <w:rPr>
                <w:rFonts w:ascii="Verdana" w:hAnsi="Verdana"/>
                <w:sz w:val="20"/>
                <w:lang w:val="fr-FR"/>
              </w:rPr>
            </w:pPr>
            <w:r w:rsidRPr="000A4491">
              <w:rPr>
                <w:rFonts w:ascii="Verdana" w:hAnsi="Verdana"/>
                <w:sz w:val="20"/>
                <w:lang w:val="fr-FR"/>
              </w:rPr>
              <w:t>(</w:t>
            </w:r>
            <w:hyperlink w:anchor="aaStorageDevices" w:history="1">
              <w:r w:rsidRPr="000A4491">
                <w:rPr>
                  <w:rStyle w:val="Hyperlink"/>
                  <w:rFonts w:ascii="Verdana" w:hAnsi="Verdana"/>
                  <w:sz w:val="20"/>
                  <w:lang w:val="fr-FR"/>
                </w:rPr>
                <w:t>Storage Devices</w:t>
              </w:r>
            </w:hyperlink>
            <w:r w:rsidRPr="000A4491">
              <w:rPr>
                <w:rFonts w:ascii="Verdana" w:hAnsi="Verdana"/>
                <w:sz w:val="20"/>
                <w:lang w:val="fr-FR"/>
              </w:rPr>
              <w:t>—Ineligible)</w:t>
            </w:r>
          </w:p>
          <w:p w14:paraId="1EDB2FAD" w14:textId="77777777" w:rsidR="00F935B1" w:rsidRPr="000A4491" w:rsidRDefault="00F935B1" w:rsidP="0083602C">
            <w:pPr>
              <w:rPr>
                <w:rFonts w:ascii="Verdana" w:hAnsi="Verdana"/>
                <w:sz w:val="20"/>
                <w:lang w:val="fr-FR"/>
              </w:rPr>
            </w:pPr>
          </w:p>
          <w:p w14:paraId="59C0C1EF" w14:textId="77777777" w:rsidR="00F935B1" w:rsidRPr="000A4491" w:rsidRDefault="00F935B1" w:rsidP="0083602C">
            <w:pPr>
              <w:rPr>
                <w:rFonts w:ascii="Verdana" w:hAnsi="Verdana"/>
                <w:sz w:val="20"/>
                <w:lang w:val="fr-FR"/>
              </w:rPr>
            </w:pPr>
          </w:p>
        </w:tc>
        <w:tc>
          <w:tcPr>
            <w:tcW w:w="5441" w:type="dxa"/>
          </w:tcPr>
          <w:p w14:paraId="52DCCF9B" w14:textId="77777777" w:rsidR="00F935B1" w:rsidRPr="000A4491" w:rsidRDefault="00F935B1" w:rsidP="0083602C">
            <w:pPr>
              <w:pStyle w:val="NormalWeb"/>
              <w:spacing w:before="0" w:beforeAutospacing="0" w:after="0"/>
              <w:rPr>
                <w:rFonts w:ascii="Verdana" w:hAnsi="Verdana"/>
                <w:sz w:val="20"/>
              </w:rPr>
            </w:pPr>
            <w:r w:rsidRPr="000A4491">
              <w:rPr>
                <w:rFonts w:ascii="Verdana" w:hAnsi="Verdana"/>
                <w:sz w:val="20"/>
              </w:rPr>
              <w:t>Caching</w:t>
            </w:r>
            <w:r w:rsidRPr="000A4491">
              <w:rPr>
                <w:rFonts w:ascii="Verdana" w:hAnsi="Verdana"/>
                <w:sz w:val="20"/>
              </w:rPr>
              <w:fldChar w:fldCharType="begin"/>
            </w:r>
            <w:r w:rsidRPr="000A4491">
              <w:rPr>
                <w:rFonts w:ascii="Verdana" w:hAnsi="Verdana"/>
                <w:sz w:val="20"/>
              </w:rPr>
              <w:instrText>xe "</w:instrText>
            </w:r>
            <w:r w:rsidRPr="000A4491">
              <w:rPr>
                <w:rStyle w:val="Hyperlink"/>
                <w:rFonts w:ascii="Verdana" w:hAnsi="Verdana"/>
                <w:bCs/>
                <w:sz w:val="20"/>
              </w:rPr>
              <w:instrText>Caching</w:instrText>
            </w:r>
            <w:r w:rsidRPr="000A4491">
              <w:rPr>
                <w:rFonts w:ascii="Verdana" w:hAnsi="Verdana"/>
                <w:sz w:val="20"/>
              </w:rPr>
              <w:instrText>"</w:instrText>
            </w:r>
            <w:r w:rsidRPr="000A4491">
              <w:rPr>
                <w:rFonts w:ascii="Verdana" w:hAnsi="Verdana"/>
                <w:sz w:val="20"/>
              </w:rPr>
              <w:fldChar w:fldCharType="end"/>
            </w:r>
            <w:r w:rsidRPr="000A4491">
              <w:rPr>
                <w:rFonts w:ascii="Verdana" w:hAnsi="Verdana"/>
                <w:sz w:val="20"/>
              </w:rPr>
              <w:t xml:space="preserve"> is a method that stores recently accessed information.  Caching components, such as, caching servers,</w:t>
            </w:r>
            <w:r w:rsidRPr="000A4491">
              <w:rPr>
                <w:rFonts w:ascii="Verdana" w:hAnsi="Verdana"/>
                <w:sz w:val="20"/>
              </w:rPr>
              <w:fldChar w:fldCharType="begin"/>
            </w:r>
            <w:r w:rsidRPr="000A4491">
              <w:rPr>
                <w:rFonts w:ascii="Verdana" w:hAnsi="Verdana"/>
                <w:sz w:val="20"/>
              </w:rPr>
              <w:instrText>xe "</w:instrText>
            </w:r>
            <w:r w:rsidRPr="000A4491">
              <w:rPr>
                <w:rStyle w:val="Hyperlink"/>
                <w:rFonts w:ascii="Verdana" w:hAnsi="Verdana"/>
                <w:bCs/>
                <w:sz w:val="20"/>
              </w:rPr>
              <w:instrText>Servers</w:instrText>
            </w:r>
            <w:r w:rsidRPr="000A4491">
              <w:rPr>
                <w:rFonts w:ascii="Verdana" w:hAnsi="Verdana"/>
                <w:sz w:val="20"/>
              </w:rPr>
              <w:instrText>"</w:instrText>
            </w:r>
            <w:r w:rsidRPr="000A4491">
              <w:rPr>
                <w:rFonts w:ascii="Verdana" w:hAnsi="Verdana"/>
                <w:sz w:val="20"/>
              </w:rPr>
              <w:fldChar w:fldCharType="end"/>
            </w:r>
            <w:r w:rsidRPr="000A4491">
              <w:rPr>
                <w:rFonts w:ascii="Verdana" w:hAnsi="Verdana"/>
                <w:sz w:val="20"/>
              </w:rPr>
              <w:t xml:space="preserve"> store information locally so that the information is accessible more quickly than if it must be transmitted across a network from a distant server</w:t>
            </w:r>
            <w:r w:rsidRPr="000A4491">
              <w:rPr>
                <w:rFonts w:ascii="Verdana" w:hAnsi="Verdana"/>
                <w:sz w:val="20"/>
              </w:rPr>
              <w:fldChar w:fldCharType="begin"/>
            </w:r>
            <w:r w:rsidRPr="000A4491">
              <w:rPr>
                <w:rFonts w:ascii="Verdana" w:hAnsi="Verdana"/>
                <w:sz w:val="20"/>
              </w:rPr>
              <w:instrText>xe "Servers"</w:instrText>
            </w:r>
            <w:r w:rsidRPr="000A4491">
              <w:rPr>
                <w:rFonts w:ascii="Verdana" w:hAnsi="Verdana"/>
                <w:sz w:val="20"/>
              </w:rPr>
              <w:fldChar w:fldCharType="end"/>
            </w:r>
            <w:r w:rsidRPr="000A4491">
              <w:rPr>
                <w:rFonts w:ascii="Verdana" w:hAnsi="Verdana"/>
                <w:sz w:val="20"/>
              </w:rPr>
              <w:t>.</w:t>
            </w:r>
          </w:p>
        </w:tc>
      </w:tr>
      <w:tr w:rsidR="00F935B1" w14:paraId="52D2886C" w14:textId="77777777" w:rsidTr="0083602C">
        <w:trPr>
          <w:tblCellSpacing w:w="15" w:type="dxa"/>
        </w:trPr>
        <w:tc>
          <w:tcPr>
            <w:tcW w:w="3656" w:type="dxa"/>
          </w:tcPr>
          <w:p w14:paraId="5793ABC2" w14:textId="77777777" w:rsidR="00F935B1" w:rsidRPr="000A4491" w:rsidRDefault="00F935B1" w:rsidP="0083602C">
            <w:pPr>
              <w:rPr>
                <w:rFonts w:ascii="Verdana" w:hAnsi="Verdana"/>
                <w:sz w:val="20"/>
              </w:rPr>
            </w:pPr>
            <w:r w:rsidRPr="000A4491">
              <w:rPr>
                <w:rFonts w:ascii="Verdana" w:hAnsi="Verdana"/>
                <w:sz w:val="20"/>
              </w:rPr>
              <w:t>Caching</w:t>
            </w:r>
            <w:r w:rsidRPr="000A4491">
              <w:rPr>
                <w:rFonts w:ascii="Verdana" w:hAnsi="Verdana"/>
                <w:sz w:val="20"/>
              </w:rPr>
              <w:fldChar w:fldCharType="begin"/>
            </w:r>
            <w:r w:rsidRPr="000A4491">
              <w:rPr>
                <w:rFonts w:ascii="Verdana" w:hAnsi="Verdana"/>
                <w:sz w:val="20"/>
              </w:rPr>
              <w:instrText>xe "</w:instrText>
            </w:r>
            <w:r w:rsidRPr="000A4491">
              <w:rPr>
                <w:rStyle w:val="Hyperlink"/>
                <w:rFonts w:ascii="Verdana" w:hAnsi="Verdana"/>
                <w:bCs/>
                <w:sz w:val="20"/>
              </w:rPr>
              <w:instrText>Caching</w:instrText>
            </w:r>
            <w:r w:rsidRPr="000A4491">
              <w:rPr>
                <w:rFonts w:ascii="Verdana" w:hAnsi="Verdana"/>
                <w:sz w:val="20"/>
              </w:rPr>
              <w:instrText>"</w:instrText>
            </w:r>
            <w:r w:rsidRPr="000A4491">
              <w:rPr>
                <w:rFonts w:ascii="Verdana" w:hAnsi="Verdana"/>
                <w:sz w:val="20"/>
              </w:rPr>
              <w:fldChar w:fldCharType="end"/>
            </w:r>
            <w:r w:rsidRPr="000A4491">
              <w:rPr>
                <w:rFonts w:ascii="Verdana" w:hAnsi="Verdana"/>
                <w:sz w:val="20"/>
              </w:rPr>
              <w:t xml:space="preserve"> Service</w:t>
            </w:r>
          </w:p>
          <w:p w14:paraId="5731277D" w14:textId="77777777" w:rsidR="00F935B1" w:rsidRPr="000A4491" w:rsidRDefault="00F935B1" w:rsidP="0083602C">
            <w:pPr>
              <w:rPr>
                <w:rFonts w:ascii="Verdana" w:hAnsi="Verdana"/>
                <w:sz w:val="20"/>
              </w:rPr>
            </w:pPr>
            <w:r w:rsidRPr="000A4491">
              <w:rPr>
                <w:rFonts w:ascii="Verdana" w:hAnsi="Verdana"/>
                <w:sz w:val="20"/>
              </w:rPr>
              <w:t>(</w:t>
            </w:r>
            <w:hyperlink w:anchor="InternetIneligibleServices" w:history="1">
              <w:r w:rsidRPr="000A4491">
                <w:rPr>
                  <w:rStyle w:val="Hyperlink"/>
                  <w:rFonts w:ascii="Verdana" w:hAnsi="Verdana"/>
                  <w:sz w:val="20"/>
                </w:rPr>
                <w:t>Not Eligible for E-rate Funding as Internet Access Services</w:t>
              </w:r>
              <w:r w:rsidRPr="000A4491">
                <w:rPr>
                  <w:rFonts w:ascii="Verdana" w:hAnsi="Verdana"/>
                  <w:sz w:val="20"/>
                </w:rPr>
                <w:fldChar w:fldCharType="begin"/>
              </w:r>
              <w:r w:rsidRPr="000A4491">
                <w:rPr>
                  <w:rFonts w:ascii="Verdana" w:hAnsi="Verdana"/>
                  <w:sz w:val="20"/>
                </w:rPr>
                <w:instrText>xe "</w:instrText>
              </w:r>
              <w:r w:rsidRPr="000A4491">
                <w:rPr>
                  <w:rStyle w:val="Hyperlink"/>
                  <w:rFonts w:ascii="Verdana" w:hAnsi="Verdana"/>
                  <w:sz w:val="20"/>
                </w:rPr>
                <w:instrText>Internet Access</w:instrText>
              </w:r>
              <w:r w:rsidRPr="000A4491">
                <w:rPr>
                  <w:rFonts w:ascii="Verdana" w:hAnsi="Verdana"/>
                  <w:sz w:val="20"/>
                </w:rPr>
                <w:instrText>"</w:instrText>
              </w:r>
              <w:r w:rsidRPr="000A4491">
                <w:rPr>
                  <w:rFonts w:ascii="Verdana" w:hAnsi="Verdana"/>
                  <w:sz w:val="20"/>
                </w:rPr>
                <w:fldChar w:fldCharType="end"/>
              </w:r>
            </w:hyperlink>
            <w:r w:rsidRPr="000A4491">
              <w:rPr>
                <w:rFonts w:ascii="Verdana" w:hAnsi="Verdana"/>
                <w:sz w:val="20"/>
              </w:rPr>
              <w:t>)</w:t>
            </w:r>
          </w:p>
          <w:p w14:paraId="13C4C379" w14:textId="77777777" w:rsidR="00F935B1" w:rsidRPr="000A4491" w:rsidRDefault="00F935B1" w:rsidP="0083602C">
            <w:pPr>
              <w:rPr>
                <w:rFonts w:ascii="Verdana" w:hAnsi="Verdana"/>
                <w:sz w:val="20"/>
              </w:rPr>
            </w:pPr>
          </w:p>
        </w:tc>
        <w:tc>
          <w:tcPr>
            <w:tcW w:w="5441" w:type="dxa"/>
          </w:tcPr>
          <w:p w14:paraId="7E8BC35B" w14:textId="77777777" w:rsidR="00F935B1" w:rsidRPr="000A4491" w:rsidRDefault="00F935B1" w:rsidP="0083602C">
            <w:pPr>
              <w:pStyle w:val="NormalWeb"/>
              <w:spacing w:before="0" w:beforeAutospacing="0" w:after="0"/>
              <w:rPr>
                <w:rFonts w:ascii="Verdana" w:hAnsi="Verdana"/>
                <w:sz w:val="20"/>
              </w:rPr>
            </w:pPr>
            <w:r w:rsidRPr="000A4491">
              <w:rPr>
                <w:rFonts w:ascii="Verdana" w:hAnsi="Verdana"/>
                <w:sz w:val="20"/>
              </w:rPr>
              <w:t>A caching service is a special high-speed storage</w:t>
            </w:r>
            <w:r w:rsidRPr="000A4491">
              <w:rPr>
                <w:rFonts w:ascii="Verdana" w:hAnsi="Verdana"/>
                <w:sz w:val="20"/>
              </w:rPr>
              <w:fldChar w:fldCharType="begin"/>
            </w:r>
            <w:r w:rsidRPr="000A4491">
              <w:rPr>
                <w:rFonts w:ascii="Verdana" w:hAnsi="Verdana"/>
                <w:sz w:val="20"/>
              </w:rPr>
              <w:instrText>xe "Storage"</w:instrText>
            </w:r>
            <w:r w:rsidRPr="000A4491">
              <w:rPr>
                <w:rFonts w:ascii="Verdana" w:hAnsi="Verdana"/>
                <w:sz w:val="20"/>
              </w:rPr>
              <w:fldChar w:fldCharType="end"/>
            </w:r>
            <w:r w:rsidRPr="000A4491">
              <w:rPr>
                <w:rFonts w:ascii="Verdana" w:hAnsi="Verdana"/>
                <w:sz w:val="20"/>
              </w:rPr>
              <w:t xml:space="preserve"> mechanism at the border of a network and the Internet</w:t>
            </w:r>
            <w:r w:rsidRPr="000A4491">
              <w:rPr>
                <w:rFonts w:ascii="Verdana" w:hAnsi="Verdana"/>
                <w:sz w:val="20"/>
              </w:rPr>
              <w:fldChar w:fldCharType="begin"/>
            </w:r>
            <w:r w:rsidRPr="000A4491">
              <w:rPr>
                <w:rFonts w:ascii="Verdana" w:hAnsi="Verdana"/>
                <w:sz w:val="20"/>
              </w:rPr>
              <w:instrText>xe "Internet"</w:instrText>
            </w:r>
            <w:r w:rsidRPr="000A4491">
              <w:rPr>
                <w:rFonts w:ascii="Verdana" w:hAnsi="Verdana"/>
                <w:sz w:val="20"/>
              </w:rPr>
              <w:fldChar w:fldCharType="end"/>
            </w:r>
            <w:r w:rsidRPr="000A4491">
              <w:rPr>
                <w:rFonts w:ascii="Verdana" w:hAnsi="Verdana"/>
                <w:sz w:val="20"/>
              </w:rPr>
              <w:t xml:space="preserve"> that holds frequently accessed Internet information, thereby reducing retrieval times for information often requested from the Internet.</w:t>
            </w:r>
          </w:p>
        </w:tc>
      </w:tr>
      <w:tr w:rsidR="00F935B1" w14:paraId="2C09BE5A" w14:textId="77777777" w:rsidTr="0083602C">
        <w:trPr>
          <w:tblCellSpacing w:w="15" w:type="dxa"/>
        </w:trPr>
        <w:tc>
          <w:tcPr>
            <w:tcW w:w="3656" w:type="dxa"/>
          </w:tcPr>
          <w:p w14:paraId="71C87591" w14:textId="77777777" w:rsidR="00F935B1" w:rsidRPr="000A4491" w:rsidRDefault="00F935B1" w:rsidP="0083602C">
            <w:pPr>
              <w:rPr>
                <w:rFonts w:ascii="Verdana" w:hAnsi="Verdana"/>
                <w:sz w:val="20"/>
              </w:rPr>
            </w:pPr>
            <w:r w:rsidRPr="000A4491">
              <w:rPr>
                <w:rFonts w:ascii="Verdana" w:hAnsi="Verdana"/>
                <w:sz w:val="20"/>
              </w:rPr>
              <w:t>Call Accounting System</w:t>
            </w:r>
            <w:r w:rsidRPr="000A4491">
              <w:rPr>
                <w:rFonts w:ascii="Verdana" w:hAnsi="Verdana"/>
                <w:sz w:val="20"/>
              </w:rPr>
              <w:fldChar w:fldCharType="begin"/>
            </w:r>
            <w:r w:rsidRPr="000A4491">
              <w:rPr>
                <w:rFonts w:ascii="Verdana" w:hAnsi="Verdana"/>
                <w:sz w:val="20"/>
              </w:rPr>
              <w:instrText>xe "</w:instrText>
            </w:r>
            <w:r w:rsidRPr="000A4491">
              <w:rPr>
                <w:rStyle w:val="Hyperlink"/>
                <w:rFonts w:ascii="Verdana" w:hAnsi="Verdana"/>
                <w:bCs/>
                <w:sz w:val="20"/>
              </w:rPr>
              <w:instrText>Call Accounting System</w:instrText>
            </w:r>
            <w:r w:rsidRPr="000A4491">
              <w:rPr>
                <w:rFonts w:ascii="Verdana" w:hAnsi="Verdana"/>
                <w:sz w:val="20"/>
              </w:rPr>
              <w:instrText>"</w:instrText>
            </w:r>
            <w:r w:rsidRPr="000A4491">
              <w:rPr>
                <w:rFonts w:ascii="Verdana" w:hAnsi="Verdana"/>
                <w:sz w:val="20"/>
              </w:rPr>
              <w:fldChar w:fldCharType="end"/>
            </w:r>
            <w:r w:rsidRPr="000A4491">
              <w:rPr>
                <w:rFonts w:ascii="Verdana" w:hAnsi="Verdana"/>
                <w:sz w:val="20"/>
              </w:rPr>
              <w:t xml:space="preserve"> </w:t>
            </w:r>
            <w:r w:rsidRPr="000A4491">
              <w:rPr>
                <w:rFonts w:ascii="Verdana" w:hAnsi="Verdana"/>
                <w:sz w:val="20"/>
              </w:rPr>
              <w:br/>
              <w:t>(</w:t>
            </w:r>
            <w:hyperlink w:anchor="aaTelephoneComponents" w:history="1">
              <w:r w:rsidRPr="000A4491">
                <w:rPr>
                  <w:rStyle w:val="Hyperlink"/>
                  <w:rFonts w:ascii="Verdana" w:hAnsi="Verdana"/>
                  <w:sz w:val="20"/>
                </w:rPr>
                <w:t>Not Eligible for E-rate Funding as Internal Connection Components</w:t>
              </w:r>
              <w:r w:rsidRPr="000A4491">
                <w:rPr>
                  <w:rFonts w:ascii="Verdana" w:hAnsi="Verdana"/>
                  <w:sz w:val="20"/>
                </w:rPr>
                <w:fldChar w:fldCharType="begin"/>
              </w:r>
              <w:r w:rsidRPr="000A4491">
                <w:rPr>
                  <w:rFonts w:ascii="Verdana" w:hAnsi="Verdana"/>
                  <w:sz w:val="20"/>
                </w:rPr>
                <w:instrText>xe "Telephone Components"</w:instrText>
              </w:r>
              <w:r w:rsidRPr="000A4491">
                <w:rPr>
                  <w:rFonts w:ascii="Verdana" w:hAnsi="Verdana"/>
                  <w:sz w:val="20"/>
                </w:rPr>
                <w:fldChar w:fldCharType="end"/>
              </w:r>
            </w:hyperlink>
            <w:r w:rsidRPr="000A4491">
              <w:rPr>
                <w:rFonts w:ascii="Verdana" w:hAnsi="Verdana"/>
                <w:sz w:val="20"/>
              </w:rPr>
              <w:t>)</w:t>
            </w:r>
          </w:p>
        </w:tc>
        <w:tc>
          <w:tcPr>
            <w:tcW w:w="5441" w:type="dxa"/>
          </w:tcPr>
          <w:p w14:paraId="32532FD1" w14:textId="77777777" w:rsidR="00F935B1" w:rsidRPr="000A4491" w:rsidRDefault="00F935B1" w:rsidP="0083602C">
            <w:pPr>
              <w:pStyle w:val="NormalWeb"/>
              <w:spacing w:before="0" w:beforeAutospacing="0" w:after="0"/>
              <w:rPr>
                <w:rFonts w:ascii="Verdana" w:hAnsi="Verdana"/>
                <w:sz w:val="20"/>
              </w:rPr>
            </w:pPr>
            <w:r w:rsidRPr="000A4491">
              <w:rPr>
                <w:rFonts w:ascii="Verdana" w:hAnsi="Verdana"/>
                <w:sz w:val="20"/>
              </w:rPr>
              <w:t>A Call Accounting System</w:t>
            </w:r>
            <w:r w:rsidRPr="000A4491">
              <w:rPr>
                <w:rFonts w:ascii="Verdana" w:hAnsi="Verdana"/>
                <w:sz w:val="20"/>
              </w:rPr>
              <w:fldChar w:fldCharType="begin"/>
            </w:r>
            <w:r w:rsidRPr="000A4491">
              <w:rPr>
                <w:rFonts w:ascii="Verdana" w:hAnsi="Verdana"/>
                <w:sz w:val="20"/>
              </w:rPr>
              <w:instrText>xe "</w:instrText>
            </w:r>
            <w:r w:rsidRPr="000A4491">
              <w:rPr>
                <w:rStyle w:val="Hyperlink"/>
                <w:rFonts w:ascii="Verdana" w:hAnsi="Verdana"/>
                <w:bCs/>
                <w:sz w:val="20"/>
              </w:rPr>
              <w:instrText>Call Accounting System</w:instrText>
            </w:r>
            <w:r w:rsidRPr="000A4491">
              <w:rPr>
                <w:rFonts w:ascii="Verdana" w:hAnsi="Verdana"/>
                <w:sz w:val="20"/>
              </w:rPr>
              <w:instrText>"</w:instrText>
            </w:r>
            <w:r w:rsidRPr="000A4491">
              <w:rPr>
                <w:rFonts w:ascii="Verdana" w:hAnsi="Verdana"/>
                <w:sz w:val="20"/>
              </w:rPr>
              <w:fldChar w:fldCharType="end"/>
            </w:r>
            <w:r w:rsidRPr="000A4491">
              <w:rPr>
                <w:rFonts w:ascii="Verdana" w:hAnsi="Verdana"/>
                <w:sz w:val="20"/>
              </w:rPr>
              <w:t xml:space="preserve"> records information about telephone calls.  It can provide comprehensive information about call costs by associating call records with users, phone extensions, or profiles.</w:t>
            </w:r>
          </w:p>
          <w:p w14:paraId="3C5E2D3B" w14:textId="77777777" w:rsidR="00F935B1" w:rsidRPr="000A4491" w:rsidRDefault="00F935B1" w:rsidP="0083602C">
            <w:pPr>
              <w:pStyle w:val="NormalWeb"/>
              <w:spacing w:before="0" w:beforeAutospacing="0" w:after="0"/>
              <w:rPr>
                <w:rFonts w:ascii="Verdana" w:hAnsi="Verdana"/>
                <w:sz w:val="20"/>
              </w:rPr>
            </w:pPr>
          </w:p>
          <w:p w14:paraId="03FA1524" w14:textId="77777777" w:rsidR="00F935B1" w:rsidRPr="000A4491" w:rsidRDefault="00F935B1" w:rsidP="0083602C">
            <w:pPr>
              <w:pStyle w:val="NormalWeb"/>
              <w:spacing w:before="0" w:beforeAutospacing="0" w:after="0"/>
              <w:rPr>
                <w:rFonts w:ascii="Verdana" w:hAnsi="Verdana"/>
                <w:sz w:val="20"/>
              </w:rPr>
            </w:pPr>
            <w:r w:rsidRPr="000A4491">
              <w:rPr>
                <w:rFonts w:ascii="Verdana" w:hAnsi="Verdana"/>
                <w:sz w:val="20"/>
              </w:rPr>
              <w:t xml:space="preserve">Such systems may include </w:t>
            </w:r>
            <w:hyperlink w:anchor="StationMessageDetailRecording" w:history="1">
              <w:r w:rsidRPr="000A4491">
                <w:rPr>
                  <w:rStyle w:val="Hyperlink"/>
                  <w:rFonts w:ascii="Verdana" w:hAnsi="Verdana"/>
                  <w:sz w:val="20"/>
                </w:rPr>
                <w:t>Station Message Detail Recording</w:t>
              </w:r>
              <w:r w:rsidRPr="000A4491">
                <w:rPr>
                  <w:rFonts w:ascii="Verdana" w:hAnsi="Verdana"/>
                  <w:sz w:val="20"/>
                </w:rPr>
                <w:fldChar w:fldCharType="begin"/>
              </w:r>
              <w:r w:rsidRPr="000A4491">
                <w:rPr>
                  <w:rFonts w:ascii="Verdana" w:hAnsi="Verdana"/>
                  <w:sz w:val="20"/>
                </w:rPr>
                <w:instrText>xe "</w:instrText>
              </w:r>
              <w:r w:rsidRPr="000A4491">
                <w:rPr>
                  <w:rStyle w:val="Hyperlink"/>
                  <w:rFonts w:ascii="Verdana" w:hAnsi="Verdana"/>
                  <w:sz w:val="20"/>
                </w:rPr>
                <w:instrText>Station Message Detail Recording</w:instrText>
              </w:r>
              <w:r w:rsidRPr="000A4491">
                <w:rPr>
                  <w:rFonts w:ascii="Verdana" w:hAnsi="Verdana"/>
                  <w:sz w:val="20"/>
                </w:rPr>
                <w:instrText>"</w:instrText>
              </w:r>
              <w:r w:rsidRPr="000A4491">
                <w:rPr>
                  <w:rFonts w:ascii="Verdana" w:hAnsi="Verdana"/>
                  <w:sz w:val="20"/>
                </w:rPr>
                <w:fldChar w:fldCharType="end"/>
              </w:r>
            </w:hyperlink>
            <w:r w:rsidRPr="000A4491">
              <w:rPr>
                <w:rFonts w:ascii="Verdana" w:hAnsi="Verdana"/>
                <w:sz w:val="20"/>
              </w:rPr>
              <w:t xml:space="preserve"> (SMDR</w:t>
            </w:r>
            <w:r w:rsidRPr="000A4491">
              <w:rPr>
                <w:rFonts w:ascii="Verdana" w:hAnsi="Verdana"/>
                <w:sz w:val="20"/>
              </w:rPr>
              <w:fldChar w:fldCharType="begin"/>
            </w:r>
            <w:r w:rsidRPr="000A4491">
              <w:rPr>
                <w:rFonts w:ascii="Verdana" w:hAnsi="Verdana"/>
                <w:sz w:val="20"/>
              </w:rPr>
              <w:instrText>xe "SMDR"</w:instrText>
            </w:r>
            <w:r w:rsidRPr="000A4491">
              <w:rPr>
                <w:rFonts w:ascii="Verdana" w:hAnsi="Verdana"/>
                <w:sz w:val="20"/>
              </w:rPr>
              <w:fldChar w:fldCharType="end"/>
            </w:r>
            <w:r w:rsidRPr="000A4491">
              <w:rPr>
                <w:rFonts w:ascii="Verdana" w:hAnsi="Verdana"/>
                <w:sz w:val="20"/>
              </w:rPr>
              <w:t>) or Call Detail Recording</w:t>
            </w:r>
            <w:r w:rsidRPr="000A4491">
              <w:rPr>
                <w:rFonts w:ascii="Verdana" w:hAnsi="Verdana"/>
                <w:sz w:val="20"/>
              </w:rPr>
              <w:fldChar w:fldCharType="begin"/>
            </w:r>
            <w:r w:rsidRPr="000A4491">
              <w:rPr>
                <w:rFonts w:ascii="Verdana" w:hAnsi="Verdana"/>
                <w:sz w:val="20"/>
              </w:rPr>
              <w:instrText>xe "Call Detail Recording"</w:instrText>
            </w:r>
            <w:r w:rsidRPr="000A4491">
              <w:rPr>
                <w:rFonts w:ascii="Verdana" w:hAnsi="Verdana"/>
                <w:sz w:val="20"/>
              </w:rPr>
              <w:fldChar w:fldCharType="end"/>
            </w:r>
            <w:r w:rsidRPr="000A4491">
              <w:rPr>
                <w:rFonts w:ascii="Verdana" w:hAnsi="Verdana"/>
                <w:sz w:val="20"/>
              </w:rPr>
              <w:t xml:space="preserve"> (CDR</w:t>
            </w:r>
            <w:r w:rsidRPr="000A4491">
              <w:rPr>
                <w:rFonts w:ascii="Verdana" w:hAnsi="Verdana"/>
                <w:sz w:val="20"/>
              </w:rPr>
              <w:fldChar w:fldCharType="begin"/>
            </w:r>
            <w:r w:rsidRPr="000A4491">
              <w:rPr>
                <w:rFonts w:ascii="Verdana" w:hAnsi="Verdana"/>
                <w:sz w:val="20"/>
              </w:rPr>
              <w:instrText>xe "CDR"</w:instrText>
            </w:r>
            <w:r w:rsidRPr="000A4491">
              <w:rPr>
                <w:rFonts w:ascii="Verdana" w:hAnsi="Verdana"/>
                <w:sz w:val="20"/>
              </w:rPr>
              <w:fldChar w:fldCharType="end"/>
            </w:r>
            <w:r w:rsidRPr="000A4491">
              <w:rPr>
                <w:rFonts w:ascii="Verdana" w:hAnsi="Verdana"/>
                <w:sz w:val="20"/>
              </w:rPr>
              <w:t>), which are software</w:t>
            </w:r>
            <w:r w:rsidRPr="000A4491">
              <w:rPr>
                <w:rFonts w:ascii="Verdana" w:hAnsi="Verdana"/>
                <w:sz w:val="20"/>
              </w:rPr>
              <w:fldChar w:fldCharType="begin"/>
            </w:r>
            <w:r w:rsidRPr="000A4491">
              <w:rPr>
                <w:rFonts w:ascii="Verdana" w:hAnsi="Verdana"/>
                <w:sz w:val="20"/>
              </w:rPr>
              <w:instrText>xe "Software"</w:instrText>
            </w:r>
            <w:r w:rsidRPr="000A4491">
              <w:rPr>
                <w:rFonts w:ascii="Verdana" w:hAnsi="Verdana"/>
                <w:sz w:val="20"/>
              </w:rPr>
              <w:fldChar w:fldCharType="end"/>
            </w:r>
            <w:r w:rsidRPr="000A4491">
              <w:rPr>
                <w:rFonts w:ascii="Verdana" w:hAnsi="Verdana"/>
                <w:sz w:val="20"/>
              </w:rPr>
              <w:t>/hardware PBX</w:t>
            </w:r>
            <w:r w:rsidRPr="000A4491">
              <w:rPr>
                <w:rFonts w:ascii="Verdana" w:hAnsi="Verdana"/>
                <w:sz w:val="20"/>
              </w:rPr>
              <w:fldChar w:fldCharType="begin"/>
            </w:r>
            <w:r w:rsidRPr="000A4491">
              <w:rPr>
                <w:rFonts w:ascii="Verdana" w:hAnsi="Verdana"/>
                <w:sz w:val="20"/>
              </w:rPr>
              <w:instrText>xe "</w:instrText>
            </w:r>
            <w:r w:rsidRPr="000A4491">
              <w:rPr>
                <w:rFonts w:ascii="Verdana" w:hAnsi="Verdana"/>
                <w:bCs/>
                <w:sz w:val="20"/>
              </w:rPr>
              <w:instrText>PBX</w:instrText>
            </w:r>
            <w:r w:rsidRPr="000A4491">
              <w:rPr>
                <w:rFonts w:ascii="Verdana" w:hAnsi="Verdana"/>
                <w:sz w:val="20"/>
              </w:rPr>
              <w:instrText>"</w:instrText>
            </w:r>
            <w:r w:rsidRPr="000A4491">
              <w:rPr>
                <w:rFonts w:ascii="Verdana" w:hAnsi="Verdana"/>
                <w:sz w:val="20"/>
              </w:rPr>
              <w:fldChar w:fldCharType="end"/>
            </w:r>
            <w:r w:rsidRPr="000A4491">
              <w:rPr>
                <w:rFonts w:ascii="Verdana" w:hAnsi="Verdana"/>
                <w:sz w:val="20"/>
              </w:rPr>
              <w:t xml:space="preserve"> components that provide the capability to generate reports on call details such as call duration, PBX station number, time and date, dialed number, and cost of call.</w:t>
            </w:r>
          </w:p>
        </w:tc>
      </w:tr>
      <w:tr w:rsidR="00F935B1" w14:paraId="3672D85A" w14:textId="77777777" w:rsidTr="0083602C">
        <w:trPr>
          <w:tblCellSpacing w:w="15" w:type="dxa"/>
        </w:trPr>
        <w:tc>
          <w:tcPr>
            <w:tcW w:w="3656" w:type="dxa"/>
          </w:tcPr>
          <w:p w14:paraId="0CD845FC" w14:textId="77777777" w:rsidR="00F935B1" w:rsidRPr="000A4491" w:rsidRDefault="00F935B1" w:rsidP="0083602C">
            <w:pPr>
              <w:rPr>
                <w:rFonts w:ascii="Verdana" w:hAnsi="Verdana"/>
                <w:sz w:val="20"/>
              </w:rPr>
            </w:pPr>
            <w:r w:rsidRPr="000A4491">
              <w:rPr>
                <w:rFonts w:ascii="Verdana" w:hAnsi="Verdana"/>
                <w:sz w:val="20"/>
              </w:rPr>
              <w:t>Call Sequencer</w:t>
            </w:r>
            <w:r w:rsidRPr="000A4491">
              <w:rPr>
                <w:rFonts w:ascii="Verdana" w:hAnsi="Verdana"/>
                <w:sz w:val="20"/>
              </w:rPr>
              <w:fldChar w:fldCharType="begin"/>
            </w:r>
            <w:r w:rsidRPr="000A4491">
              <w:rPr>
                <w:rFonts w:ascii="Verdana" w:hAnsi="Verdana"/>
                <w:sz w:val="20"/>
              </w:rPr>
              <w:instrText>xe "</w:instrText>
            </w:r>
            <w:r w:rsidRPr="000A4491">
              <w:rPr>
                <w:rStyle w:val="Hyperlink"/>
                <w:rFonts w:ascii="Verdana" w:hAnsi="Verdana"/>
                <w:bCs/>
                <w:sz w:val="20"/>
              </w:rPr>
              <w:instrText>Call Sequencer</w:instrText>
            </w:r>
            <w:r w:rsidRPr="000A4491">
              <w:rPr>
                <w:rFonts w:ascii="Verdana" w:hAnsi="Verdana"/>
                <w:sz w:val="20"/>
              </w:rPr>
              <w:instrText>"</w:instrText>
            </w:r>
            <w:r w:rsidRPr="000A4491">
              <w:rPr>
                <w:rFonts w:ascii="Verdana" w:hAnsi="Verdana"/>
                <w:sz w:val="20"/>
              </w:rPr>
              <w:fldChar w:fldCharType="end"/>
            </w:r>
            <w:r w:rsidRPr="000A4491">
              <w:rPr>
                <w:rFonts w:ascii="Verdana" w:hAnsi="Verdana"/>
                <w:sz w:val="20"/>
              </w:rPr>
              <w:t xml:space="preserve"> </w:t>
            </w:r>
            <w:r w:rsidRPr="000A4491">
              <w:rPr>
                <w:rFonts w:ascii="Verdana" w:hAnsi="Verdana"/>
                <w:sz w:val="20"/>
              </w:rPr>
              <w:br/>
              <w:t>(</w:t>
            </w:r>
            <w:hyperlink w:anchor="aaTelephoneComponents" w:history="1">
              <w:r w:rsidRPr="000A4491">
                <w:rPr>
                  <w:rStyle w:val="Hyperlink"/>
                  <w:rFonts w:ascii="Verdana" w:hAnsi="Verdana"/>
                  <w:sz w:val="20"/>
                </w:rPr>
                <w:t>Not Eligible for E-rate Funding as Internal Connections Components</w:t>
              </w:r>
              <w:r w:rsidRPr="000A4491">
                <w:rPr>
                  <w:rFonts w:ascii="Verdana" w:hAnsi="Verdana"/>
                  <w:sz w:val="20"/>
                </w:rPr>
                <w:fldChar w:fldCharType="begin"/>
              </w:r>
              <w:r w:rsidRPr="000A4491">
                <w:rPr>
                  <w:rFonts w:ascii="Verdana" w:hAnsi="Verdana"/>
                  <w:sz w:val="20"/>
                </w:rPr>
                <w:instrText>xe "Telephone"</w:instrText>
              </w:r>
              <w:r w:rsidRPr="000A4491">
                <w:rPr>
                  <w:rFonts w:ascii="Verdana" w:hAnsi="Verdana"/>
                  <w:sz w:val="20"/>
                </w:rPr>
                <w:fldChar w:fldCharType="end"/>
              </w:r>
            </w:hyperlink>
            <w:r w:rsidRPr="000A4491">
              <w:rPr>
                <w:rFonts w:ascii="Verdana" w:hAnsi="Verdana"/>
                <w:sz w:val="20"/>
              </w:rPr>
              <w:t>)</w:t>
            </w:r>
          </w:p>
        </w:tc>
        <w:tc>
          <w:tcPr>
            <w:tcW w:w="5441" w:type="dxa"/>
          </w:tcPr>
          <w:p w14:paraId="60018C5E" w14:textId="77777777" w:rsidR="00F935B1" w:rsidRPr="000A4491" w:rsidRDefault="00F935B1" w:rsidP="0083602C">
            <w:pPr>
              <w:pStyle w:val="NormalWeb"/>
              <w:spacing w:before="0" w:beforeAutospacing="0" w:after="0"/>
              <w:rPr>
                <w:rFonts w:ascii="Verdana" w:hAnsi="Verdana"/>
                <w:sz w:val="20"/>
              </w:rPr>
            </w:pPr>
            <w:r w:rsidRPr="000A4491">
              <w:rPr>
                <w:rFonts w:ascii="Verdana" w:hAnsi="Verdana"/>
                <w:sz w:val="20"/>
              </w:rPr>
              <w:t>An Automatic Call Sequencer</w:t>
            </w:r>
            <w:r w:rsidRPr="000A4491">
              <w:rPr>
                <w:rFonts w:ascii="Verdana" w:hAnsi="Verdana"/>
                <w:sz w:val="20"/>
              </w:rPr>
              <w:fldChar w:fldCharType="begin"/>
            </w:r>
            <w:r w:rsidRPr="000A4491">
              <w:rPr>
                <w:rFonts w:ascii="Verdana" w:hAnsi="Verdana"/>
                <w:sz w:val="20"/>
              </w:rPr>
              <w:instrText>xe "</w:instrText>
            </w:r>
            <w:r w:rsidRPr="000A4491">
              <w:rPr>
                <w:rStyle w:val="Hyperlink"/>
                <w:rFonts w:ascii="Verdana" w:hAnsi="Verdana"/>
                <w:bCs/>
                <w:sz w:val="20"/>
              </w:rPr>
              <w:instrText>Call Sequencer</w:instrText>
            </w:r>
            <w:r w:rsidRPr="000A4491">
              <w:rPr>
                <w:rFonts w:ascii="Verdana" w:hAnsi="Verdana"/>
                <w:sz w:val="20"/>
              </w:rPr>
              <w:instrText>"</w:instrText>
            </w:r>
            <w:r w:rsidRPr="000A4491">
              <w:rPr>
                <w:rFonts w:ascii="Verdana" w:hAnsi="Verdana"/>
                <w:sz w:val="20"/>
              </w:rPr>
              <w:fldChar w:fldCharType="end"/>
            </w:r>
            <w:r w:rsidRPr="000A4491">
              <w:rPr>
                <w:rFonts w:ascii="Verdana" w:hAnsi="Verdana"/>
                <w:sz w:val="20"/>
              </w:rPr>
              <w:t xml:space="preserve"> is a component used with a PBX</w:t>
            </w:r>
            <w:r w:rsidRPr="000A4491">
              <w:rPr>
                <w:rFonts w:ascii="Verdana" w:hAnsi="Verdana"/>
                <w:sz w:val="20"/>
              </w:rPr>
              <w:fldChar w:fldCharType="begin"/>
            </w:r>
            <w:r w:rsidRPr="000A4491">
              <w:rPr>
                <w:rFonts w:ascii="Verdana" w:hAnsi="Verdana"/>
                <w:sz w:val="20"/>
              </w:rPr>
              <w:instrText>xe "</w:instrText>
            </w:r>
            <w:r w:rsidRPr="000A4491">
              <w:rPr>
                <w:rFonts w:ascii="Verdana" w:hAnsi="Verdana"/>
                <w:bCs/>
                <w:sz w:val="20"/>
              </w:rPr>
              <w:instrText>PBX</w:instrText>
            </w:r>
            <w:r w:rsidRPr="000A4491">
              <w:rPr>
                <w:rFonts w:ascii="Verdana" w:hAnsi="Verdana"/>
                <w:sz w:val="20"/>
              </w:rPr>
              <w:instrText>"</w:instrText>
            </w:r>
            <w:r w:rsidRPr="000A4491">
              <w:rPr>
                <w:rFonts w:ascii="Verdana" w:hAnsi="Verdana"/>
                <w:sz w:val="20"/>
              </w:rPr>
              <w:fldChar w:fldCharType="end"/>
            </w:r>
            <w:r w:rsidRPr="000A4491">
              <w:rPr>
                <w:rFonts w:ascii="Verdana" w:hAnsi="Verdana"/>
                <w:sz w:val="20"/>
              </w:rPr>
              <w:t xml:space="preserve"> or Key system.  The call sequencer distributes incoming telephone calls among a select number of stations or telephones.  Some call sequencers are designed to generate statistical reports on number of calls and how calls were handled.</w:t>
            </w:r>
          </w:p>
        </w:tc>
      </w:tr>
      <w:tr w:rsidR="00F935B1" w14:paraId="3FEA7322" w14:textId="77777777" w:rsidTr="0083602C">
        <w:trPr>
          <w:tblCellSpacing w:w="15" w:type="dxa"/>
        </w:trPr>
        <w:tc>
          <w:tcPr>
            <w:tcW w:w="3656" w:type="dxa"/>
          </w:tcPr>
          <w:p w14:paraId="6EE2C53E" w14:textId="77777777" w:rsidR="00F935B1" w:rsidRPr="000A4491" w:rsidRDefault="00F935B1" w:rsidP="0083602C">
            <w:pPr>
              <w:rPr>
                <w:rFonts w:ascii="Verdana" w:hAnsi="Verdana"/>
                <w:sz w:val="20"/>
              </w:rPr>
            </w:pPr>
            <w:r w:rsidRPr="000A4491">
              <w:rPr>
                <w:rFonts w:ascii="Verdana" w:hAnsi="Verdana"/>
                <w:sz w:val="20"/>
              </w:rPr>
              <w:t>Cartridge Magnetic Tape</w:t>
            </w:r>
            <w:r w:rsidRPr="000A4491">
              <w:rPr>
                <w:rFonts w:ascii="Verdana" w:hAnsi="Verdana"/>
                <w:sz w:val="20"/>
              </w:rPr>
              <w:fldChar w:fldCharType="begin"/>
            </w:r>
            <w:r w:rsidRPr="000A4491">
              <w:rPr>
                <w:rFonts w:ascii="Verdana" w:hAnsi="Verdana"/>
                <w:sz w:val="20"/>
              </w:rPr>
              <w:instrText>xe "Cartridge Magnetic Tape"</w:instrText>
            </w:r>
            <w:r w:rsidRPr="000A4491">
              <w:rPr>
                <w:rFonts w:ascii="Verdana" w:hAnsi="Verdana"/>
                <w:sz w:val="20"/>
              </w:rPr>
              <w:fldChar w:fldCharType="end"/>
            </w:r>
          </w:p>
          <w:p w14:paraId="0CB5BF7B" w14:textId="77777777" w:rsidR="00F935B1" w:rsidRPr="000A4491" w:rsidRDefault="00F935B1" w:rsidP="0083602C">
            <w:pPr>
              <w:rPr>
                <w:rFonts w:ascii="Verdana" w:hAnsi="Verdana"/>
                <w:sz w:val="20"/>
              </w:rPr>
            </w:pPr>
            <w:r w:rsidRPr="000A4491">
              <w:rPr>
                <w:rFonts w:ascii="Verdana" w:hAnsi="Verdana"/>
                <w:sz w:val="20"/>
              </w:rPr>
              <w:t>(</w:t>
            </w:r>
            <w:hyperlink w:anchor="aaStorageDevices" w:history="1">
              <w:r w:rsidRPr="000A4491">
                <w:rPr>
                  <w:rStyle w:val="Hyperlink"/>
                  <w:rFonts w:ascii="Verdana" w:hAnsi="Verdana"/>
                  <w:sz w:val="20"/>
                </w:rPr>
                <w:t xml:space="preserve">Not Eligible for E-rate </w:t>
              </w:r>
              <w:r w:rsidRPr="000A4491">
                <w:rPr>
                  <w:rStyle w:val="Hyperlink"/>
                  <w:rFonts w:ascii="Verdana" w:hAnsi="Verdana"/>
                  <w:sz w:val="20"/>
                </w:rPr>
                <w:lastRenderedPageBreak/>
                <w:t>Funding as Internal Connections Components</w:t>
              </w:r>
            </w:hyperlink>
            <w:r w:rsidRPr="000A4491">
              <w:rPr>
                <w:rFonts w:ascii="Verdana" w:hAnsi="Verdana"/>
                <w:sz w:val="20"/>
              </w:rPr>
              <w:t>)</w:t>
            </w:r>
          </w:p>
        </w:tc>
        <w:tc>
          <w:tcPr>
            <w:tcW w:w="5441" w:type="dxa"/>
          </w:tcPr>
          <w:p w14:paraId="337F9100" w14:textId="77777777" w:rsidR="00F935B1" w:rsidRPr="000A4491" w:rsidRDefault="00F935B1" w:rsidP="0083602C">
            <w:pPr>
              <w:pStyle w:val="NormalWeb"/>
              <w:spacing w:before="0" w:beforeAutospacing="0" w:after="0"/>
              <w:rPr>
                <w:rFonts w:ascii="Verdana" w:hAnsi="Verdana"/>
                <w:sz w:val="20"/>
              </w:rPr>
            </w:pPr>
            <w:r w:rsidRPr="000A4491">
              <w:rPr>
                <w:rFonts w:ascii="Verdana" w:hAnsi="Verdana"/>
                <w:sz w:val="20"/>
              </w:rPr>
              <w:lastRenderedPageBreak/>
              <w:t>Cartridge magnetic tape</w:t>
            </w:r>
            <w:r w:rsidRPr="000A4491">
              <w:rPr>
                <w:rFonts w:ascii="Verdana" w:hAnsi="Verdana"/>
                <w:sz w:val="20"/>
              </w:rPr>
              <w:fldChar w:fldCharType="begin"/>
            </w:r>
            <w:r w:rsidRPr="000A4491">
              <w:rPr>
                <w:rFonts w:ascii="Verdana" w:hAnsi="Verdana"/>
                <w:sz w:val="20"/>
              </w:rPr>
              <w:instrText>xe "Cartridge Magnetic Tape"</w:instrText>
            </w:r>
            <w:r w:rsidRPr="000A4491">
              <w:rPr>
                <w:rFonts w:ascii="Verdana" w:hAnsi="Verdana"/>
                <w:sz w:val="20"/>
              </w:rPr>
              <w:fldChar w:fldCharType="end"/>
            </w:r>
            <w:r w:rsidRPr="000A4491">
              <w:rPr>
                <w:rFonts w:ascii="Verdana" w:hAnsi="Verdana"/>
                <w:sz w:val="20"/>
              </w:rPr>
              <w:t xml:space="preserve"> is used in tape backup devices, and provides replaceable and archive </w:t>
            </w:r>
            <w:r w:rsidRPr="000A4491">
              <w:rPr>
                <w:rFonts w:ascii="Verdana" w:hAnsi="Verdana"/>
                <w:sz w:val="20"/>
              </w:rPr>
              <w:lastRenderedPageBreak/>
              <w:t>storage</w:t>
            </w:r>
            <w:r w:rsidRPr="000A4491">
              <w:rPr>
                <w:rFonts w:ascii="Verdana" w:hAnsi="Verdana"/>
                <w:sz w:val="20"/>
              </w:rPr>
              <w:fldChar w:fldCharType="begin"/>
            </w:r>
            <w:r w:rsidRPr="000A4491">
              <w:rPr>
                <w:rFonts w:ascii="Verdana" w:hAnsi="Verdana"/>
                <w:sz w:val="20"/>
              </w:rPr>
              <w:instrText>xe "Storage"</w:instrText>
            </w:r>
            <w:r w:rsidRPr="000A4491">
              <w:rPr>
                <w:rFonts w:ascii="Verdana" w:hAnsi="Verdana"/>
                <w:sz w:val="20"/>
              </w:rPr>
              <w:fldChar w:fldCharType="end"/>
            </w:r>
            <w:r w:rsidRPr="000A4491">
              <w:rPr>
                <w:rFonts w:ascii="Verdana" w:hAnsi="Verdana"/>
                <w:sz w:val="20"/>
              </w:rPr>
              <w:t xml:space="preserve"> capacity.</w:t>
            </w:r>
          </w:p>
        </w:tc>
      </w:tr>
      <w:tr w:rsidR="00F935B1" w14:paraId="22E87079" w14:textId="77777777" w:rsidTr="0083602C">
        <w:trPr>
          <w:tblCellSpacing w:w="15" w:type="dxa"/>
        </w:trPr>
        <w:tc>
          <w:tcPr>
            <w:tcW w:w="3656" w:type="dxa"/>
          </w:tcPr>
          <w:p w14:paraId="204FB9CB" w14:textId="77777777" w:rsidR="00F935B1" w:rsidRPr="000A4491" w:rsidRDefault="00F935B1" w:rsidP="0083602C">
            <w:pPr>
              <w:rPr>
                <w:rFonts w:ascii="Verdana" w:hAnsi="Verdana"/>
                <w:sz w:val="20"/>
              </w:rPr>
            </w:pPr>
            <w:r w:rsidRPr="000A4491">
              <w:rPr>
                <w:rFonts w:ascii="Verdana" w:hAnsi="Verdana"/>
                <w:sz w:val="20"/>
              </w:rPr>
              <w:lastRenderedPageBreak/>
              <w:t>CD</w:t>
            </w:r>
            <w:r w:rsidRPr="000A4491">
              <w:rPr>
                <w:rFonts w:ascii="Verdana" w:hAnsi="Verdana"/>
                <w:sz w:val="20"/>
              </w:rPr>
              <w:fldChar w:fldCharType="begin"/>
            </w:r>
            <w:r w:rsidRPr="000A4491">
              <w:rPr>
                <w:rFonts w:ascii="Verdana" w:hAnsi="Verdana"/>
                <w:sz w:val="20"/>
              </w:rPr>
              <w:instrText>xe "CD"</w:instrText>
            </w:r>
            <w:r w:rsidRPr="000A4491">
              <w:rPr>
                <w:rFonts w:ascii="Verdana" w:hAnsi="Verdana"/>
                <w:sz w:val="20"/>
              </w:rPr>
              <w:fldChar w:fldCharType="end"/>
            </w:r>
            <w:r w:rsidRPr="000A4491">
              <w:rPr>
                <w:rFonts w:ascii="Verdana" w:hAnsi="Verdana"/>
                <w:sz w:val="20"/>
              </w:rPr>
              <w:t>/ DVD</w:t>
            </w:r>
            <w:r w:rsidRPr="000A4491">
              <w:rPr>
                <w:rFonts w:ascii="Verdana" w:hAnsi="Verdana"/>
                <w:sz w:val="20"/>
              </w:rPr>
              <w:fldChar w:fldCharType="begin"/>
            </w:r>
            <w:r w:rsidRPr="000A4491">
              <w:rPr>
                <w:rFonts w:ascii="Verdana" w:hAnsi="Verdana"/>
                <w:sz w:val="20"/>
              </w:rPr>
              <w:instrText>xe "DVD"</w:instrText>
            </w:r>
            <w:r w:rsidRPr="000A4491">
              <w:rPr>
                <w:rFonts w:ascii="Verdana" w:hAnsi="Verdana"/>
                <w:sz w:val="20"/>
              </w:rPr>
              <w:fldChar w:fldCharType="end"/>
            </w:r>
            <w:r w:rsidRPr="000A4491">
              <w:rPr>
                <w:rFonts w:ascii="Verdana" w:hAnsi="Verdana"/>
                <w:sz w:val="20"/>
              </w:rPr>
              <w:t xml:space="preserve"> Player </w:t>
            </w:r>
            <w:r w:rsidRPr="000A4491">
              <w:rPr>
                <w:rFonts w:ascii="Verdana" w:hAnsi="Verdana"/>
                <w:sz w:val="20"/>
              </w:rPr>
              <w:br/>
              <w:t>(</w:t>
            </w:r>
            <w:hyperlink w:anchor="aaIneligibleComponents" w:history="1">
              <w:r w:rsidRPr="000A4491">
                <w:rPr>
                  <w:rStyle w:val="Hyperlink"/>
                  <w:rFonts w:ascii="Verdana" w:hAnsi="Verdana"/>
                  <w:sz w:val="20"/>
                </w:rPr>
                <w:t>Not Eligible for E-rate Funding as Internal Connections Components</w:t>
              </w:r>
            </w:hyperlink>
            <w:r w:rsidRPr="000A4491">
              <w:rPr>
                <w:rFonts w:ascii="Verdana" w:hAnsi="Verdana"/>
                <w:sz w:val="20"/>
              </w:rPr>
              <w:t>)</w:t>
            </w:r>
          </w:p>
        </w:tc>
        <w:tc>
          <w:tcPr>
            <w:tcW w:w="5441" w:type="dxa"/>
          </w:tcPr>
          <w:p w14:paraId="2D975D71" w14:textId="77777777" w:rsidR="00F935B1" w:rsidRPr="000A4491" w:rsidRDefault="00F935B1" w:rsidP="0083602C">
            <w:pPr>
              <w:pStyle w:val="NormalWeb"/>
              <w:spacing w:before="0" w:beforeAutospacing="0" w:after="0"/>
              <w:rPr>
                <w:rFonts w:ascii="Verdana" w:hAnsi="Verdana"/>
                <w:sz w:val="20"/>
              </w:rPr>
            </w:pPr>
            <w:r w:rsidRPr="000A4491">
              <w:rPr>
                <w:rFonts w:ascii="Verdana" w:hAnsi="Verdana"/>
                <w:sz w:val="20"/>
              </w:rPr>
              <w:t>A Compact Disc</w:t>
            </w:r>
            <w:r w:rsidRPr="000A4491">
              <w:rPr>
                <w:rFonts w:ascii="Verdana" w:hAnsi="Verdana"/>
                <w:sz w:val="20"/>
              </w:rPr>
              <w:fldChar w:fldCharType="begin"/>
            </w:r>
            <w:r w:rsidRPr="000A4491">
              <w:rPr>
                <w:rFonts w:ascii="Verdana" w:hAnsi="Verdana"/>
                <w:sz w:val="20"/>
              </w:rPr>
              <w:instrText>xe "Compact Disc"</w:instrText>
            </w:r>
            <w:r w:rsidRPr="000A4491">
              <w:rPr>
                <w:rFonts w:ascii="Verdana" w:hAnsi="Verdana"/>
                <w:sz w:val="20"/>
              </w:rPr>
              <w:fldChar w:fldCharType="end"/>
            </w:r>
            <w:r w:rsidRPr="000A4491">
              <w:rPr>
                <w:rFonts w:ascii="Verdana" w:hAnsi="Verdana"/>
                <w:sz w:val="20"/>
              </w:rPr>
              <w:t xml:space="preserve"> or Digital Video Disc</w:t>
            </w:r>
            <w:r w:rsidRPr="000A4491">
              <w:rPr>
                <w:rFonts w:ascii="Verdana" w:hAnsi="Verdana"/>
                <w:sz w:val="20"/>
              </w:rPr>
              <w:fldChar w:fldCharType="begin"/>
            </w:r>
            <w:r w:rsidRPr="000A4491">
              <w:rPr>
                <w:rFonts w:ascii="Verdana" w:hAnsi="Verdana"/>
                <w:sz w:val="20"/>
              </w:rPr>
              <w:instrText>xe "Digital Video Disc"</w:instrText>
            </w:r>
            <w:r w:rsidRPr="000A4491">
              <w:rPr>
                <w:rFonts w:ascii="Verdana" w:hAnsi="Verdana"/>
                <w:sz w:val="20"/>
              </w:rPr>
              <w:fldChar w:fldCharType="end"/>
            </w:r>
            <w:r w:rsidRPr="000A4491">
              <w:rPr>
                <w:rFonts w:ascii="Verdana" w:hAnsi="Verdana"/>
                <w:sz w:val="20"/>
              </w:rPr>
              <w:t xml:space="preserve"> (CD</w:t>
            </w:r>
            <w:r w:rsidRPr="000A4491">
              <w:rPr>
                <w:rFonts w:ascii="Verdana" w:hAnsi="Verdana"/>
                <w:sz w:val="20"/>
              </w:rPr>
              <w:fldChar w:fldCharType="begin"/>
            </w:r>
            <w:r w:rsidRPr="000A4491">
              <w:rPr>
                <w:rFonts w:ascii="Verdana" w:hAnsi="Verdana"/>
                <w:sz w:val="20"/>
              </w:rPr>
              <w:instrText>xe "CD"</w:instrText>
            </w:r>
            <w:r w:rsidRPr="000A4491">
              <w:rPr>
                <w:rFonts w:ascii="Verdana" w:hAnsi="Verdana"/>
                <w:sz w:val="20"/>
              </w:rPr>
              <w:fldChar w:fldCharType="end"/>
            </w:r>
            <w:r w:rsidRPr="000A4491">
              <w:rPr>
                <w:rFonts w:ascii="Verdana" w:hAnsi="Verdana"/>
                <w:sz w:val="20"/>
              </w:rPr>
              <w:t>/DVD</w:t>
            </w:r>
            <w:r w:rsidRPr="000A4491">
              <w:rPr>
                <w:rFonts w:ascii="Verdana" w:hAnsi="Verdana"/>
                <w:sz w:val="20"/>
              </w:rPr>
              <w:fldChar w:fldCharType="begin"/>
            </w:r>
            <w:r w:rsidRPr="000A4491">
              <w:rPr>
                <w:rFonts w:ascii="Verdana" w:hAnsi="Verdana"/>
                <w:sz w:val="20"/>
              </w:rPr>
              <w:instrText>xe "DVD"</w:instrText>
            </w:r>
            <w:r w:rsidRPr="000A4491">
              <w:rPr>
                <w:rFonts w:ascii="Verdana" w:hAnsi="Verdana"/>
                <w:sz w:val="20"/>
              </w:rPr>
              <w:fldChar w:fldCharType="end"/>
            </w:r>
            <w:r w:rsidRPr="000A4491">
              <w:rPr>
                <w:rFonts w:ascii="Verdana" w:hAnsi="Verdana"/>
                <w:sz w:val="20"/>
              </w:rPr>
              <w:t>) Player is a device that plays or reproduces the music, voice, and/or video</w:t>
            </w:r>
            <w:r w:rsidRPr="000A4491">
              <w:rPr>
                <w:rFonts w:ascii="Verdana" w:hAnsi="Verdana"/>
                <w:sz w:val="20"/>
              </w:rPr>
              <w:fldChar w:fldCharType="begin"/>
            </w:r>
            <w:r w:rsidRPr="000A4491">
              <w:rPr>
                <w:rFonts w:ascii="Verdana" w:hAnsi="Verdana"/>
                <w:sz w:val="20"/>
              </w:rPr>
              <w:instrText>xe "Video"</w:instrText>
            </w:r>
            <w:r w:rsidRPr="000A4491">
              <w:rPr>
                <w:rFonts w:ascii="Verdana" w:hAnsi="Verdana"/>
                <w:sz w:val="20"/>
              </w:rPr>
              <w:fldChar w:fldCharType="end"/>
            </w:r>
            <w:r w:rsidRPr="000A4491">
              <w:rPr>
                <w:rFonts w:ascii="Verdana" w:hAnsi="Verdana"/>
                <w:sz w:val="20"/>
              </w:rPr>
              <w:t xml:space="preserve"> from a CD or Digital Video Disc.</w:t>
            </w:r>
          </w:p>
        </w:tc>
      </w:tr>
      <w:tr w:rsidR="00F935B1" w14:paraId="352EEF44" w14:textId="77777777" w:rsidTr="0083602C">
        <w:trPr>
          <w:tblCellSpacing w:w="15" w:type="dxa"/>
        </w:trPr>
        <w:tc>
          <w:tcPr>
            <w:tcW w:w="3656" w:type="dxa"/>
          </w:tcPr>
          <w:p w14:paraId="4A2FA32E" w14:textId="77777777" w:rsidR="00F935B1" w:rsidRPr="000A4491" w:rsidRDefault="00F935B1" w:rsidP="0083602C">
            <w:pPr>
              <w:rPr>
                <w:rFonts w:ascii="Verdana" w:hAnsi="Verdana"/>
                <w:sz w:val="20"/>
              </w:rPr>
            </w:pPr>
            <w:r w:rsidRPr="000A4491">
              <w:rPr>
                <w:rFonts w:ascii="Verdana" w:hAnsi="Verdana"/>
                <w:sz w:val="20"/>
              </w:rPr>
              <w:t>Cellular Service</w:t>
            </w:r>
            <w:r w:rsidRPr="000A4491">
              <w:rPr>
                <w:rFonts w:ascii="Verdana" w:hAnsi="Verdana"/>
                <w:sz w:val="20"/>
              </w:rPr>
              <w:fldChar w:fldCharType="begin"/>
            </w:r>
            <w:r w:rsidRPr="000A4491">
              <w:rPr>
                <w:rFonts w:ascii="Verdana" w:hAnsi="Verdana"/>
                <w:sz w:val="20"/>
              </w:rPr>
              <w:instrText>xe "Cellular Service"</w:instrText>
            </w:r>
            <w:r w:rsidRPr="000A4491">
              <w:rPr>
                <w:rFonts w:ascii="Verdana" w:hAnsi="Verdana"/>
                <w:sz w:val="20"/>
              </w:rPr>
              <w:fldChar w:fldCharType="end"/>
            </w:r>
          </w:p>
          <w:p w14:paraId="2093F1A8" w14:textId="77777777" w:rsidR="00F935B1" w:rsidRPr="000A4491" w:rsidRDefault="00F935B1" w:rsidP="0083602C">
            <w:pPr>
              <w:rPr>
                <w:rFonts w:ascii="Verdana" w:hAnsi="Verdana"/>
                <w:sz w:val="20"/>
              </w:rPr>
            </w:pPr>
            <w:r w:rsidRPr="000A4491">
              <w:rPr>
                <w:rFonts w:ascii="Verdana" w:hAnsi="Verdana"/>
                <w:sz w:val="20"/>
              </w:rPr>
              <w:t>(</w:t>
            </w:r>
            <w:hyperlink w:anchor="aattTelephoneService" w:history="1">
              <w:r w:rsidRPr="000A4491">
                <w:rPr>
                  <w:rStyle w:val="Hyperlink"/>
                  <w:rFonts w:ascii="Verdana" w:hAnsi="Verdana"/>
                  <w:sz w:val="20"/>
                </w:rPr>
                <w:t>Telephone Service</w:t>
              </w:r>
              <w:r w:rsidRPr="000A4491">
                <w:rPr>
                  <w:rFonts w:ascii="Verdana" w:hAnsi="Verdana"/>
                  <w:sz w:val="20"/>
                </w:rPr>
                <w:fldChar w:fldCharType="begin"/>
              </w:r>
              <w:r w:rsidRPr="000A4491">
                <w:rPr>
                  <w:rFonts w:ascii="Verdana" w:hAnsi="Verdana"/>
                  <w:sz w:val="20"/>
                </w:rPr>
                <w:instrText>xe "Telephone Service"</w:instrText>
              </w:r>
              <w:r w:rsidRPr="000A4491">
                <w:rPr>
                  <w:rFonts w:ascii="Verdana" w:hAnsi="Verdana"/>
                  <w:sz w:val="20"/>
                </w:rPr>
                <w:fldChar w:fldCharType="end"/>
              </w:r>
            </w:hyperlink>
            <w:r w:rsidRPr="000A4491">
              <w:rPr>
                <w:rFonts w:ascii="Verdana" w:hAnsi="Verdana"/>
                <w:sz w:val="20"/>
              </w:rPr>
              <w:t>)</w:t>
            </w:r>
          </w:p>
        </w:tc>
        <w:tc>
          <w:tcPr>
            <w:tcW w:w="5441" w:type="dxa"/>
          </w:tcPr>
          <w:p w14:paraId="66AA7A9E" w14:textId="77777777" w:rsidR="00F935B1" w:rsidRPr="000A4491" w:rsidRDefault="00F935B1" w:rsidP="0083602C">
            <w:pPr>
              <w:pStyle w:val="NormalWeb"/>
              <w:spacing w:before="0" w:beforeAutospacing="0" w:after="0"/>
              <w:rPr>
                <w:rFonts w:ascii="Verdana" w:hAnsi="Verdana"/>
                <w:sz w:val="20"/>
              </w:rPr>
            </w:pPr>
            <w:r w:rsidRPr="000A4491">
              <w:rPr>
                <w:rFonts w:ascii="Verdana" w:hAnsi="Verdana"/>
                <w:sz w:val="20"/>
              </w:rPr>
              <w:t>Cellular Service</w:t>
            </w:r>
            <w:r w:rsidRPr="000A4491">
              <w:rPr>
                <w:rFonts w:ascii="Verdana" w:hAnsi="Verdana"/>
                <w:sz w:val="20"/>
              </w:rPr>
              <w:fldChar w:fldCharType="begin"/>
            </w:r>
            <w:r w:rsidRPr="000A4491">
              <w:rPr>
                <w:rFonts w:ascii="Verdana" w:hAnsi="Verdana"/>
                <w:sz w:val="20"/>
              </w:rPr>
              <w:instrText>xe "Cellular Service"</w:instrText>
            </w:r>
            <w:r w:rsidRPr="000A4491">
              <w:rPr>
                <w:rFonts w:ascii="Verdana" w:hAnsi="Verdana"/>
                <w:sz w:val="20"/>
              </w:rPr>
              <w:fldChar w:fldCharType="end"/>
            </w:r>
            <w:r w:rsidRPr="000A4491">
              <w:rPr>
                <w:rFonts w:ascii="Verdana" w:hAnsi="Verdana"/>
                <w:sz w:val="20"/>
              </w:rPr>
              <w:t xml:space="preserve"> uses radio</w:t>
            </w:r>
            <w:r w:rsidRPr="000A4491">
              <w:rPr>
                <w:rFonts w:ascii="Verdana" w:hAnsi="Verdana"/>
                <w:sz w:val="20"/>
              </w:rPr>
              <w:fldChar w:fldCharType="begin"/>
            </w:r>
            <w:r w:rsidRPr="000A4491">
              <w:rPr>
                <w:rFonts w:ascii="Verdana" w:hAnsi="Verdana"/>
                <w:sz w:val="20"/>
              </w:rPr>
              <w:instrText>xe "Radio"</w:instrText>
            </w:r>
            <w:r w:rsidRPr="000A4491">
              <w:rPr>
                <w:rFonts w:ascii="Verdana" w:hAnsi="Verdana"/>
                <w:sz w:val="20"/>
              </w:rPr>
              <w:fldChar w:fldCharType="end"/>
            </w:r>
            <w:r w:rsidRPr="000A4491">
              <w:rPr>
                <w:rFonts w:ascii="Verdana" w:hAnsi="Verdana"/>
                <w:sz w:val="20"/>
              </w:rPr>
              <w:t xml:space="preserve"> transmissions to provide a wireless</w:t>
            </w:r>
            <w:r w:rsidRPr="000A4491">
              <w:rPr>
                <w:rFonts w:ascii="Verdana" w:hAnsi="Verdana"/>
                <w:sz w:val="20"/>
              </w:rPr>
              <w:fldChar w:fldCharType="begin"/>
            </w:r>
            <w:r w:rsidRPr="000A4491">
              <w:rPr>
                <w:rFonts w:ascii="Verdana" w:hAnsi="Verdana"/>
                <w:sz w:val="20"/>
              </w:rPr>
              <w:instrText>xe "Wireless"</w:instrText>
            </w:r>
            <w:r w:rsidRPr="000A4491">
              <w:rPr>
                <w:rFonts w:ascii="Verdana" w:hAnsi="Verdana"/>
                <w:sz w:val="20"/>
              </w:rPr>
              <w:fldChar w:fldCharType="end"/>
            </w:r>
            <w:r w:rsidRPr="000A4491">
              <w:rPr>
                <w:rFonts w:ascii="Verdana" w:hAnsi="Verdana"/>
                <w:sz w:val="20"/>
              </w:rPr>
              <w:t xml:space="preserve"> telephone service</w:t>
            </w:r>
            <w:r w:rsidRPr="000A4491">
              <w:rPr>
                <w:rFonts w:ascii="Verdana" w:hAnsi="Verdana"/>
                <w:sz w:val="20"/>
              </w:rPr>
              <w:fldChar w:fldCharType="begin"/>
            </w:r>
            <w:r w:rsidRPr="000A4491">
              <w:rPr>
                <w:rFonts w:ascii="Verdana" w:hAnsi="Verdana"/>
                <w:sz w:val="20"/>
              </w:rPr>
              <w:instrText>xe "Telephone Service"</w:instrText>
            </w:r>
            <w:r w:rsidRPr="000A4491">
              <w:rPr>
                <w:rFonts w:ascii="Verdana" w:hAnsi="Verdana"/>
                <w:sz w:val="20"/>
              </w:rPr>
              <w:fldChar w:fldCharType="end"/>
            </w:r>
            <w:r w:rsidRPr="000A4491">
              <w:rPr>
                <w:rFonts w:ascii="Verdana" w:hAnsi="Verdana"/>
                <w:sz w:val="20"/>
              </w:rPr>
              <w:t>.</w:t>
            </w:r>
          </w:p>
        </w:tc>
      </w:tr>
      <w:tr w:rsidR="00F935B1" w14:paraId="7FD28AFB" w14:textId="77777777" w:rsidTr="0083602C">
        <w:trPr>
          <w:tblCellSpacing w:w="15" w:type="dxa"/>
        </w:trPr>
        <w:tc>
          <w:tcPr>
            <w:tcW w:w="3656" w:type="dxa"/>
          </w:tcPr>
          <w:p w14:paraId="649DE4CF" w14:textId="77777777" w:rsidR="00F935B1" w:rsidRPr="000A4491" w:rsidRDefault="00F935B1" w:rsidP="0083602C">
            <w:pPr>
              <w:rPr>
                <w:rFonts w:ascii="Verdana" w:hAnsi="Verdana"/>
                <w:sz w:val="20"/>
              </w:rPr>
            </w:pPr>
            <w:r w:rsidRPr="000A4491">
              <w:rPr>
                <w:rFonts w:ascii="Verdana" w:hAnsi="Verdana"/>
                <w:sz w:val="20"/>
              </w:rPr>
              <w:t>Centrex</w:t>
            </w:r>
            <w:r w:rsidRPr="000A4491">
              <w:rPr>
                <w:rFonts w:ascii="Verdana" w:hAnsi="Verdana"/>
                <w:sz w:val="20"/>
              </w:rPr>
              <w:fldChar w:fldCharType="begin"/>
            </w:r>
            <w:r w:rsidRPr="000A4491">
              <w:rPr>
                <w:rFonts w:ascii="Verdana" w:hAnsi="Verdana"/>
                <w:sz w:val="20"/>
              </w:rPr>
              <w:instrText>xe "</w:instrText>
            </w:r>
            <w:r w:rsidRPr="000A4491">
              <w:rPr>
                <w:rStyle w:val="Hyperlink"/>
                <w:rFonts w:ascii="Verdana" w:hAnsi="Verdana"/>
                <w:bCs/>
                <w:sz w:val="20"/>
              </w:rPr>
              <w:instrText>Centrex</w:instrText>
            </w:r>
            <w:r w:rsidRPr="000A4491">
              <w:rPr>
                <w:rFonts w:ascii="Verdana" w:hAnsi="Verdana"/>
                <w:sz w:val="20"/>
              </w:rPr>
              <w:instrText>"</w:instrText>
            </w:r>
            <w:r w:rsidRPr="000A4491">
              <w:rPr>
                <w:rFonts w:ascii="Verdana" w:hAnsi="Verdana"/>
                <w:sz w:val="20"/>
              </w:rPr>
              <w:fldChar w:fldCharType="end"/>
            </w:r>
          </w:p>
          <w:p w14:paraId="185FC2A0" w14:textId="77777777" w:rsidR="00F935B1" w:rsidRPr="000A4491" w:rsidRDefault="00F935B1" w:rsidP="0083602C">
            <w:pPr>
              <w:rPr>
                <w:rFonts w:ascii="Verdana" w:hAnsi="Verdana"/>
                <w:sz w:val="20"/>
              </w:rPr>
            </w:pPr>
            <w:r w:rsidRPr="000A4491">
              <w:rPr>
                <w:rFonts w:ascii="Verdana" w:hAnsi="Verdana"/>
                <w:sz w:val="20"/>
              </w:rPr>
              <w:t>(</w:t>
            </w:r>
            <w:hyperlink w:anchor="aattTelephoneService" w:history="1">
              <w:r w:rsidRPr="000A4491">
                <w:rPr>
                  <w:rStyle w:val="Hyperlink"/>
                  <w:rFonts w:ascii="Verdana" w:hAnsi="Verdana"/>
                  <w:sz w:val="20"/>
                </w:rPr>
                <w:t>Telephone Service</w:t>
              </w:r>
              <w:r w:rsidRPr="000A4491">
                <w:rPr>
                  <w:rFonts w:ascii="Verdana" w:hAnsi="Verdana"/>
                  <w:sz w:val="20"/>
                </w:rPr>
                <w:fldChar w:fldCharType="begin"/>
              </w:r>
              <w:r w:rsidRPr="000A4491">
                <w:rPr>
                  <w:rFonts w:ascii="Verdana" w:hAnsi="Verdana"/>
                  <w:sz w:val="20"/>
                </w:rPr>
                <w:instrText>xe "Telephone Service"</w:instrText>
              </w:r>
              <w:r w:rsidRPr="000A4491">
                <w:rPr>
                  <w:rFonts w:ascii="Verdana" w:hAnsi="Verdana"/>
                  <w:sz w:val="20"/>
                </w:rPr>
                <w:fldChar w:fldCharType="end"/>
              </w:r>
            </w:hyperlink>
            <w:r w:rsidRPr="000A4491">
              <w:rPr>
                <w:rFonts w:ascii="Verdana" w:hAnsi="Verdana"/>
                <w:sz w:val="20"/>
              </w:rPr>
              <w:t>)</w:t>
            </w:r>
          </w:p>
        </w:tc>
        <w:tc>
          <w:tcPr>
            <w:tcW w:w="5441" w:type="dxa"/>
          </w:tcPr>
          <w:p w14:paraId="2CBA3D68" w14:textId="77777777" w:rsidR="00F935B1" w:rsidRPr="000A4491" w:rsidRDefault="00F935B1" w:rsidP="0083602C">
            <w:pPr>
              <w:rPr>
                <w:rFonts w:ascii="Verdana" w:hAnsi="Verdana"/>
                <w:sz w:val="20"/>
              </w:rPr>
            </w:pPr>
            <w:r w:rsidRPr="000A4491">
              <w:rPr>
                <w:rFonts w:ascii="Verdana" w:hAnsi="Verdana"/>
                <w:sz w:val="20"/>
              </w:rPr>
              <w:t>Centrex</w:t>
            </w:r>
            <w:r w:rsidRPr="000A4491">
              <w:rPr>
                <w:rFonts w:ascii="Verdana" w:hAnsi="Verdana"/>
                <w:sz w:val="20"/>
              </w:rPr>
              <w:fldChar w:fldCharType="begin"/>
            </w:r>
            <w:r w:rsidRPr="000A4491">
              <w:rPr>
                <w:rFonts w:ascii="Verdana" w:hAnsi="Verdana"/>
                <w:sz w:val="20"/>
              </w:rPr>
              <w:instrText>xe "</w:instrText>
            </w:r>
            <w:r w:rsidRPr="000A4491">
              <w:rPr>
                <w:rStyle w:val="Hyperlink"/>
                <w:rFonts w:ascii="Verdana" w:hAnsi="Verdana"/>
                <w:bCs/>
                <w:sz w:val="20"/>
              </w:rPr>
              <w:instrText>Centrex</w:instrText>
            </w:r>
            <w:r w:rsidRPr="000A4491">
              <w:rPr>
                <w:rFonts w:ascii="Verdana" w:hAnsi="Verdana"/>
                <w:sz w:val="20"/>
              </w:rPr>
              <w:instrText>"</w:instrText>
            </w:r>
            <w:r w:rsidRPr="000A4491">
              <w:rPr>
                <w:rFonts w:ascii="Verdana" w:hAnsi="Verdana"/>
                <w:sz w:val="20"/>
              </w:rPr>
              <w:fldChar w:fldCharType="end"/>
            </w:r>
            <w:r w:rsidRPr="000A4491">
              <w:rPr>
                <w:rFonts w:ascii="Verdana" w:hAnsi="Verdana"/>
                <w:sz w:val="20"/>
              </w:rPr>
              <w:t xml:space="preserve"> is a business telephone service</w:t>
            </w:r>
            <w:r w:rsidRPr="000A4491">
              <w:rPr>
                <w:rFonts w:ascii="Verdana" w:hAnsi="Verdana"/>
                <w:sz w:val="20"/>
              </w:rPr>
              <w:fldChar w:fldCharType="begin"/>
            </w:r>
            <w:r w:rsidRPr="000A4491">
              <w:rPr>
                <w:rFonts w:ascii="Verdana" w:hAnsi="Verdana"/>
                <w:sz w:val="20"/>
              </w:rPr>
              <w:instrText>xe "Telephone</w:instrText>
            </w:r>
            <w:r w:rsidRPr="000A4491">
              <w:rPr>
                <w:rFonts w:ascii="Verdana" w:hAnsi="Verdana"/>
                <w:bCs/>
                <w:sz w:val="20"/>
              </w:rPr>
              <w:instrText xml:space="preserve"> Service</w:instrText>
            </w:r>
            <w:r w:rsidRPr="000A4491">
              <w:rPr>
                <w:rFonts w:ascii="Verdana" w:hAnsi="Verdana"/>
                <w:sz w:val="20"/>
              </w:rPr>
              <w:instrText>"</w:instrText>
            </w:r>
            <w:r w:rsidRPr="000A4491">
              <w:rPr>
                <w:rFonts w:ascii="Verdana" w:hAnsi="Verdana"/>
                <w:sz w:val="20"/>
              </w:rPr>
              <w:fldChar w:fldCharType="end"/>
            </w:r>
            <w:r w:rsidRPr="000A4491">
              <w:rPr>
                <w:rFonts w:ascii="Verdana" w:hAnsi="Verdana"/>
                <w:sz w:val="20"/>
              </w:rPr>
              <w:t xml:space="preserve"> that consists of a wide variety of features, such as, call forwarding</w:t>
            </w:r>
            <w:r w:rsidRPr="000A4491">
              <w:rPr>
                <w:rFonts w:ascii="Verdana" w:hAnsi="Verdana"/>
                <w:sz w:val="20"/>
              </w:rPr>
              <w:fldChar w:fldCharType="begin"/>
            </w:r>
            <w:r w:rsidRPr="000A4491">
              <w:rPr>
                <w:rFonts w:ascii="Verdana" w:hAnsi="Verdana"/>
                <w:sz w:val="20"/>
              </w:rPr>
              <w:instrText>xe "Call Forwarding"</w:instrText>
            </w:r>
            <w:r w:rsidRPr="000A4491">
              <w:rPr>
                <w:rFonts w:ascii="Verdana" w:hAnsi="Verdana"/>
                <w:sz w:val="20"/>
              </w:rPr>
              <w:fldChar w:fldCharType="end"/>
            </w:r>
            <w:r w:rsidRPr="000A4491">
              <w:rPr>
                <w:rFonts w:ascii="Verdana" w:hAnsi="Verdana"/>
                <w:sz w:val="20"/>
              </w:rPr>
              <w:t xml:space="preserve"> and call transfer</w:t>
            </w:r>
            <w:r w:rsidRPr="000A4491">
              <w:rPr>
                <w:rFonts w:ascii="Verdana" w:hAnsi="Verdana"/>
                <w:sz w:val="20"/>
              </w:rPr>
              <w:fldChar w:fldCharType="begin"/>
            </w:r>
            <w:r w:rsidRPr="000A4491">
              <w:rPr>
                <w:rFonts w:ascii="Verdana" w:hAnsi="Verdana"/>
                <w:sz w:val="20"/>
              </w:rPr>
              <w:instrText>xe "Call Transfer"</w:instrText>
            </w:r>
            <w:r w:rsidRPr="000A4491">
              <w:rPr>
                <w:rFonts w:ascii="Verdana" w:hAnsi="Verdana"/>
                <w:sz w:val="20"/>
              </w:rPr>
              <w:fldChar w:fldCharType="end"/>
            </w:r>
            <w:r w:rsidRPr="000A4491">
              <w:rPr>
                <w:rFonts w:ascii="Verdana" w:hAnsi="Verdana"/>
                <w:sz w:val="20"/>
              </w:rPr>
              <w:t>, provided by central office software</w:t>
            </w:r>
            <w:r w:rsidRPr="000A4491">
              <w:rPr>
                <w:rFonts w:ascii="Verdana" w:hAnsi="Verdana"/>
                <w:sz w:val="20"/>
              </w:rPr>
              <w:fldChar w:fldCharType="begin"/>
            </w:r>
            <w:r w:rsidRPr="000A4491">
              <w:rPr>
                <w:rFonts w:ascii="Verdana" w:hAnsi="Verdana"/>
                <w:sz w:val="20"/>
              </w:rPr>
              <w:instrText>xe "Software"</w:instrText>
            </w:r>
            <w:r w:rsidRPr="000A4491">
              <w:rPr>
                <w:rFonts w:ascii="Verdana" w:hAnsi="Verdana"/>
                <w:sz w:val="20"/>
              </w:rPr>
              <w:fldChar w:fldCharType="end"/>
            </w:r>
            <w:r w:rsidRPr="000A4491">
              <w:rPr>
                <w:rFonts w:ascii="Verdana" w:hAnsi="Verdana"/>
                <w:sz w:val="20"/>
              </w:rPr>
              <w:t>.</w:t>
            </w:r>
          </w:p>
        </w:tc>
      </w:tr>
      <w:tr w:rsidR="00F935B1" w14:paraId="7DC6733A" w14:textId="77777777" w:rsidTr="0083602C">
        <w:trPr>
          <w:tblCellSpacing w:w="15" w:type="dxa"/>
        </w:trPr>
        <w:tc>
          <w:tcPr>
            <w:tcW w:w="3656" w:type="dxa"/>
          </w:tcPr>
          <w:p w14:paraId="4B2AB4F8" w14:textId="77777777" w:rsidR="00F935B1" w:rsidRPr="000A4491" w:rsidRDefault="00F935B1" w:rsidP="0083602C">
            <w:pPr>
              <w:rPr>
                <w:rFonts w:ascii="Verdana" w:hAnsi="Verdana"/>
                <w:sz w:val="20"/>
              </w:rPr>
            </w:pPr>
            <w:r w:rsidRPr="000A4491">
              <w:rPr>
                <w:rFonts w:ascii="Verdana" w:hAnsi="Verdana"/>
                <w:sz w:val="20"/>
              </w:rPr>
              <w:t>Change Fees</w:t>
            </w:r>
            <w:r w:rsidRPr="000A4491">
              <w:rPr>
                <w:rFonts w:ascii="Verdana" w:hAnsi="Verdana"/>
                <w:sz w:val="20"/>
              </w:rPr>
              <w:fldChar w:fldCharType="begin"/>
            </w:r>
            <w:r w:rsidRPr="000A4491">
              <w:rPr>
                <w:rFonts w:ascii="Verdana" w:hAnsi="Verdana"/>
                <w:sz w:val="20"/>
              </w:rPr>
              <w:instrText>xe "Change Fees"</w:instrText>
            </w:r>
            <w:r w:rsidRPr="000A4491">
              <w:rPr>
                <w:rFonts w:ascii="Verdana" w:hAnsi="Verdana"/>
                <w:sz w:val="20"/>
              </w:rPr>
              <w:fldChar w:fldCharType="end"/>
            </w:r>
          </w:p>
          <w:p w14:paraId="406D7C9D" w14:textId="77777777" w:rsidR="00F935B1" w:rsidRPr="000A4491" w:rsidRDefault="00F935B1" w:rsidP="0083602C">
            <w:pPr>
              <w:rPr>
                <w:rFonts w:ascii="Verdana" w:hAnsi="Verdana"/>
                <w:sz w:val="20"/>
              </w:rPr>
            </w:pPr>
            <w:r w:rsidRPr="000A4491">
              <w:rPr>
                <w:rFonts w:ascii="Verdana" w:hAnsi="Verdana"/>
                <w:sz w:val="20"/>
              </w:rPr>
              <w:t>(</w:t>
            </w:r>
            <w:hyperlink w:anchor="MiscMiscellaneousFeesAndCharges" w:history="1">
              <w:r w:rsidRPr="000A4491">
                <w:rPr>
                  <w:rStyle w:val="Hyperlink"/>
                  <w:rFonts w:ascii="Verdana" w:hAnsi="Verdana"/>
                  <w:sz w:val="20"/>
                </w:rPr>
                <w:t>Miscellaneous Fees and Charges</w:t>
              </w:r>
            </w:hyperlink>
            <w:r w:rsidRPr="000A4491">
              <w:rPr>
                <w:rFonts w:ascii="Verdana" w:hAnsi="Verdana"/>
                <w:sz w:val="20"/>
              </w:rPr>
              <w:t>)</w:t>
            </w:r>
          </w:p>
        </w:tc>
        <w:tc>
          <w:tcPr>
            <w:tcW w:w="5441" w:type="dxa"/>
          </w:tcPr>
          <w:p w14:paraId="435269CD" w14:textId="77777777" w:rsidR="00F935B1" w:rsidRPr="000A4491" w:rsidRDefault="00F935B1" w:rsidP="0083602C">
            <w:pPr>
              <w:rPr>
                <w:rFonts w:ascii="Verdana" w:hAnsi="Verdana"/>
                <w:sz w:val="20"/>
              </w:rPr>
            </w:pPr>
            <w:r w:rsidRPr="000A4491">
              <w:rPr>
                <w:rFonts w:ascii="Verdana" w:hAnsi="Verdana"/>
                <w:sz w:val="20"/>
              </w:rPr>
              <w:t>Change fees are charges imposed for the modification of an existing service.</w:t>
            </w:r>
          </w:p>
          <w:p w14:paraId="4BB1C459" w14:textId="77777777" w:rsidR="00F935B1" w:rsidRPr="000A4491" w:rsidRDefault="00F935B1" w:rsidP="0083602C">
            <w:pPr>
              <w:rPr>
                <w:rFonts w:ascii="Verdana" w:hAnsi="Verdana"/>
                <w:sz w:val="20"/>
              </w:rPr>
            </w:pPr>
          </w:p>
        </w:tc>
      </w:tr>
      <w:tr w:rsidR="00F935B1" w14:paraId="00816917" w14:textId="77777777" w:rsidTr="0083602C">
        <w:trPr>
          <w:tblCellSpacing w:w="15" w:type="dxa"/>
        </w:trPr>
        <w:tc>
          <w:tcPr>
            <w:tcW w:w="3656" w:type="dxa"/>
          </w:tcPr>
          <w:p w14:paraId="413F83A9" w14:textId="77777777" w:rsidR="00F935B1" w:rsidRPr="000A4491" w:rsidRDefault="00F935B1" w:rsidP="0083602C">
            <w:pPr>
              <w:rPr>
                <w:rFonts w:ascii="Verdana" w:hAnsi="Verdana"/>
                <w:sz w:val="20"/>
              </w:rPr>
            </w:pPr>
            <w:r w:rsidRPr="000A4491">
              <w:rPr>
                <w:rFonts w:ascii="Verdana" w:hAnsi="Verdana"/>
                <w:sz w:val="20"/>
              </w:rPr>
              <w:t>Channel Service Unit /Data Service Unit (CSU</w:t>
            </w:r>
            <w:r w:rsidRPr="000A4491">
              <w:rPr>
                <w:rFonts w:ascii="Verdana" w:hAnsi="Verdana"/>
                <w:sz w:val="20"/>
              </w:rPr>
              <w:fldChar w:fldCharType="begin"/>
            </w:r>
            <w:r w:rsidRPr="000A4491">
              <w:rPr>
                <w:rFonts w:ascii="Verdana" w:hAnsi="Verdana"/>
                <w:sz w:val="20"/>
              </w:rPr>
              <w:instrText>xe "</w:instrText>
            </w:r>
            <w:r w:rsidRPr="000A4491">
              <w:rPr>
                <w:rStyle w:val="Hyperlink"/>
                <w:rFonts w:ascii="Verdana" w:hAnsi="Verdana"/>
                <w:bCs/>
                <w:sz w:val="20"/>
              </w:rPr>
              <w:instrText>CSU</w:instrText>
            </w:r>
            <w:r w:rsidRPr="000A4491">
              <w:rPr>
                <w:rFonts w:ascii="Verdana" w:hAnsi="Verdana"/>
                <w:sz w:val="20"/>
              </w:rPr>
              <w:instrText>"</w:instrText>
            </w:r>
            <w:r w:rsidRPr="000A4491">
              <w:rPr>
                <w:rFonts w:ascii="Verdana" w:hAnsi="Verdana"/>
                <w:sz w:val="20"/>
              </w:rPr>
              <w:fldChar w:fldCharType="end"/>
            </w:r>
            <w:r w:rsidRPr="000A4491">
              <w:rPr>
                <w:rFonts w:ascii="Verdana" w:hAnsi="Verdana"/>
                <w:sz w:val="20"/>
              </w:rPr>
              <w:t>/DSU</w:t>
            </w:r>
            <w:r w:rsidRPr="000A4491">
              <w:rPr>
                <w:rFonts w:ascii="Verdana" w:hAnsi="Verdana"/>
                <w:sz w:val="20"/>
              </w:rPr>
              <w:fldChar w:fldCharType="begin"/>
            </w:r>
            <w:r w:rsidRPr="000A4491">
              <w:rPr>
                <w:rFonts w:ascii="Verdana" w:hAnsi="Verdana"/>
                <w:sz w:val="20"/>
              </w:rPr>
              <w:instrText>xe "</w:instrText>
            </w:r>
            <w:r w:rsidRPr="000A4491">
              <w:rPr>
                <w:rStyle w:val="Hyperlink"/>
                <w:rFonts w:ascii="Verdana" w:hAnsi="Verdana"/>
                <w:bCs/>
                <w:sz w:val="20"/>
              </w:rPr>
              <w:instrText>DSU</w:instrText>
            </w:r>
            <w:r w:rsidRPr="000A4491">
              <w:rPr>
                <w:rFonts w:ascii="Verdana" w:hAnsi="Verdana"/>
                <w:sz w:val="20"/>
              </w:rPr>
              <w:instrText>"</w:instrText>
            </w:r>
            <w:r w:rsidRPr="000A4491">
              <w:rPr>
                <w:rFonts w:ascii="Verdana" w:hAnsi="Verdana"/>
                <w:sz w:val="20"/>
              </w:rPr>
              <w:fldChar w:fldCharType="end"/>
            </w:r>
            <w:r w:rsidRPr="000A4491">
              <w:rPr>
                <w:rFonts w:ascii="Verdana" w:hAnsi="Verdana"/>
                <w:sz w:val="20"/>
              </w:rPr>
              <w:t xml:space="preserve">) </w:t>
            </w:r>
            <w:r w:rsidRPr="000A4491">
              <w:rPr>
                <w:rFonts w:ascii="Verdana" w:hAnsi="Verdana"/>
                <w:sz w:val="20"/>
              </w:rPr>
              <w:br/>
              <w:t>(</w:t>
            </w:r>
            <w:hyperlink w:anchor="aaInterfacesGatewaysAntennas" w:history="1">
              <w:r w:rsidRPr="000A4491">
                <w:rPr>
                  <w:rStyle w:val="Hyperlink"/>
                  <w:rFonts w:ascii="Verdana" w:hAnsi="Verdana"/>
                  <w:sz w:val="20"/>
                </w:rPr>
                <w:t>Interfaces</w:t>
              </w:r>
              <w:r w:rsidRPr="000A4491">
                <w:rPr>
                  <w:rFonts w:ascii="Verdana" w:hAnsi="Verdana"/>
                  <w:sz w:val="20"/>
                </w:rPr>
                <w:fldChar w:fldCharType="begin"/>
              </w:r>
              <w:r w:rsidRPr="000A4491">
                <w:rPr>
                  <w:rFonts w:ascii="Verdana" w:hAnsi="Verdana"/>
                  <w:sz w:val="20"/>
                </w:rPr>
                <w:instrText>xe "</w:instrText>
              </w:r>
              <w:r w:rsidRPr="000A4491">
                <w:rPr>
                  <w:rFonts w:ascii="Verdana" w:hAnsi="Verdana"/>
                  <w:bCs/>
                  <w:sz w:val="20"/>
                </w:rPr>
                <w:instrText>Interfaces</w:instrText>
              </w:r>
              <w:r w:rsidRPr="000A4491">
                <w:rPr>
                  <w:rFonts w:ascii="Verdana" w:hAnsi="Verdana"/>
                  <w:sz w:val="20"/>
                </w:rPr>
                <w:instrText>"</w:instrText>
              </w:r>
              <w:r w:rsidRPr="000A4491">
                <w:rPr>
                  <w:rFonts w:ascii="Verdana" w:hAnsi="Verdana"/>
                  <w:sz w:val="20"/>
                </w:rPr>
                <w:fldChar w:fldCharType="end"/>
              </w:r>
            </w:hyperlink>
            <w:r w:rsidRPr="000A4491">
              <w:rPr>
                <w:rFonts w:ascii="Verdana" w:hAnsi="Verdana"/>
                <w:sz w:val="20"/>
              </w:rPr>
              <w:t>)</w:t>
            </w:r>
          </w:p>
        </w:tc>
        <w:tc>
          <w:tcPr>
            <w:tcW w:w="5441" w:type="dxa"/>
          </w:tcPr>
          <w:p w14:paraId="3CAAD385" w14:textId="77777777" w:rsidR="00F935B1" w:rsidRPr="000A4491" w:rsidRDefault="00F935B1" w:rsidP="0083602C">
            <w:pPr>
              <w:pStyle w:val="NormalWeb"/>
              <w:spacing w:before="0" w:beforeAutospacing="0" w:after="0"/>
              <w:rPr>
                <w:rFonts w:ascii="Verdana" w:hAnsi="Verdana"/>
                <w:sz w:val="20"/>
              </w:rPr>
            </w:pPr>
            <w:r w:rsidRPr="000A4491">
              <w:rPr>
                <w:rFonts w:ascii="Verdana" w:hAnsi="Verdana"/>
                <w:sz w:val="20"/>
              </w:rPr>
              <w:t>A CSU</w:t>
            </w:r>
            <w:r w:rsidRPr="000A4491">
              <w:rPr>
                <w:rFonts w:ascii="Verdana" w:hAnsi="Verdana"/>
                <w:sz w:val="20"/>
              </w:rPr>
              <w:fldChar w:fldCharType="begin"/>
            </w:r>
            <w:r w:rsidRPr="000A4491">
              <w:rPr>
                <w:rFonts w:ascii="Verdana" w:hAnsi="Verdana"/>
                <w:sz w:val="20"/>
              </w:rPr>
              <w:instrText>xe "</w:instrText>
            </w:r>
            <w:r w:rsidRPr="000A4491">
              <w:rPr>
                <w:rStyle w:val="Hyperlink"/>
                <w:rFonts w:ascii="Verdana" w:hAnsi="Verdana"/>
                <w:bCs/>
                <w:sz w:val="20"/>
              </w:rPr>
              <w:instrText>CSU</w:instrText>
            </w:r>
            <w:r w:rsidRPr="000A4491">
              <w:rPr>
                <w:rFonts w:ascii="Verdana" w:hAnsi="Verdana"/>
                <w:sz w:val="20"/>
              </w:rPr>
              <w:instrText>"</w:instrText>
            </w:r>
            <w:r w:rsidRPr="000A4491">
              <w:rPr>
                <w:rFonts w:ascii="Verdana" w:hAnsi="Verdana"/>
                <w:sz w:val="20"/>
              </w:rPr>
              <w:fldChar w:fldCharType="end"/>
            </w:r>
            <w:r w:rsidRPr="000A4491">
              <w:rPr>
                <w:rFonts w:ascii="Verdana" w:hAnsi="Verdana"/>
                <w:sz w:val="20"/>
              </w:rPr>
              <w:t>/DSU</w:t>
            </w:r>
            <w:r w:rsidRPr="000A4491">
              <w:rPr>
                <w:rFonts w:ascii="Verdana" w:hAnsi="Verdana"/>
                <w:sz w:val="20"/>
              </w:rPr>
              <w:fldChar w:fldCharType="begin"/>
            </w:r>
            <w:r w:rsidRPr="000A4491">
              <w:rPr>
                <w:rFonts w:ascii="Verdana" w:hAnsi="Verdana"/>
                <w:sz w:val="20"/>
              </w:rPr>
              <w:instrText>xe "</w:instrText>
            </w:r>
            <w:r w:rsidRPr="000A4491">
              <w:rPr>
                <w:rStyle w:val="Hyperlink"/>
                <w:rFonts w:ascii="Verdana" w:hAnsi="Verdana"/>
                <w:bCs/>
                <w:sz w:val="20"/>
              </w:rPr>
              <w:instrText>DSU</w:instrText>
            </w:r>
            <w:r w:rsidRPr="000A4491">
              <w:rPr>
                <w:rFonts w:ascii="Verdana" w:hAnsi="Verdana"/>
                <w:sz w:val="20"/>
              </w:rPr>
              <w:instrText>"</w:instrText>
            </w:r>
            <w:r w:rsidRPr="000A4491">
              <w:rPr>
                <w:rFonts w:ascii="Verdana" w:hAnsi="Verdana"/>
                <w:sz w:val="20"/>
              </w:rPr>
              <w:fldChar w:fldCharType="end"/>
            </w:r>
            <w:r w:rsidRPr="000A4491">
              <w:rPr>
                <w:rFonts w:ascii="Verdana" w:hAnsi="Verdana"/>
                <w:sz w:val="20"/>
              </w:rPr>
              <w:t xml:space="preserve"> is a device that terminates a digital channel at a customer’s premises.  A CSU/DSU often serves as a demarcation between a local network</w:t>
            </w:r>
            <w:r w:rsidRPr="000A4491">
              <w:rPr>
                <w:rFonts w:ascii="Verdana" w:hAnsi="Verdana"/>
                <w:sz w:val="20"/>
              </w:rPr>
              <w:fldChar w:fldCharType="begin"/>
            </w:r>
            <w:r w:rsidRPr="000A4491">
              <w:rPr>
                <w:rFonts w:ascii="Verdana" w:hAnsi="Verdana"/>
                <w:sz w:val="20"/>
              </w:rPr>
              <w:instrText>xe "Local Network"</w:instrText>
            </w:r>
            <w:r w:rsidRPr="000A4491">
              <w:rPr>
                <w:rFonts w:ascii="Verdana" w:hAnsi="Verdana"/>
                <w:sz w:val="20"/>
              </w:rPr>
              <w:fldChar w:fldCharType="end"/>
            </w:r>
            <w:r w:rsidRPr="000A4491">
              <w:rPr>
                <w:rFonts w:ascii="Verdana" w:hAnsi="Verdana"/>
                <w:sz w:val="20"/>
              </w:rPr>
              <w:t xml:space="preserve"> and wide area network</w:t>
            </w:r>
            <w:r w:rsidRPr="000A4491">
              <w:rPr>
                <w:rFonts w:ascii="Verdana" w:hAnsi="Verdana"/>
                <w:sz w:val="20"/>
              </w:rPr>
              <w:fldChar w:fldCharType="begin"/>
            </w:r>
            <w:r w:rsidRPr="000A4491">
              <w:rPr>
                <w:rFonts w:ascii="Verdana" w:hAnsi="Verdana"/>
                <w:sz w:val="20"/>
              </w:rPr>
              <w:instrText>xe "Wide Area Network"</w:instrText>
            </w:r>
            <w:r w:rsidRPr="000A4491">
              <w:rPr>
                <w:rFonts w:ascii="Verdana" w:hAnsi="Verdana"/>
                <w:sz w:val="20"/>
              </w:rPr>
              <w:fldChar w:fldCharType="end"/>
            </w:r>
            <w:r w:rsidRPr="000A4491">
              <w:rPr>
                <w:rFonts w:ascii="Verdana" w:hAnsi="Verdana"/>
                <w:sz w:val="20"/>
              </w:rPr>
              <w:t xml:space="preserve"> facilities.</w:t>
            </w:r>
          </w:p>
        </w:tc>
      </w:tr>
      <w:tr w:rsidR="00F935B1" w14:paraId="3F8FAD8D" w14:textId="77777777" w:rsidTr="0083602C">
        <w:trPr>
          <w:tblCellSpacing w:w="15" w:type="dxa"/>
        </w:trPr>
        <w:tc>
          <w:tcPr>
            <w:tcW w:w="3656" w:type="dxa"/>
          </w:tcPr>
          <w:p w14:paraId="7FA94DAD" w14:textId="77777777" w:rsidR="00F935B1" w:rsidRPr="000A4491" w:rsidRDefault="00F935B1" w:rsidP="0083602C">
            <w:pPr>
              <w:rPr>
                <w:rFonts w:ascii="Verdana" w:hAnsi="Verdana"/>
                <w:sz w:val="20"/>
              </w:rPr>
            </w:pPr>
            <w:r w:rsidRPr="000A4491">
              <w:rPr>
                <w:rFonts w:ascii="Verdana" w:hAnsi="Verdana"/>
                <w:sz w:val="20"/>
              </w:rPr>
              <w:t>Circuit</w:t>
            </w:r>
            <w:r w:rsidRPr="000A4491">
              <w:rPr>
                <w:rFonts w:ascii="Verdana" w:hAnsi="Verdana"/>
                <w:sz w:val="20"/>
              </w:rPr>
              <w:fldChar w:fldCharType="begin"/>
            </w:r>
            <w:r w:rsidRPr="000A4491">
              <w:rPr>
                <w:rFonts w:ascii="Verdana" w:hAnsi="Verdana"/>
                <w:sz w:val="20"/>
              </w:rPr>
              <w:instrText>xe "Circuit"</w:instrText>
            </w:r>
            <w:r w:rsidRPr="000A4491">
              <w:rPr>
                <w:rFonts w:ascii="Verdana" w:hAnsi="Verdana"/>
                <w:sz w:val="20"/>
              </w:rPr>
              <w:fldChar w:fldCharType="end"/>
            </w:r>
            <w:r w:rsidRPr="000A4491">
              <w:rPr>
                <w:rFonts w:ascii="Verdana" w:hAnsi="Verdana"/>
                <w:sz w:val="20"/>
              </w:rPr>
              <w:t xml:space="preserve"> Cards</w:t>
            </w:r>
          </w:p>
          <w:p w14:paraId="1D15DA24" w14:textId="77777777" w:rsidR="00F935B1" w:rsidRPr="000A4491" w:rsidRDefault="00F935B1" w:rsidP="0083602C">
            <w:pPr>
              <w:rPr>
                <w:rFonts w:ascii="Verdana" w:hAnsi="Verdana"/>
                <w:sz w:val="20"/>
              </w:rPr>
            </w:pPr>
            <w:r w:rsidRPr="000A4491">
              <w:rPr>
                <w:rFonts w:ascii="Verdana" w:hAnsi="Verdana"/>
                <w:sz w:val="20"/>
              </w:rPr>
              <w:t>(</w:t>
            </w:r>
            <w:hyperlink w:anchor="aaCircuitCardsComponents" w:history="1">
              <w:r w:rsidRPr="000A4491">
                <w:rPr>
                  <w:rStyle w:val="Hyperlink"/>
                  <w:rFonts w:ascii="Verdana" w:hAnsi="Verdana"/>
                  <w:sz w:val="20"/>
                </w:rPr>
                <w:t>Circuit Cards</w:t>
              </w:r>
              <w:r w:rsidRPr="000A4491">
                <w:rPr>
                  <w:rFonts w:ascii="Verdana" w:hAnsi="Verdana"/>
                  <w:sz w:val="20"/>
                </w:rPr>
                <w:fldChar w:fldCharType="begin"/>
              </w:r>
              <w:r w:rsidRPr="000A4491">
                <w:rPr>
                  <w:rFonts w:ascii="Verdana" w:hAnsi="Verdana"/>
                  <w:sz w:val="20"/>
                </w:rPr>
                <w:instrText>xe "Circuit Cards"</w:instrText>
              </w:r>
              <w:r w:rsidRPr="000A4491">
                <w:rPr>
                  <w:rFonts w:ascii="Verdana" w:hAnsi="Verdana"/>
                  <w:sz w:val="20"/>
                </w:rPr>
                <w:fldChar w:fldCharType="end"/>
              </w:r>
            </w:hyperlink>
            <w:r w:rsidRPr="000A4491">
              <w:rPr>
                <w:rFonts w:ascii="Verdana" w:hAnsi="Verdana"/>
                <w:sz w:val="20"/>
              </w:rPr>
              <w:t>)</w:t>
            </w:r>
          </w:p>
        </w:tc>
        <w:tc>
          <w:tcPr>
            <w:tcW w:w="5441" w:type="dxa"/>
          </w:tcPr>
          <w:p w14:paraId="6A5E527E" w14:textId="77777777" w:rsidR="00F935B1" w:rsidRPr="000A4491" w:rsidRDefault="00F935B1" w:rsidP="0083602C">
            <w:pPr>
              <w:pStyle w:val="NormalWeb"/>
              <w:spacing w:before="0" w:beforeAutospacing="0" w:after="0"/>
              <w:rPr>
                <w:rFonts w:ascii="Verdana" w:hAnsi="Verdana"/>
                <w:bCs/>
                <w:sz w:val="20"/>
              </w:rPr>
            </w:pPr>
            <w:r w:rsidRPr="000A4491">
              <w:rPr>
                <w:rFonts w:ascii="Verdana" w:hAnsi="Verdana"/>
                <w:bCs/>
                <w:sz w:val="20"/>
              </w:rPr>
              <w:t>Circuit</w:t>
            </w:r>
            <w:r w:rsidRPr="000A4491">
              <w:rPr>
                <w:rFonts w:ascii="Verdana" w:hAnsi="Verdana"/>
                <w:sz w:val="20"/>
              </w:rPr>
              <w:fldChar w:fldCharType="begin"/>
            </w:r>
            <w:r w:rsidRPr="000A4491">
              <w:rPr>
                <w:rFonts w:ascii="Verdana" w:hAnsi="Verdana"/>
                <w:sz w:val="20"/>
              </w:rPr>
              <w:instrText>xe "Circuit"</w:instrText>
            </w:r>
            <w:r w:rsidRPr="000A4491">
              <w:rPr>
                <w:rFonts w:ascii="Verdana" w:hAnsi="Verdana"/>
                <w:sz w:val="20"/>
              </w:rPr>
              <w:fldChar w:fldCharType="end"/>
            </w:r>
            <w:r w:rsidRPr="000A4491">
              <w:rPr>
                <w:rFonts w:ascii="Verdana" w:hAnsi="Verdana"/>
                <w:bCs/>
                <w:sz w:val="20"/>
              </w:rPr>
              <w:t xml:space="preserve"> cards</w:t>
            </w:r>
            <w:r w:rsidRPr="000A4491">
              <w:rPr>
                <w:rFonts w:ascii="Verdana" w:hAnsi="Verdana"/>
                <w:sz w:val="20"/>
              </w:rPr>
              <w:fldChar w:fldCharType="begin"/>
            </w:r>
            <w:r w:rsidRPr="000A4491">
              <w:rPr>
                <w:rFonts w:ascii="Verdana" w:hAnsi="Verdana"/>
                <w:sz w:val="20"/>
              </w:rPr>
              <w:instrText>xe "</w:instrText>
            </w:r>
            <w:r w:rsidRPr="000A4491">
              <w:rPr>
                <w:rStyle w:val="Hyperlink"/>
                <w:rFonts w:ascii="Verdana" w:hAnsi="Verdana"/>
                <w:bCs/>
                <w:sz w:val="20"/>
              </w:rPr>
              <w:instrText>Circuit Cards</w:instrText>
            </w:r>
            <w:r w:rsidRPr="000A4491">
              <w:rPr>
                <w:rFonts w:ascii="Verdana" w:hAnsi="Verdana"/>
                <w:sz w:val="20"/>
              </w:rPr>
              <w:instrText>"</w:instrText>
            </w:r>
            <w:r w:rsidRPr="000A4491">
              <w:rPr>
                <w:rFonts w:ascii="Verdana" w:hAnsi="Verdana"/>
                <w:sz w:val="20"/>
              </w:rPr>
              <w:fldChar w:fldCharType="end"/>
            </w:r>
            <w:r w:rsidRPr="000A4491">
              <w:rPr>
                <w:rFonts w:ascii="Verdana" w:hAnsi="Verdana"/>
                <w:bCs/>
                <w:sz w:val="20"/>
              </w:rPr>
              <w:t xml:space="preserve"> provide microprocessors, transistors, and other components on a circuit board.  Circuit cards often are designed to fit into a slot of a larger component, such as a telephone PBX</w:t>
            </w:r>
            <w:r w:rsidRPr="000A4491">
              <w:rPr>
                <w:rFonts w:ascii="Verdana" w:hAnsi="Verdana"/>
                <w:sz w:val="20"/>
              </w:rPr>
              <w:fldChar w:fldCharType="begin"/>
            </w:r>
            <w:r w:rsidRPr="000A4491">
              <w:rPr>
                <w:rFonts w:ascii="Verdana" w:hAnsi="Verdana"/>
                <w:sz w:val="20"/>
              </w:rPr>
              <w:instrText>xe "</w:instrText>
            </w:r>
            <w:r w:rsidRPr="000A4491">
              <w:rPr>
                <w:rFonts w:ascii="Verdana" w:hAnsi="Verdana"/>
                <w:bCs/>
                <w:sz w:val="20"/>
              </w:rPr>
              <w:instrText>PBX</w:instrText>
            </w:r>
            <w:r w:rsidRPr="000A4491">
              <w:rPr>
                <w:rFonts w:ascii="Verdana" w:hAnsi="Verdana"/>
                <w:sz w:val="20"/>
              </w:rPr>
              <w:instrText>"</w:instrText>
            </w:r>
            <w:r w:rsidRPr="000A4491">
              <w:rPr>
                <w:rFonts w:ascii="Verdana" w:hAnsi="Verdana"/>
                <w:sz w:val="20"/>
              </w:rPr>
              <w:fldChar w:fldCharType="end"/>
            </w:r>
            <w:r w:rsidRPr="000A4491">
              <w:rPr>
                <w:rFonts w:ascii="Verdana" w:hAnsi="Verdana"/>
                <w:bCs/>
                <w:sz w:val="20"/>
              </w:rPr>
              <w:t>, router</w:t>
            </w:r>
            <w:r w:rsidRPr="000A4491">
              <w:rPr>
                <w:rFonts w:ascii="Verdana" w:hAnsi="Verdana"/>
                <w:sz w:val="20"/>
              </w:rPr>
              <w:fldChar w:fldCharType="begin"/>
            </w:r>
            <w:r w:rsidRPr="000A4491">
              <w:rPr>
                <w:rFonts w:ascii="Verdana" w:hAnsi="Verdana"/>
                <w:sz w:val="20"/>
              </w:rPr>
              <w:instrText>xe "Routers"</w:instrText>
            </w:r>
            <w:r w:rsidRPr="000A4491">
              <w:rPr>
                <w:rFonts w:ascii="Verdana" w:hAnsi="Verdana"/>
                <w:sz w:val="20"/>
              </w:rPr>
              <w:fldChar w:fldCharType="end"/>
            </w:r>
            <w:r w:rsidRPr="000A4491">
              <w:rPr>
                <w:rFonts w:ascii="Verdana" w:hAnsi="Verdana"/>
                <w:bCs/>
                <w:sz w:val="20"/>
              </w:rPr>
              <w:t>, or computer.</w:t>
            </w:r>
          </w:p>
        </w:tc>
      </w:tr>
      <w:tr w:rsidR="00F935B1" w14:paraId="0EA77BBF" w14:textId="77777777" w:rsidTr="0083602C">
        <w:trPr>
          <w:tblCellSpacing w:w="15" w:type="dxa"/>
        </w:trPr>
        <w:tc>
          <w:tcPr>
            <w:tcW w:w="3656" w:type="dxa"/>
          </w:tcPr>
          <w:p w14:paraId="0601C4C8" w14:textId="77777777" w:rsidR="00F935B1" w:rsidRPr="000A4491" w:rsidRDefault="00F935B1" w:rsidP="0083602C">
            <w:pPr>
              <w:rPr>
                <w:rFonts w:ascii="Verdana" w:hAnsi="Verdana"/>
                <w:sz w:val="20"/>
              </w:rPr>
            </w:pPr>
            <w:r w:rsidRPr="000A4491">
              <w:rPr>
                <w:rFonts w:ascii="Verdana" w:hAnsi="Verdana"/>
                <w:sz w:val="20"/>
              </w:rPr>
              <w:t>Client Access Licenses</w:t>
            </w:r>
            <w:r w:rsidRPr="000A4491">
              <w:rPr>
                <w:rFonts w:ascii="Verdana" w:hAnsi="Verdana"/>
                <w:sz w:val="20"/>
              </w:rPr>
              <w:fldChar w:fldCharType="begin"/>
            </w:r>
            <w:r w:rsidRPr="000A4491">
              <w:rPr>
                <w:rFonts w:ascii="Verdana" w:hAnsi="Verdana"/>
                <w:sz w:val="20"/>
              </w:rPr>
              <w:instrText>xe "Client Access Licenses"</w:instrText>
            </w:r>
            <w:r w:rsidRPr="000A4491">
              <w:rPr>
                <w:rFonts w:ascii="Verdana" w:hAnsi="Verdana"/>
                <w:sz w:val="20"/>
              </w:rPr>
              <w:fldChar w:fldCharType="end"/>
            </w:r>
            <w:r w:rsidRPr="000A4491">
              <w:rPr>
                <w:rFonts w:ascii="Verdana" w:hAnsi="Verdana"/>
                <w:sz w:val="20"/>
              </w:rPr>
              <w:t xml:space="preserve"> </w:t>
            </w:r>
            <w:r w:rsidRPr="000A4491">
              <w:rPr>
                <w:rFonts w:ascii="Verdana" w:hAnsi="Verdana"/>
                <w:sz w:val="20"/>
              </w:rPr>
              <w:br/>
              <w:t>(</w:t>
            </w:r>
            <w:hyperlink w:anchor="aaSoftware" w:history="1">
              <w:r w:rsidRPr="000A4491">
                <w:rPr>
                  <w:rStyle w:val="Hyperlink"/>
                  <w:rFonts w:ascii="Verdana" w:hAnsi="Verdana"/>
                  <w:sz w:val="20"/>
                </w:rPr>
                <w:t>Software</w:t>
              </w:r>
            </w:hyperlink>
            <w:r w:rsidRPr="000A4491">
              <w:rPr>
                <w:rFonts w:ascii="Verdana" w:hAnsi="Verdana"/>
                <w:sz w:val="20"/>
              </w:rPr>
              <w:t>)</w:t>
            </w:r>
          </w:p>
        </w:tc>
        <w:tc>
          <w:tcPr>
            <w:tcW w:w="5441" w:type="dxa"/>
          </w:tcPr>
          <w:p w14:paraId="0CE6D5DF" w14:textId="77777777" w:rsidR="00F935B1" w:rsidRPr="000A4491" w:rsidRDefault="00F935B1" w:rsidP="0083602C">
            <w:pPr>
              <w:pStyle w:val="NormalWeb"/>
              <w:spacing w:before="0" w:beforeAutospacing="0" w:after="0"/>
              <w:rPr>
                <w:rFonts w:ascii="Verdana" w:hAnsi="Verdana"/>
                <w:sz w:val="20"/>
              </w:rPr>
            </w:pPr>
            <w:r w:rsidRPr="000A4491">
              <w:rPr>
                <w:rFonts w:ascii="Verdana" w:hAnsi="Verdana"/>
                <w:sz w:val="20"/>
              </w:rPr>
              <w:t>A Client Access License</w:t>
            </w:r>
            <w:r w:rsidRPr="000A4491">
              <w:rPr>
                <w:rFonts w:ascii="Verdana" w:hAnsi="Verdana"/>
                <w:sz w:val="20"/>
              </w:rPr>
              <w:fldChar w:fldCharType="begin"/>
            </w:r>
            <w:r w:rsidRPr="000A4491">
              <w:rPr>
                <w:rFonts w:ascii="Verdana" w:hAnsi="Verdana"/>
                <w:sz w:val="20"/>
              </w:rPr>
              <w:instrText>xe "Client Access Licenses"</w:instrText>
            </w:r>
            <w:r w:rsidRPr="000A4491">
              <w:rPr>
                <w:rFonts w:ascii="Verdana" w:hAnsi="Verdana"/>
                <w:sz w:val="20"/>
              </w:rPr>
              <w:fldChar w:fldCharType="end"/>
            </w:r>
            <w:r w:rsidRPr="000A4491">
              <w:rPr>
                <w:rFonts w:ascii="Verdana" w:hAnsi="Verdana"/>
                <w:sz w:val="20"/>
              </w:rPr>
              <w:t xml:space="preserve"> is a software</w:t>
            </w:r>
            <w:r w:rsidRPr="000A4491">
              <w:rPr>
                <w:rFonts w:ascii="Verdana" w:hAnsi="Verdana"/>
                <w:sz w:val="20"/>
              </w:rPr>
              <w:fldChar w:fldCharType="begin"/>
            </w:r>
            <w:r w:rsidRPr="000A4491">
              <w:rPr>
                <w:rFonts w:ascii="Verdana" w:hAnsi="Verdana"/>
                <w:sz w:val="20"/>
              </w:rPr>
              <w:instrText>xe "Software"</w:instrText>
            </w:r>
            <w:r w:rsidRPr="000A4491">
              <w:rPr>
                <w:rFonts w:ascii="Verdana" w:hAnsi="Verdana"/>
                <w:sz w:val="20"/>
              </w:rPr>
              <w:fldChar w:fldCharType="end"/>
            </w:r>
            <w:r w:rsidRPr="000A4491">
              <w:rPr>
                <w:rFonts w:ascii="Verdana" w:hAnsi="Verdana"/>
                <w:sz w:val="20"/>
              </w:rPr>
              <w:t xml:space="preserve"> licensing approach used by some vendors that provides authorization to access a software product.</w:t>
            </w:r>
          </w:p>
        </w:tc>
      </w:tr>
      <w:tr w:rsidR="00F935B1" w14:paraId="462BB6E7" w14:textId="77777777" w:rsidTr="0083602C">
        <w:trPr>
          <w:tblCellSpacing w:w="15" w:type="dxa"/>
        </w:trPr>
        <w:tc>
          <w:tcPr>
            <w:tcW w:w="3656" w:type="dxa"/>
          </w:tcPr>
          <w:p w14:paraId="4A42F68C" w14:textId="77777777" w:rsidR="00F935B1" w:rsidRPr="000A4491" w:rsidRDefault="00F935B1" w:rsidP="0083602C">
            <w:pPr>
              <w:rPr>
                <w:rFonts w:ascii="Verdana" w:hAnsi="Verdana"/>
                <w:sz w:val="20"/>
                <w:lang w:val="es-ES_tradnl"/>
              </w:rPr>
            </w:pPr>
            <w:r w:rsidRPr="000A4491">
              <w:rPr>
                <w:rFonts w:ascii="Verdana" w:hAnsi="Verdana"/>
                <w:sz w:val="20"/>
                <w:lang w:val="es-ES_tradnl"/>
              </w:rPr>
              <w:t>CODEC</w:t>
            </w:r>
            <w:r w:rsidRPr="000A4491">
              <w:rPr>
                <w:rFonts w:ascii="Verdana" w:hAnsi="Verdana"/>
                <w:sz w:val="20"/>
                <w:lang w:val="es-ES_tradnl"/>
              </w:rPr>
              <w:fldChar w:fldCharType="begin"/>
            </w:r>
            <w:r w:rsidRPr="000A4491">
              <w:rPr>
                <w:rFonts w:ascii="Verdana" w:hAnsi="Verdana"/>
                <w:sz w:val="20"/>
                <w:lang w:val="es-ES_tradnl"/>
              </w:rPr>
              <w:instrText>xe "CODEC"</w:instrText>
            </w:r>
            <w:r w:rsidRPr="000A4491">
              <w:rPr>
                <w:rFonts w:ascii="Verdana" w:hAnsi="Verdana"/>
                <w:sz w:val="20"/>
                <w:lang w:val="es-ES_tradnl"/>
              </w:rPr>
              <w:fldChar w:fldCharType="end"/>
            </w:r>
            <w:r w:rsidRPr="000A4491">
              <w:rPr>
                <w:rFonts w:ascii="Verdana" w:hAnsi="Verdana"/>
                <w:sz w:val="20"/>
                <w:lang w:val="es-ES_tradnl"/>
              </w:rPr>
              <w:t xml:space="preserve"> / Video Encoder</w:t>
            </w:r>
            <w:r w:rsidRPr="000A4491">
              <w:rPr>
                <w:rFonts w:ascii="Verdana" w:hAnsi="Verdana"/>
                <w:sz w:val="20"/>
                <w:lang w:val="es-ES_tradnl"/>
              </w:rPr>
              <w:fldChar w:fldCharType="begin"/>
            </w:r>
            <w:r w:rsidRPr="000A4491">
              <w:rPr>
                <w:rFonts w:ascii="Verdana" w:hAnsi="Verdana"/>
                <w:sz w:val="20"/>
                <w:lang w:val="es-ES_tradnl"/>
              </w:rPr>
              <w:instrText>xe "Video Encoder"</w:instrText>
            </w:r>
            <w:r w:rsidRPr="000A4491">
              <w:rPr>
                <w:rFonts w:ascii="Verdana" w:hAnsi="Verdana"/>
                <w:sz w:val="20"/>
                <w:lang w:val="es-ES_tradnl"/>
              </w:rPr>
              <w:fldChar w:fldCharType="end"/>
            </w:r>
            <w:r w:rsidRPr="000A4491">
              <w:rPr>
                <w:rFonts w:ascii="Verdana" w:hAnsi="Verdana"/>
                <w:sz w:val="20"/>
                <w:lang w:val="es-ES_tradnl"/>
              </w:rPr>
              <w:t xml:space="preserve"> </w:t>
            </w:r>
            <w:r w:rsidRPr="000A4491">
              <w:rPr>
                <w:rFonts w:ascii="Verdana" w:hAnsi="Verdana"/>
                <w:sz w:val="20"/>
                <w:lang w:val="es-ES_tradnl"/>
              </w:rPr>
              <w:br/>
              <w:t>(</w:t>
            </w:r>
            <w:hyperlink w:anchor="aaVideo" w:history="1">
              <w:r w:rsidRPr="000A4491">
                <w:rPr>
                  <w:rStyle w:val="Hyperlink"/>
                  <w:rFonts w:ascii="Verdana" w:hAnsi="Verdana"/>
                  <w:sz w:val="20"/>
                  <w:lang w:val="es-ES_tradnl"/>
                </w:rPr>
                <w:t>Video Components</w:t>
              </w:r>
              <w:r w:rsidRPr="000A4491">
                <w:rPr>
                  <w:rFonts w:ascii="Verdana" w:hAnsi="Verdana"/>
                  <w:sz w:val="20"/>
                  <w:lang w:val="es-ES_tradnl"/>
                </w:rPr>
                <w:fldChar w:fldCharType="begin"/>
              </w:r>
              <w:r w:rsidRPr="000A4491">
                <w:rPr>
                  <w:rFonts w:ascii="Verdana" w:hAnsi="Verdana"/>
                  <w:sz w:val="20"/>
                  <w:lang w:val="es-ES_tradnl"/>
                </w:rPr>
                <w:instrText>xe "Video Components"</w:instrText>
              </w:r>
              <w:r w:rsidRPr="000A4491">
                <w:rPr>
                  <w:rFonts w:ascii="Verdana" w:hAnsi="Verdana"/>
                  <w:sz w:val="20"/>
                  <w:lang w:val="es-ES_tradnl"/>
                </w:rPr>
                <w:fldChar w:fldCharType="end"/>
              </w:r>
            </w:hyperlink>
            <w:r w:rsidRPr="000A4491">
              <w:rPr>
                <w:rFonts w:ascii="Verdana" w:hAnsi="Verdana"/>
                <w:sz w:val="20"/>
                <w:lang w:val="es-ES_tradnl"/>
              </w:rPr>
              <w:t>)</w:t>
            </w:r>
          </w:p>
        </w:tc>
        <w:tc>
          <w:tcPr>
            <w:tcW w:w="5441" w:type="dxa"/>
          </w:tcPr>
          <w:p w14:paraId="05F9407D" w14:textId="77777777" w:rsidR="00F935B1" w:rsidRPr="000A4491" w:rsidRDefault="00F935B1" w:rsidP="0083602C">
            <w:pPr>
              <w:pStyle w:val="NormalWeb"/>
              <w:spacing w:before="0" w:beforeAutospacing="0" w:after="0"/>
              <w:rPr>
                <w:rFonts w:ascii="Verdana" w:hAnsi="Verdana"/>
                <w:sz w:val="20"/>
              </w:rPr>
            </w:pPr>
            <w:r w:rsidRPr="000A4491">
              <w:rPr>
                <w:rFonts w:ascii="Verdana" w:hAnsi="Verdana"/>
                <w:sz w:val="20"/>
              </w:rPr>
              <w:t>A CODEC</w:t>
            </w:r>
            <w:r w:rsidRPr="000A4491">
              <w:rPr>
                <w:rFonts w:ascii="Verdana" w:hAnsi="Verdana"/>
                <w:sz w:val="20"/>
              </w:rPr>
              <w:fldChar w:fldCharType="begin"/>
            </w:r>
            <w:r w:rsidRPr="000A4491">
              <w:rPr>
                <w:rFonts w:ascii="Verdana" w:hAnsi="Verdana"/>
                <w:sz w:val="20"/>
              </w:rPr>
              <w:instrText>xe "CODEC"</w:instrText>
            </w:r>
            <w:r w:rsidRPr="000A4491">
              <w:rPr>
                <w:rFonts w:ascii="Verdana" w:hAnsi="Verdana"/>
                <w:sz w:val="20"/>
              </w:rPr>
              <w:fldChar w:fldCharType="end"/>
            </w:r>
            <w:r w:rsidRPr="000A4491">
              <w:rPr>
                <w:rFonts w:ascii="Verdana" w:hAnsi="Verdana"/>
                <w:sz w:val="20"/>
              </w:rPr>
              <w:t xml:space="preserve"> (coder/decoder), also known as a video</w:t>
            </w:r>
            <w:r w:rsidRPr="000A4491">
              <w:rPr>
                <w:rFonts w:ascii="Verdana" w:hAnsi="Verdana"/>
                <w:sz w:val="20"/>
              </w:rPr>
              <w:fldChar w:fldCharType="begin"/>
            </w:r>
            <w:r w:rsidRPr="000A4491">
              <w:rPr>
                <w:rFonts w:ascii="Verdana" w:hAnsi="Verdana"/>
                <w:sz w:val="20"/>
              </w:rPr>
              <w:instrText>xe "Video"</w:instrText>
            </w:r>
            <w:r w:rsidRPr="000A4491">
              <w:rPr>
                <w:rFonts w:ascii="Verdana" w:hAnsi="Verdana"/>
                <w:sz w:val="20"/>
              </w:rPr>
              <w:fldChar w:fldCharType="end"/>
            </w:r>
            <w:r w:rsidRPr="000A4491">
              <w:rPr>
                <w:rFonts w:ascii="Verdana" w:hAnsi="Verdana"/>
                <w:sz w:val="20"/>
              </w:rPr>
              <w:t xml:space="preserve"> encoder, is a device comprising an encoder and decoder in the same equipment.  The CODEC produces a coded output and compresses and decompresses audio and video signals.</w:t>
            </w:r>
          </w:p>
        </w:tc>
      </w:tr>
      <w:tr w:rsidR="00F935B1" w14:paraId="7FA783BA" w14:textId="77777777" w:rsidTr="0083602C">
        <w:trPr>
          <w:tblCellSpacing w:w="15" w:type="dxa"/>
        </w:trPr>
        <w:tc>
          <w:tcPr>
            <w:tcW w:w="3656" w:type="dxa"/>
          </w:tcPr>
          <w:p w14:paraId="16149E4D" w14:textId="77777777" w:rsidR="00F935B1" w:rsidRPr="000A4491" w:rsidRDefault="00F935B1" w:rsidP="0083602C">
            <w:pPr>
              <w:rPr>
                <w:rFonts w:ascii="Verdana" w:hAnsi="Verdana"/>
                <w:sz w:val="20"/>
              </w:rPr>
            </w:pPr>
            <w:r w:rsidRPr="000A4491">
              <w:rPr>
                <w:rFonts w:ascii="Verdana" w:hAnsi="Verdana"/>
                <w:sz w:val="20"/>
              </w:rPr>
              <w:t xml:space="preserve">Conduit and Raceway </w:t>
            </w:r>
            <w:r w:rsidRPr="000A4491">
              <w:rPr>
                <w:rFonts w:ascii="Verdana" w:hAnsi="Verdana"/>
                <w:sz w:val="20"/>
              </w:rPr>
              <w:br/>
              <w:t>(</w:t>
            </w:r>
            <w:hyperlink w:anchor="aaCablingConnectors" w:history="1">
              <w:r w:rsidRPr="000A4491">
                <w:rPr>
                  <w:rStyle w:val="Hyperlink"/>
                  <w:rFonts w:ascii="Verdana" w:hAnsi="Verdana"/>
                  <w:sz w:val="20"/>
                </w:rPr>
                <w:t>Cabling</w:t>
              </w:r>
              <w:r w:rsidRPr="000A4491">
                <w:rPr>
                  <w:rFonts w:ascii="Verdana" w:hAnsi="Verdana"/>
                  <w:sz w:val="20"/>
                </w:rPr>
                <w:fldChar w:fldCharType="begin"/>
              </w:r>
              <w:r w:rsidRPr="000A4491">
                <w:rPr>
                  <w:rFonts w:ascii="Verdana" w:hAnsi="Verdana"/>
                  <w:sz w:val="20"/>
                </w:rPr>
                <w:instrText>xe "</w:instrText>
              </w:r>
              <w:r w:rsidRPr="000A4491">
                <w:rPr>
                  <w:rStyle w:val="Hyperlink"/>
                  <w:rFonts w:ascii="Verdana" w:hAnsi="Verdana"/>
                  <w:bCs/>
                  <w:sz w:val="20"/>
                </w:rPr>
                <w:instrText>Cabling</w:instrText>
              </w:r>
              <w:r w:rsidRPr="000A4491">
                <w:rPr>
                  <w:rFonts w:ascii="Verdana" w:hAnsi="Verdana"/>
                  <w:sz w:val="20"/>
                </w:rPr>
                <w:instrText>"</w:instrText>
              </w:r>
              <w:r w:rsidRPr="000A4491">
                <w:rPr>
                  <w:rFonts w:ascii="Verdana" w:hAnsi="Verdana"/>
                  <w:sz w:val="20"/>
                </w:rPr>
                <w:fldChar w:fldCharType="end"/>
              </w:r>
            </w:hyperlink>
            <w:r w:rsidRPr="000A4491">
              <w:rPr>
                <w:rFonts w:ascii="Verdana" w:hAnsi="Verdana"/>
                <w:sz w:val="20"/>
              </w:rPr>
              <w:t>)</w:t>
            </w:r>
          </w:p>
        </w:tc>
        <w:tc>
          <w:tcPr>
            <w:tcW w:w="5441" w:type="dxa"/>
          </w:tcPr>
          <w:p w14:paraId="3009B668" w14:textId="77777777" w:rsidR="00F935B1" w:rsidRPr="000A4491" w:rsidRDefault="00F935B1" w:rsidP="0083602C">
            <w:pPr>
              <w:pStyle w:val="NormalWeb"/>
              <w:spacing w:before="0" w:beforeAutospacing="0" w:after="0"/>
              <w:rPr>
                <w:rFonts w:ascii="Verdana" w:hAnsi="Verdana"/>
                <w:sz w:val="20"/>
              </w:rPr>
            </w:pPr>
            <w:r w:rsidRPr="000A4491">
              <w:rPr>
                <w:rFonts w:ascii="Verdana" w:hAnsi="Verdana"/>
                <w:sz w:val="20"/>
              </w:rPr>
              <w:t>Conduit and raceway</w:t>
            </w:r>
            <w:r w:rsidRPr="000A4491">
              <w:rPr>
                <w:rFonts w:ascii="Verdana" w:hAnsi="Verdana"/>
                <w:sz w:val="20"/>
              </w:rPr>
              <w:fldChar w:fldCharType="begin"/>
            </w:r>
            <w:r w:rsidRPr="000A4491">
              <w:rPr>
                <w:rFonts w:ascii="Verdana" w:hAnsi="Verdana"/>
                <w:sz w:val="20"/>
              </w:rPr>
              <w:instrText>xe "</w:instrText>
            </w:r>
            <w:r w:rsidRPr="000A4491">
              <w:rPr>
                <w:rStyle w:val="Hyperlink"/>
                <w:rFonts w:ascii="Verdana" w:hAnsi="Verdana"/>
                <w:bCs/>
                <w:sz w:val="20"/>
              </w:rPr>
              <w:instrText>Conduit and Raceway</w:instrText>
            </w:r>
            <w:r w:rsidRPr="000A4491">
              <w:rPr>
                <w:rFonts w:ascii="Verdana" w:hAnsi="Verdana"/>
                <w:sz w:val="20"/>
              </w:rPr>
              <w:instrText>"</w:instrText>
            </w:r>
            <w:r w:rsidRPr="000A4491">
              <w:rPr>
                <w:rFonts w:ascii="Verdana" w:hAnsi="Verdana"/>
                <w:sz w:val="20"/>
              </w:rPr>
              <w:fldChar w:fldCharType="end"/>
            </w:r>
            <w:r w:rsidRPr="000A4491">
              <w:rPr>
                <w:rFonts w:ascii="Verdana" w:hAnsi="Verdana"/>
                <w:sz w:val="20"/>
              </w:rPr>
              <w:t xml:space="preserve"> are metal or plastic pipe or channels used to protect cable</w:t>
            </w:r>
            <w:r w:rsidRPr="000A4491">
              <w:rPr>
                <w:rFonts w:ascii="Verdana" w:hAnsi="Verdana"/>
                <w:sz w:val="20"/>
              </w:rPr>
              <w:fldChar w:fldCharType="begin"/>
            </w:r>
            <w:r w:rsidRPr="000A4491">
              <w:rPr>
                <w:rFonts w:ascii="Verdana" w:hAnsi="Verdana"/>
                <w:sz w:val="20"/>
              </w:rPr>
              <w:instrText>xe "Cable"</w:instrText>
            </w:r>
            <w:r w:rsidRPr="000A4491">
              <w:rPr>
                <w:rFonts w:ascii="Verdana" w:hAnsi="Verdana"/>
                <w:sz w:val="20"/>
              </w:rPr>
              <w:fldChar w:fldCharType="end"/>
            </w:r>
            <w:r w:rsidRPr="000A4491">
              <w:rPr>
                <w:rFonts w:ascii="Verdana" w:hAnsi="Verdana"/>
                <w:sz w:val="20"/>
              </w:rPr>
              <w:t>.</w:t>
            </w:r>
          </w:p>
        </w:tc>
      </w:tr>
      <w:tr w:rsidR="00F935B1" w14:paraId="428AD9CD" w14:textId="77777777" w:rsidTr="0083602C">
        <w:trPr>
          <w:tblCellSpacing w:w="15" w:type="dxa"/>
        </w:trPr>
        <w:tc>
          <w:tcPr>
            <w:tcW w:w="3656" w:type="dxa"/>
          </w:tcPr>
          <w:p w14:paraId="58756F81" w14:textId="77777777" w:rsidR="00F935B1" w:rsidRPr="000A4491" w:rsidRDefault="00F935B1" w:rsidP="0083602C">
            <w:pPr>
              <w:rPr>
                <w:rFonts w:ascii="Verdana" w:hAnsi="Verdana"/>
                <w:sz w:val="20"/>
              </w:rPr>
            </w:pPr>
            <w:r w:rsidRPr="000A4491">
              <w:rPr>
                <w:rFonts w:ascii="Verdana" w:hAnsi="Verdana"/>
                <w:sz w:val="20"/>
              </w:rPr>
              <w:t>Conferencing Services</w:t>
            </w:r>
            <w:r w:rsidRPr="000A4491">
              <w:rPr>
                <w:rFonts w:ascii="Verdana" w:hAnsi="Verdana"/>
                <w:sz w:val="20"/>
              </w:rPr>
              <w:fldChar w:fldCharType="begin"/>
            </w:r>
            <w:r w:rsidRPr="000A4491">
              <w:rPr>
                <w:rFonts w:ascii="Verdana" w:hAnsi="Verdana"/>
                <w:sz w:val="20"/>
              </w:rPr>
              <w:instrText>xe "Conferencing Services"</w:instrText>
            </w:r>
            <w:r w:rsidRPr="000A4491">
              <w:rPr>
                <w:rFonts w:ascii="Verdana" w:hAnsi="Verdana"/>
                <w:sz w:val="20"/>
              </w:rPr>
              <w:fldChar w:fldCharType="end"/>
            </w:r>
          </w:p>
          <w:p w14:paraId="2C438826" w14:textId="77777777" w:rsidR="00F935B1" w:rsidRPr="000A4491" w:rsidRDefault="00F935B1" w:rsidP="0083602C">
            <w:pPr>
              <w:rPr>
                <w:rFonts w:ascii="Verdana" w:hAnsi="Verdana"/>
                <w:sz w:val="20"/>
              </w:rPr>
            </w:pPr>
            <w:r w:rsidRPr="000A4491">
              <w:rPr>
                <w:rFonts w:ascii="Verdana" w:hAnsi="Verdana"/>
                <w:sz w:val="20"/>
              </w:rPr>
              <w:t>(</w:t>
            </w:r>
            <w:hyperlink w:anchor="aattOtherEligible" w:history="1">
              <w:r w:rsidRPr="000A4491">
                <w:rPr>
                  <w:rStyle w:val="Hyperlink"/>
                  <w:rFonts w:ascii="Verdana" w:hAnsi="Verdana"/>
                  <w:sz w:val="20"/>
                </w:rPr>
                <w:t>Other Eligible Telecommunications</w:t>
              </w:r>
              <w:r w:rsidRPr="000A4491">
                <w:rPr>
                  <w:rFonts w:ascii="Verdana" w:hAnsi="Verdana"/>
                  <w:sz w:val="20"/>
                </w:rPr>
                <w:fldChar w:fldCharType="begin"/>
              </w:r>
              <w:r w:rsidRPr="000A4491">
                <w:rPr>
                  <w:rFonts w:ascii="Verdana" w:hAnsi="Verdana"/>
                  <w:sz w:val="20"/>
                </w:rPr>
                <w:instrText>xe "</w:instrText>
              </w:r>
              <w:r w:rsidRPr="000A4491">
                <w:rPr>
                  <w:rStyle w:val="Hyperlink"/>
                  <w:rFonts w:ascii="Verdana" w:hAnsi="Verdana"/>
                  <w:sz w:val="20"/>
                </w:rPr>
                <w:instrText>Telecommunications</w:instrText>
              </w:r>
              <w:r w:rsidRPr="000A4491">
                <w:rPr>
                  <w:rFonts w:ascii="Verdana" w:hAnsi="Verdana"/>
                  <w:sz w:val="20"/>
                </w:rPr>
                <w:instrText>"</w:instrText>
              </w:r>
              <w:r w:rsidRPr="000A4491">
                <w:rPr>
                  <w:rFonts w:ascii="Verdana" w:hAnsi="Verdana"/>
                  <w:sz w:val="20"/>
                </w:rPr>
                <w:fldChar w:fldCharType="end"/>
              </w:r>
            </w:hyperlink>
            <w:r w:rsidRPr="000A4491">
              <w:rPr>
                <w:rFonts w:ascii="Verdana" w:hAnsi="Verdana"/>
                <w:sz w:val="20"/>
              </w:rPr>
              <w:t>)</w:t>
            </w:r>
          </w:p>
        </w:tc>
        <w:tc>
          <w:tcPr>
            <w:tcW w:w="5441" w:type="dxa"/>
          </w:tcPr>
          <w:p w14:paraId="35CADCF1" w14:textId="77777777" w:rsidR="00F935B1" w:rsidRPr="000A4491" w:rsidRDefault="00F935B1" w:rsidP="0083602C">
            <w:pPr>
              <w:rPr>
                <w:rFonts w:ascii="Verdana" w:hAnsi="Verdana"/>
                <w:sz w:val="20"/>
              </w:rPr>
            </w:pPr>
            <w:r w:rsidRPr="000A4491">
              <w:rPr>
                <w:rFonts w:ascii="Verdana" w:hAnsi="Verdana"/>
                <w:sz w:val="20"/>
              </w:rPr>
              <w:t>Conferencing Services</w:t>
            </w:r>
            <w:r w:rsidRPr="000A4491">
              <w:rPr>
                <w:rFonts w:ascii="Verdana" w:hAnsi="Verdana"/>
                <w:sz w:val="20"/>
              </w:rPr>
              <w:fldChar w:fldCharType="begin"/>
            </w:r>
            <w:r w:rsidRPr="000A4491">
              <w:rPr>
                <w:rFonts w:ascii="Verdana" w:hAnsi="Verdana"/>
                <w:sz w:val="20"/>
              </w:rPr>
              <w:instrText>xe "Conferencing Services"</w:instrText>
            </w:r>
            <w:r w:rsidRPr="000A4491">
              <w:rPr>
                <w:rFonts w:ascii="Verdana" w:hAnsi="Verdana"/>
                <w:sz w:val="20"/>
              </w:rPr>
              <w:fldChar w:fldCharType="end"/>
            </w:r>
            <w:r w:rsidRPr="000A4491">
              <w:rPr>
                <w:rFonts w:ascii="Verdana" w:hAnsi="Verdana"/>
                <w:sz w:val="20"/>
              </w:rPr>
              <w:t xml:space="preserve"> provide a means for multiple users to participate in group discussions via telephone circuits or video</w:t>
            </w:r>
            <w:r w:rsidRPr="000A4491">
              <w:rPr>
                <w:rFonts w:ascii="Verdana" w:hAnsi="Verdana"/>
                <w:sz w:val="20"/>
              </w:rPr>
              <w:fldChar w:fldCharType="begin"/>
            </w:r>
            <w:r w:rsidRPr="000A4491">
              <w:rPr>
                <w:rFonts w:ascii="Verdana" w:hAnsi="Verdana"/>
                <w:sz w:val="20"/>
              </w:rPr>
              <w:instrText>xe "Video"</w:instrText>
            </w:r>
            <w:r w:rsidRPr="000A4491">
              <w:rPr>
                <w:rFonts w:ascii="Verdana" w:hAnsi="Verdana"/>
                <w:sz w:val="20"/>
              </w:rPr>
              <w:fldChar w:fldCharType="end"/>
            </w:r>
            <w:r w:rsidRPr="000A4491">
              <w:rPr>
                <w:rFonts w:ascii="Verdana" w:hAnsi="Verdana"/>
                <w:sz w:val="20"/>
              </w:rPr>
              <w:t xml:space="preserve"> facilities.</w:t>
            </w:r>
          </w:p>
        </w:tc>
      </w:tr>
      <w:tr w:rsidR="00F935B1" w14:paraId="0349801C" w14:textId="77777777" w:rsidTr="0083602C">
        <w:trPr>
          <w:tblCellSpacing w:w="15" w:type="dxa"/>
        </w:trPr>
        <w:tc>
          <w:tcPr>
            <w:tcW w:w="3656" w:type="dxa"/>
          </w:tcPr>
          <w:p w14:paraId="63D2558D" w14:textId="77777777" w:rsidR="00F935B1" w:rsidRPr="000A4491" w:rsidRDefault="00F935B1" w:rsidP="0083602C">
            <w:pPr>
              <w:rPr>
                <w:rFonts w:ascii="Verdana" w:hAnsi="Verdana"/>
                <w:sz w:val="20"/>
              </w:rPr>
            </w:pPr>
            <w:r w:rsidRPr="000A4491">
              <w:rPr>
                <w:rFonts w:ascii="Verdana" w:hAnsi="Verdana"/>
                <w:sz w:val="20"/>
              </w:rPr>
              <w:t>Connectors</w:t>
            </w:r>
          </w:p>
          <w:p w14:paraId="1728F863" w14:textId="77777777" w:rsidR="00F935B1" w:rsidRPr="000A4491" w:rsidRDefault="00F935B1" w:rsidP="0083602C">
            <w:pPr>
              <w:rPr>
                <w:rFonts w:ascii="Verdana" w:hAnsi="Verdana"/>
                <w:sz w:val="20"/>
              </w:rPr>
            </w:pPr>
            <w:r w:rsidRPr="000A4491">
              <w:rPr>
                <w:rFonts w:ascii="Verdana" w:hAnsi="Verdana"/>
                <w:sz w:val="20"/>
              </w:rPr>
              <w:t>(</w:t>
            </w:r>
            <w:hyperlink w:anchor="aaCablingConnectors" w:history="1">
              <w:r w:rsidRPr="000A4491">
                <w:rPr>
                  <w:rStyle w:val="Hyperlink"/>
                  <w:rFonts w:ascii="Verdana" w:hAnsi="Verdana"/>
                  <w:sz w:val="20"/>
                </w:rPr>
                <w:t>Cabling</w:t>
              </w:r>
              <w:r w:rsidRPr="000A4491">
                <w:rPr>
                  <w:rFonts w:ascii="Verdana" w:hAnsi="Verdana"/>
                  <w:sz w:val="20"/>
                </w:rPr>
                <w:fldChar w:fldCharType="begin"/>
              </w:r>
              <w:r w:rsidRPr="000A4491">
                <w:rPr>
                  <w:rFonts w:ascii="Verdana" w:hAnsi="Verdana"/>
                  <w:sz w:val="20"/>
                </w:rPr>
                <w:instrText>xe "</w:instrText>
              </w:r>
              <w:r w:rsidRPr="000A4491">
                <w:rPr>
                  <w:rStyle w:val="Hyperlink"/>
                  <w:rFonts w:ascii="Verdana" w:hAnsi="Verdana"/>
                  <w:bCs/>
                  <w:sz w:val="20"/>
                </w:rPr>
                <w:instrText>Cabling</w:instrText>
              </w:r>
              <w:r w:rsidRPr="000A4491">
                <w:rPr>
                  <w:rFonts w:ascii="Verdana" w:hAnsi="Verdana"/>
                  <w:sz w:val="20"/>
                </w:rPr>
                <w:instrText>"</w:instrText>
              </w:r>
              <w:r w:rsidRPr="000A4491">
                <w:rPr>
                  <w:rFonts w:ascii="Verdana" w:hAnsi="Verdana"/>
                  <w:sz w:val="20"/>
                </w:rPr>
                <w:fldChar w:fldCharType="end"/>
              </w:r>
            </w:hyperlink>
            <w:r w:rsidRPr="000A4491">
              <w:rPr>
                <w:rFonts w:ascii="Verdana" w:hAnsi="Verdana"/>
                <w:sz w:val="20"/>
              </w:rPr>
              <w:t>)</w:t>
            </w:r>
          </w:p>
        </w:tc>
        <w:tc>
          <w:tcPr>
            <w:tcW w:w="5441" w:type="dxa"/>
          </w:tcPr>
          <w:p w14:paraId="19CDB29A" w14:textId="77777777" w:rsidR="00F935B1" w:rsidRPr="000A4491" w:rsidRDefault="00F935B1" w:rsidP="0083602C">
            <w:pPr>
              <w:pStyle w:val="NormalWeb"/>
              <w:spacing w:before="0" w:beforeAutospacing="0" w:after="0"/>
              <w:rPr>
                <w:rFonts w:ascii="Verdana" w:hAnsi="Verdana"/>
                <w:bCs/>
                <w:sz w:val="20"/>
              </w:rPr>
            </w:pPr>
            <w:r w:rsidRPr="000A4491">
              <w:rPr>
                <w:rFonts w:ascii="Verdana" w:hAnsi="Verdana"/>
                <w:bCs/>
                <w:sz w:val="20"/>
              </w:rPr>
              <w:t>Connectors</w:t>
            </w:r>
            <w:r w:rsidRPr="000A4491">
              <w:rPr>
                <w:rFonts w:ascii="Verdana" w:hAnsi="Verdana"/>
                <w:sz w:val="20"/>
              </w:rPr>
              <w:fldChar w:fldCharType="begin"/>
            </w:r>
            <w:r w:rsidRPr="000A4491">
              <w:rPr>
                <w:rFonts w:ascii="Verdana" w:hAnsi="Verdana"/>
                <w:sz w:val="20"/>
              </w:rPr>
              <w:instrText>xe "</w:instrText>
            </w:r>
            <w:r w:rsidRPr="000A4491">
              <w:rPr>
                <w:rFonts w:ascii="Verdana" w:hAnsi="Verdana"/>
                <w:bCs/>
                <w:sz w:val="20"/>
              </w:rPr>
              <w:instrText>Connectors</w:instrText>
            </w:r>
            <w:r w:rsidRPr="000A4491">
              <w:rPr>
                <w:rFonts w:ascii="Verdana" w:hAnsi="Verdana"/>
                <w:sz w:val="20"/>
              </w:rPr>
              <w:instrText>"</w:instrText>
            </w:r>
            <w:r w:rsidRPr="000A4491">
              <w:rPr>
                <w:rFonts w:ascii="Verdana" w:hAnsi="Verdana"/>
                <w:sz w:val="20"/>
              </w:rPr>
              <w:fldChar w:fldCharType="end"/>
            </w:r>
            <w:r w:rsidRPr="000A4491">
              <w:rPr>
                <w:rFonts w:ascii="Verdana" w:hAnsi="Verdana"/>
                <w:bCs/>
                <w:sz w:val="20"/>
              </w:rPr>
              <w:t xml:space="preserve"> are devices that connect wires or fibers.</w:t>
            </w:r>
          </w:p>
        </w:tc>
      </w:tr>
      <w:tr w:rsidR="00F935B1" w14:paraId="7603B87D" w14:textId="77777777" w:rsidTr="0083602C">
        <w:trPr>
          <w:tblCellSpacing w:w="15" w:type="dxa"/>
        </w:trPr>
        <w:tc>
          <w:tcPr>
            <w:tcW w:w="3656" w:type="dxa"/>
          </w:tcPr>
          <w:p w14:paraId="35C4748F" w14:textId="77777777" w:rsidR="00F935B1" w:rsidRPr="000A4491" w:rsidRDefault="00F935B1" w:rsidP="0083602C">
            <w:pPr>
              <w:rPr>
                <w:rFonts w:ascii="Verdana" w:hAnsi="Verdana"/>
                <w:sz w:val="20"/>
              </w:rPr>
            </w:pPr>
            <w:r w:rsidRPr="000A4491">
              <w:rPr>
                <w:rFonts w:ascii="Verdana" w:hAnsi="Verdana"/>
                <w:sz w:val="20"/>
              </w:rPr>
              <w:t>Consumable</w:t>
            </w:r>
            <w:r w:rsidRPr="000A4491">
              <w:rPr>
                <w:rFonts w:ascii="Verdana" w:hAnsi="Verdana"/>
                <w:sz w:val="20"/>
              </w:rPr>
              <w:fldChar w:fldCharType="begin"/>
            </w:r>
            <w:r w:rsidRPr="000A4491">
              <w:rPr>
                <w:rFonts w:ascii="Verdana" w:hAnsi="Verdana"/>
                <w:sz w:val="20"/>
              </w:rPr>
              <w:instrText>xe "Consumables"</w:instrText>
            </w:r>
            <w:r w:rsidRPr="000A4491">
              <w:rPr>
                <w:rFonts w:ascii="Verdana" w:hAnsi="Verdana"/>
                <w:sz w:val="20"/>
              </w:rPr>
              <w:fldChar w:fldCharType="end"/>
            </w:r>
            <w:r w:rsidRPr="000A4491">
              <w:rPr>
                <w:rFonts w:ascii="Verdana" w:hAnsi="Verdana"/>
                <w:sz w:val="20"/>
              </w:rPr>
              <w:t xml:space="preserve"> Components</w:t>
            </w:r>
          </w:p>
          <w:p w14:paraId="4CB8693E" w14:textId="77777777" w:rsidR="00F935B1" w:rsidRPr="000A4491" w:rsidRDefault="00F935B1" w:rsidP="0083602C">
            <w:pPr>
              <w:rPr>
                <w:rFonts w:ascii="Verdana" w:hAnsi="Verdana"/>
                <w:sz w:val="20"/>
              </w:rPr>
            </w:pPr>
            <w:r w:rsidRPr="000A4491">
              <w:rPr>
                <w:rFonts w:ascii="Verdana" w:hAnsi="Verdana"/>
                <w:sz w:val="20"/>
              </w:rPr>
              <w:t>(</w:t>
            </w:r>
            <w:hyperlink w:anchor="aaCablingConnectors" w:history="1">
              <w:r w:rsidRPr="000A4491">
                <w:rPr>
                  <w:rStyle w:val="Hyperlink"/>
                  <w:rFonts w:ascii="Verdana" w:hAnsi="Verdana"/>
                  <w:sz w:val="20"/>
                </w:rPr>
                <w:t>Cabling</w:t>
              </w:r>
              <w:r w:rsidRPr="000A4491">
                <w:rPr>
                  <w:rFonts w:ascii="Verdana" w:hAnsi="Verdana"/>
                  <w:sz w:val="20"/>
                </w:rPr>
                <w:fldChar w:fldCharType="begin"/>
              </w:r>
              <w:r w:rsidRPr="000A4491">
                <w:rPr>
                  <w:rFonts w:ascii="Verdana" w:hAnsi="Verdana"/>
                  <w:sz w:val="20"/>
                </w:rPr>
                <w:instrText>xe "</w:instrText>
              </w:r>
              <w:r w:rsidRPr="000A4491">
                <w:rPr>
                  <w:rStyle w:val="Hyperlink"/>
                  <w:rFonts w:ascii="Verdana" w:hAnsi="Verdana"/>
                  <w:bCs/>
                  <w:sz w:val="20"/>
                </w:rPr>
                <w:instrText>Cabling</w:instrText>
              </w:r>
              <w:r w:rsidRPr="000A4491">
                <w:rPr>
                  <w:rFonts w:ascii="Verdana" w:hAnsi="Verdana"/>
                  <w:sz w:val="20"/>
                </w:rPr>
                <w:instrText>"</w:instrText>
              </w:r>
              <w:r w:rsidRPr="000A4491">
                <w:rPr>
                  <w:rFonts w:ascii="Verdana" w:hAnsi="Verdana"/>
                  <w:sz w:val="20"/>
                </w:rPr>
                <w:fldChar w:fldCharType="end"/>
              </w:r>
            </w:hyperlink>
            <w:r w:rsidRPr="000A4491">
              <w:rPr>
                <w:rFonts w:ascii="Verdana" w:hAnsi="Verdana"/>
                <w:sz w:val="20"/>
              </w:rPr>
              <w:t>)</w:t>
            </w:r>
          </w:p>
        </w:tc>
        <w:tc>
          <w:tcPr>
            <w:tcW w:w="5441" w:type="dxa"/>
          </w:tcPr>
          <w:p w14:paraId="59AA5174" w14:textId="77777777" w:rsidR="00F935B1" w:rsidRPr="000A4491" w:rsidRDefault="00F935B1" w:rsidP="0083602C">
            <w:pPr>
              <w:pStyle w:val="NormalWeb"/>
              <w:spacing w:before="0" w:beforeAutospacing="0" w:after="0"/>
              <w:rPr>
                <w:rFonts w:ascii="Verdana" w:hAnsi="Verdana"/>
                <w:sz w:val="20"/>
              </w:rPr>
            </w:pPr>
            <w:r w:rsidRPr="000A4491">
              <w:rPr>
                <w:rFonts w:ascii="Verdana" w:hAnsi="Verdana"/>
                <w:bCs/>
                <w:sz w:val="20"/>
              </w:rPr>
              <w:t>Consumables</w:t>
            </w:r>
            <w:r w:rsidRPr="000A4491">
              <w:rPr>
                <w:rFonts w:ascii="Verdana" w:hAnsi="Verdana"/>
                <w:sz w:val="20"/>
              </w:rPr>
              <w:fldChar w:fldCharType="begin"/>
            </w:r>
            <w:r w:rsidRPr="000A4491">
              <w:rPr>
                <w:rFonts w:ascii="Verdana" w:hAnsi="Verdana"/>
                <w:sz w:val="20"/>
              </w:rPr>
              <w:instrText>xe "</w:instrText>
            </w:r>
            <w:r w:rsidRPr="000A4491">
              <w:rPr>
                <w:rFonts w:ascii="Verdana" w:hAnsi="Verdana"/>
                <w:bCs/>
                <w:sz w:val="20"/>
              </w:rPr>
              <w:instrText>Consumables</w:instrText>
            </w:r>
            <w:r w:rsidRPr="000A4491">
              <w:rPr>
                <w:rFonts w:ascii="Verdana" w:hAnsi="Verdana"/>
                <w:sz w:val="20"/>
              </w:rPr>
              <w:instrText>"</w:instrText>
            </w:r>
            <w:r w:rsidRPr="000A4491">
              <w:rPr>
                <w:rFonts w:ascii="Verdana" w:hAnsi="Verdana"/>
                <w:sz w:val="20"/>
              </w:rPr>
              <w:fldChar w:fldCharType="end"/>
            </w:r>
            <w:r w:rsidRPr="000A4491">
              <w:rPr>
                <w:rFonts w:ascii="Verdana" w:hAnsi="Verdana"/>
                <w:bCs/>
                <w:sz w:val="20"/>
              </w:rPr>
              <w:t xml:space="preserve"> consist of miscellaneous</w:t>
            </w:r>
            <w:r w:rsidRPr="000A4491">
              <w:rPr>
                <w:rFonts w:ascii="Verdana" w:hAnsi="Verdana"/>
                <w:sz w:val="20"/>
              </w:rPr>
              <w:fldChar w:fldCharType="begin"/>
            </w:r>
            <w:r w:rsidRPr="000A4491">
              <w:rPr>
                <w:rFonts w:ascii="Verdana" w:hAnsi="Verdana"/>
                <w:sz w:val="20"/>
              </w:rPr>
              <w:instrText>xe "M</w:instrText>
            </w:r>
            <w:r w:rsidRPr="000A4491">
              <w:rPr>
                <w:rFonts w:ascii="Verdana" w:hAnsi="Verdana"/>
                <w:bCs/>
                <w:sz w:val="20"/>
              </w:rPr>
              <w:instrText>iscellaneous Components</w:instrText>
            </w:r>
            <w:r w:rsidRPr="000A4491">
              <w:rPr>
                <w:rFonts w:ascii="Verdana" w:hAnsi="Verdana"/>
                <w:sz w:val="20"/>
              </w:rPr>
              <w:instrText>"</w:instrText>
            </w:r>
            <w:r w:rsidRPr="000A4491">
              <w:rPr>
                <w:rFonts w:ascii="Verdana" w:hAnsi="Verdana"/>
                <w:sz w:val="20"/>
              </w:rPr>
              <w:fldChar w:fldCharType="end"/>
            </w:r>
            <w:r w:rsidRPr="000A4491">
              <w:rPr>
                <w:rFonts w:ascii="Verdana" w:hAnsi="Verdana"/>
                <w:bCs/>
                <w:sz w:val="20"/>
              </w:rPr>
              <w:t xml:space="preserve"> components that are depleted with use, such as tape, splicing materials, labels, and wire wrap.</w:t>
            </w:r>
          </w:p>
        </w:tc>
      </w:tr>
      <w:tr w:rsidR="00F935B1" w14:paraId="6182CFE3" w14:textId="77777777" w:rsidTr="0083602C">
        <w:trPr>
          <w:tblCellSpacing w:w="15" w:type="dxa"/>
        </w:trPr>
        <w:tc>
          <w:tcPr>
            <w:tcW w:w="3656" w:type="dxa"/>
          </w:tcPr>
          <w:p w14:paraId="07C97C17" w14:textId="77777777" w:rsidR="00F935B1" w:rsidRPr="000A4491" w:rsidRDefault="00F935B1" w:rsidP="0083602C">
            <w:pPr>
              <w:rPr>
                <w:rFonts w:ascii="Verdana" w:hAnsi="Verdana"/>
                <w:sz w:val="20"/>
              </w:rPr>
            </w:pPr>
            <w:r w:rsidRPr="000A4491">
              <w:rPr>
                <w:rFonts w:ascii="Verdana" w:hAnsi="Verdana"/>
                <w:sz w:val="20"/>
              </w:rPr>
              <w:lastRenderedPageBreak/>
              <w:t>Consumable Kits</w:t>
            </w:r>
          </w:p>
          <w:p w14:paraId="57AA2864" w14:textId="77777777" w:rsidR="00F935B1" w:rsidRPr="000A4491" w:rsidRDefault="00F935B1" w:rsidP="0083602C">
            <w:pPr>
              <w:rPr>
                <w:rFonts w:ascii="Verdana" w:hAnsi="Verdana"/>
                <w:sz w:val="20"/>
              </w:rPr>
            </w:pPr>
            <w:r w:rsidRPr="000A4491">
              <w:rPr>
                <w:rFonts w:ascii="Verdana" w:hAnsi="Verdana"/>
                <w:sz w:val="20"/>
              </w:rPr>
              <w:t>(</w:t>
            </w:r>
            <w:hyperlink w:anchor="aaIneligibleComponents" w:history="1">
              <w:r w:rsidRPr="000A4491">
                <w:rPr>
                  <w:rStyle w:val="Hyperlink"/>
                  <w:rFonts w:ascii="Verdana" w:hAnsi="Verdana"/>
                  <w:sz w:val="20"/>
                </w:rPr>
                <w:t>Not Eligible for E-rate Funding as Internal Connections Components</w:t>
              </w:r>
            </w:hyperlink>
            <w:r w:rsidRPr="000A4491">
              <w:rPr>
                <w:rFonts w:ascii="Verdana" w:hAnsi="Verdana"/>
                <w:sz w:val="20"/>
              </w:rPr>
              <w:t>)</w:t>
            </w:r>
          </w:p>
        </w:tc>
        <w:tc>
          <w:tcPr>
            <w:tcW w:w="5441" w:type="dxa"/>
          </w:tcPr>
          <w:p w14:paraId="35DC5A59" w14:textId="77777777" w:rsidR="00F935B1" w:rsidRPr="000A4491" w:rsidRDefault="00F935B1" w:rsidP="0083602C">
            <w:pPr>
              <w:pStyle w:val="NormalWeb"/>
              <w:spacing w:before="0" w:beforeAutospacing="0" w:after="0"/>
              <w:rPr>
                <w:rFonts w:ascii="Verdana" w:hAnsi="Verdana"/>
                <w:bCs/>
                <w:sz w:val="20"/>
              </w:rPr>
            </w:pPr>
            <w:r w:rsidRPr="000A4491">
              <w:rPr>
                <w:rFonts w:ascii="Verdana" w:hAnsi="Verdana"/>
                <w:bCs/>
                <w:sz w:val="20"/>
              </w:rPr>
              <w:t>Consumable Kits include installation tools and</w:t>
            </w:r>
            <w:r w:rsidRPr="000A4491">
              <w:rPr>
                <w:rFonts w:ascii="Verdana" w:hAnsi="Verdana"/>
                <w:sz w:val="20"/>
              </w:rPr>
              <w:fldChar w:fldCharType="begin"/>
            </w:r>
            <w:r w:rsidRPr="000A4491">
              <w:rPr>
                <w:rFonts w:ascii="Verdana" w:hAnsi="Verdana"/>
                <w:sz w:val="20"/>
              </w:rPr>
              <w:instrText>xe "</w:instrText>
            </w:r>
            <w:r w:rsidRPr="000A4491">
              <w:rPr>
                <w:rFonts w:ascii="Verdana" w:hAnsi="Verdana"/>
                <w:bCs/>
                <w:sz w:val="20"/>
              </w:rPr>
              <w:instrText>Consumables</w:instrText>
            </w:r>
            <w:r w:rsidRPr="000A4491">
              <w:rPr>
                <w:rFonts w:ascii="Verdana" w:hAnsi="Verdana"/>
                <w:sz w:val="20"/>
              </w:rPr>
              <w:instrText>"</w:instrText>
            </w:r>
            <w:r w:rsidRPr="000A4491">
              <w:rPr>
                <w:rFonts w:ascii="Verdana" w:hAnsi="Verdana"/>
                <w:sz w:val="20"/>
              </w:rPr>
              <w:fldChar w:fldCharType="end"/>
            </w:r>
            <w:r w:rsidRPr="000A4491">
              <w:rPr>
                <w:rFonts w:ascii="Verdana" w:hAnsi="Verdana"/>
                <w:bCs/>
                <w:sz w:val="20"/>
              </w:rPr>
              <w:t xml:space="preserve"> consist of miscellaneous</w:t>
            </w:r>
            <w:r w:rsidRPr="000A4491">
              <w:rPr>
                <w:rFonts w:ascii="Verdana" w:hAnsi="Verdana"/>
                <w:sz w:val="20"/>
              </w:rPr>
              <w:fldChar w:fldCharType="begin"/>
            </w:r>
            <w:r w:rsidRPr="000A4491">
              <w:rPr>
                <w:rFonts w:ascii="Verdana" w:hAnsi="Verdana"/>
                <w:sz w:val="20"/>
              </w:rPr>
              <w:instrText>xe "M</w:instrText>
            </w:r>
            <w:r w:rsidRPr="000A4491">
              <w:rPr>
                <w:rFonts w:ascii="Verdana" w:hAnsi="Verdana"/>
                <w:bCs/>
                <w:sz w:val="20"/>
              </w:rPr>
              <w:instrText>iscellaneous Components</w:instrText>
            </w:r>
            <w:r w:rsidRPr="000A4491">
              <w:rPr>
                <w:rFonts w:ascii="Verdana" w:hAnsi="Verdana"/>
                <w:sz w:val="20"/>
              </w:rPr>
              <w:instrText>"</w:instrText>
            </w:r>
            <w:r w:rsidRPr="000A4491">
              <w:rPr>
                <w:rFonts w:ascii="Verdana" w:hAnsi="Verdana"/>
                <w:sz w:val="20"/>
              </w:rPr>
              <w:fldChar w:fldCharType="end"/>
            </w:r>
            <w:r w:rsidRPr="000A4491">
              <w:rPr>
                <w:rFonts w:ascii="Verdana" w:hAnsi="Verdana"/>
                <w:bCs/>
                <w:sz w:val="20"/>
              </w:rPr>
              <w:t xml:space="preserve"> components that are depleted with use, such as tape, splicing materials, labels, and wire wrap.</w:t>
            </w:r>
          </w:p>
        </w:tc>
      </w:tr>
      <w:tr w:rsidR="00F935B1" w14:paraId="0F644275" w14:textId="77777777" w:rsidTr="0083602C">
        <w:trPr>
          <w:tblCellSpacing w:w="15" w:type="dxa"/>
        </w:trPr>
        <w:tc>
          <w:tcPr>
            <w:tcW w:w="3656" w:type="dxa"/>
          </w:tcPr>
          <w:p w14:paraId="726E2335" w14:textId="77777777" w:rsidR="00F935B1" w:rsidRPr="000A4491" w:rsidRDefault="00F935B1" w:rsidP="0083602C">
            <w:pPr>
              <w:rPr>
                <w:rFonts w:ascii="Verdana" w:hAnsi="Verdana"/>
                <w:sz w:val="20"/>
              </w:rPr>
            </w:pPr>
            <w:r w:rsidRPr="000A4491">
              <w:rPr>
                <w:rFonts w:ascii="Verdana" w:hAnsi="Verdana"/>
                <w:sz w:val="20"/>
              </w:rPr>
              <w:t>Contingency Fee</w:t>
            </w:r>
            <w:r w:rsidRPr="000A4491">
              <w:rPr>
                <w:rFonts w:ascii="Verdana" w:hAnsi="Verdana"/>
                <w:sz w:val="20"/>
              </w:rPr>
              <w:fldChar w:fldCharType="begin"/>
            </w:r>
            <w:r w:rsidRPr="000A4491">
              <w:rPr>
                <w:rFonts w:ascii="Verdana" w:hAnsi="Verdana"/>
                <w:sz w:val="20"/>
              </w:rPr>
              <w:instrText>xe "Contingency Fee"</w:instrText>
            </w:r>
            <w:r w:rsidRPr="000A4491">
              <w:rPr>
                <w:rFonts w:ascii="Verdana" w:hAnsi="Verdana"/>
                <w:sz w:val="20"/>
              </w:rPr>
              <w:fldChar w:fldCharType="end"/>
            </w:r>
          </w:p>
          <w:p w14:paraId="0649B01A" w14:textId="77777777" w:rsidR="00F935B1" w:rsidRPr="000A4491" w:rsidRDefault="00F935B1" w:rsidP="0083602C">
            <w:pPr>
              <w:rPr>
                <w:rFonts w:ascii="Verdana" w:hAnsi="Verdana"/>
                <w:sz w:val="20"/>
              </w:rPr>
            </w:pPr>
            <w:r w:rsidRPr="000A4491">
              <w:rPr>
                <w:rFonts w:ascii="Verdana" w:hAnsi="Verdana"/>
                <w:sz w:val="20"/>
              </w:rPr>
              <w:t>(</w:t>
            </w:r>
            <w:hyperlink w:anchor="MiscMiscellaneousFeesAndCharges" w:history="1">
              <w:r w:rsidRPr="000A4491">
                <w:rPr>
                  <w:rStyle w:val="Hyperlink"/>
                  <w:rFonts w:ascii="Verdana" w:hAnsi="Verdana"/>
                  <w:sz w:val="20"/>
                </w:rPr>
                <w:t>Miscellaneous Fees and Charges</w:t>
              </w:r>
            </w:hyperlink>
            <w:r w:rsidRPr="000A4491">
              <w:rPr>
                <w:rFonts w:ascii="Verdana" w:hAnsi="Verdana"/>
                <w:sz w:val="20"/>
              </w:rPr>
              <w:t>)</w:t>
            </w:r>
          </w:p>
        </w:tc>
        <w:tc>
          <w:tcPr>
            <w:tcW w:w="5441" w:type="dxa"/>
          </w:tcPr>
          <w:p w14:paraId="53F5950F" w14:textId="77777777" w:rsidR="00F935B1" w:rsidRPr="000A4491" w:rsidRDefault="00F935B1" w:rsidP="0083602C">
            <w:pPr>
              <w:pStyle w:val="NormalWeb"/>
              <w:spacing w:before="0" w:beforeAutospacing="0" w:after="0"/>
              <w:rPr>
                <w:rFonts w:ascii="Verdana" w:hAnsi="Verdana"/>
                <w:sz w:val="20"/>
              </w:rPr>
            </w:pPr>
            <w:r w:rsidRPr="000A4491">
              <w:rPr>
                <w:rFonts w:ascii="Verdana" w:hAnsi="Verdana"/>
                <w:sz w:val="20"/>
              </w:rPr>
              <w:t>A contingency fee</w:t>
            </w:r>
            <w:r w:rsidRPr="000A4491">
              <w:rPr>
                <w:rFonts w:ascii="Verdana" w:hAnsi="Verdana"/>
                <w:sz w:val="20"/>
              </w:rPr>
              <w:fldChar w:fldCharType="begin"/>
            </w:r>
            <w:r w:rsidRPr="000A4491">
              <w:rPr>
                <w:rFonts w:ascii="Verdana" w:hAnsi="Verdana"/>
                <w:sz w:val="20"/>
              </w:rPr>
              <w:instrText>xe "Contingency Fee"</w:instrText>
            </w:r>
            <w:r w:rsidRPr="000A4491">
              <w:rPr>
                <w:rFonts w:ascii="Verdana" w:hAnsi="Verdana"/>
                <w:sz w:val="20"/>
              </w:rPr>
              <w:fldChar w:fldCharType="end"/>
            </w:r>
            <w:r w:rsidRPr="000A4491">
              <w:rPr>
                <w:rFonts w:ascii="Verdana" w:hAnsi="Verdana"/>
                <w:sz w:val="20"/>
              </w:rPr>
              <w:t xml:space="preserve"> is a specific dollar allowance for possible unforeseeable elements that may occur within the scope of a project.</w:t>
            </w:r>
          </w:p>
        </w:tc>
      </w:tr>
      <w:tr w:rsidR="00F935B1" w14:paraId="5B285525" w14:textId="77777777" w:rsidTr="0083602C">
        <w:trPr>
          <w:tblCellSpacing w:w="15" w:type="dxa"/>
        </w:trPr>
        <w:tc>
          <w:tcPr>
            <w:tcW w:w="3656" w:type="dxa"/>
          </w:tcPr>
          <w:p w14:paraId="14564C76" w14:textId="77777777" w:rsidR="00F935B1" w:rsidRPr="000A4491" w:rsidRDefault="00F935B1" w:rsidP="0083602C">
            <w:pPr>
              <w:rPr>
                <w:rFonts w:ascii="Verdana" w:hAnsi="Verdana"/>
                <w:sz w:val="20"/>
              </w:rPr>
            </w:pPr>
            <w:r w:rsidRPr="000A4491">
              <w:rPr>
                <w:rFonts w:ascii="Verdana" w:hAnsi="Verdana"/>
                <w:sz w:val="20"/>
              </w:rPr>
              <w:t>Copper-to-fiber</w:t>
            </w:r>
            <w:r w:rsidRPr="000A4491">
              <w:rPr>
                <w:rFonts w:ascii="Verdana" w:hAnsi="Verdana"/>
                <w:sz w:val="20"/>
              </w:rPr>
              <w:fldChar w:fldCharType="begin"/>
            </w:r>
            <w:r w:rsidRPr="000A4491">
              <w:rPr>
                <w:rFonts w:ascii="Verdana" w:hAnsi="Verdana"/>
                <w:sz w:val="20"/>
              </w:rPr>
              <w:instrText>xe "Copper-To-Fiber Converter"</w:instrText>
            </w:r>
            <w:r w:rsidRPr="000A4491">
              <w:rPr>
                <w:rFonts w:ascii="Verdana" w:hAnsi="Verdana"/>
                <w:sz w:val="20"/>
              </w:rPr>
              <w:fldChar w:fldCharType="end"/>
            </w:r>
            <w:r w:rsidRPr="000A4491">
              <w:rPr>
                <w:rFonts w:ascii="Verdana" w:hAnsi="Verdana"/>
                <w:sz w:val="20"/>
              </w:rPr>
              <w:t xml:space="preserve"> (TX-to-FX</w:t>
            </w:r>
            <w:r w:rsidRPr="000A4491">
              <w:rPr>
                <w:rFonts w:ascii="Verdana" w:hAnsi="Verdana"/>
                <w:sz w:val="20"/>
              </w:rPr>
              <w:fldChar w:fldCharType="begin"/>
            </w:r>
            <w:r w:rsidRPr="000A4491">
              <w:rPr>
                <w:rFonts w:ascii="Verdana" w:hAnsi="Verdana"/>
                <w:sz w:val="20"/>
              </w:rPr>
              <w:instrText>xe "TX-to-FX"</w:instrText>
            </w:r>
            <w:r w:rsidRPr="000A4491">
              <w:rPr>
                <w:rFonts w:ascii="Verdana" w:hAnsi="Verdana"/>
                <w:sz w:val="20"/>
              </w:rPr>
              <w:fldChar w:fldCharType="end"/>
            </w:r>
            <w:r w:rsidRPr="000A4491">
              <w:rPr>
                <w:rFonts w:ascii="Verdana" w:hAnsi="Verdana"/>
                <w:sz w:val="20"/>
              </w:rPr>
              <w:t xml:space="preserve">) Converter </w:t>
            </w:r>
            <w:r w:rsidRPr="000A4491">
              <w:rPr>
                <w:rFonts w:ascii="Verdana" w:hAnsi="Verdana"/>
                <w:sz w:val="20"/>
              </w:rPr>
              <w:br/>
              <w:t>(</w:t>
            </w:r>
            <w:hyperlink w:anchor="aaInterfacesGatewaysAntennas" w:history="1">
              <w:r w:rsidRPr="000A4491">
                <w:rPr>
                  <w:rStyle w:val="Hyperlink"/>
                  <w:rFonts w:ascii="Verdana" w:hAnsi="Verdana"/>
                  <w:sz w:val="20"/>
                </w:rPr>
                <w:t>Interfaces</w:t>
              </w:r>
              <w:r w:rsidRPr="000A4491">
                <w:rPr>
                  <w:rFonts w:ascii="Verdana" w:hAnsi="Verdana"/>
                  <w:sz w:val="20"/>
                </w:rPr>
                <w:fldChar w:fldCharType="begin"/>
              </w:r>
              <w:r w:rsidRPr="000A4491">
                <w:rPr>
                  <w:rFonts w:ascii="Verdana" w:hAnsi="Verdana"/>
                  <w:sz w:val="20"/>
                </w:rPr>
                <w:instrText>xe "</w:instrText>
              </w:r>
              <w:r w:rsidRPr="000A4491">
                <w:rPr>
                  <w:rFonts w:ascii="Verdana" w:hAnsi="Verdana"/>
                  <w:bCs/>
                  <w:sz w:val="20"/>
                </w:rPr>
                <w:instrText>Interfaces</w:instrText>
              </w:r>
              <w:r w:rsidRPr="000A4491">
                <w:rPr>
                  <w:rFonts w:ascii="Verdana" w:hAnsi="Verdana"/>
                  <w:sz w:val="20"/>
                </w:rPr>
                <w:instrText>"</w:instrText>
              </w:r>
              <w:r w:rsidRPr="000A4491">
                <w:rPr>
                  <w:rFonts w:ascii="Verdana" w:hAnsi="Verdana"/>
                  <w:sz w:val="20"/>
                </w:rPr>
                <w:fldChar w:fldCharType="end"/>
              </w:r>
            </w:hyperlink>
            <w:r w:rsidRPr="000A4491">
              <w:rPr>
                <w:rFonts w:ascii="Verdana" w:hAnsi="Verdana"/>
                <w:sz w:val="20"/>
              </w:rPr>
              <w:t>)</w:t>
            </w:r>
          </w:p>
        </w:tc>
        <w:tc>
          <w:tcPr>
            <w:tcW w:w="5441" w:type="dxa"/>
          </w:tcPr>
          <w:p w14:paraId="4DC0090F" w14:textId="77777777" w:rsidR="00F935B1" w:rsidRPr="000A4491" w:rsidRDefault="00F935B1" w:rsidP="0083602C">
            <w:pPr>
              <w:pStyle w:val="NormalWeb"/>
              <w:spacing w:before="0" w:beforeAutospacing="0" w:after="0"/>
              <w:rPr>
                <w:rFonts w:ascii="Verdana" w:hAnsi="Verdana"/>
                <w:sz w:val="20"/>
              </w:rPr>
            </w:pPr>
            <w:r w:rsidRPr="000A4491">
              <w:rPr>
                <w:rFonts w:ascii="Verdana" w:hAnsi="Verdana"/>
                <w:sz w:val="20"/>
              </w:rPr>
              <w:t>A Copper-to-fiber</w:t>
            </w:r>
            <w:r w:rsidRPr="000A4491">
              <w:rPr>
                <w:rFonts w:ascii="Verdana" w:hAnsi="Verdana"/>
                <w:sz w:val="20"/>
              </w:rPr>
              <w:fldChar w:fldCharType="begin"/>
            </w:r>
            <w:r w:rsidRPr="000A4491">
              <w:rPr>
                <w:rFonts w:ascii="Verdana" w:hAnsi="Verdana"/>
                <w:sz w:val="20"/>
              </w:rPr>
              <w:instrText>xe "Fiber"</w:instrText>
            </w:r>
            <w:r w:rsidRPr="000A4491">
              <w:rPr>
                <w:rFonts w:ascii="Verdana" w:hAnsi="Verdana"/>
                <w:sz w:val="20"/>
              </w:rPr>
              <w:fldChar w:fldCharType="end"/>
            </w:r>
            <w:r w:rsidRPr="000A4491">
              <w:rPr>
                <w:rFonts w:ascii="Verdana" w:hAnsi="Verdana"/>
                <w:sz w:val="20"/>
              </w:rPr>
              <w:t xml:space="preserve"> converter, also known as a TX-to-FX</w:t>
            </w:r>
            <w:r w:rsidRPr="000A4491">
              <w:rPr>
                <w:rFonts w:ascii="Verdana" w:hAnsi="Verdana"/>
                <w:sz w:val="20"/>
              </w:rPr>
              <w:fldChar w:fldCharType="begin"/>
            </w:r>
            <w:r w:rsidRPr="000A4491">
              <w:rPr>
                <w:rFonts w:ascii="Verdana" w:hAnsi="Verdana"/>
                <w:sz w:val="20"/>
              </w:rPr>
              <w:instrText>xe "TX-to-FX"</w:instrText>
            </w:r>
            <w:r w:rsidRPr="000A4491">
              <w:rPr>
                <w:rFonts w:ascii="Verdana" w:hAnsi="Verdana"/>
                <w:sz w:val="20"/>
              </w:rPr>
              <w:fldChar w:fldCharType="end"/>
            </w:r>
            <w:r w:rsidRPr="000A4491">
              <w:rPr>
                <w:rFonts w:ascii="Verdana" w:hAnsi="Verdana"/>
                <w:sz w:val="20"/>
              </w:rPr>
              <w:t xml:space="preserve"> converter, is a device that converts a copper</w:t>
            </w:r>
            <w:r w:rsidRPr="000A4491">
              <w:rPr>
                <w:rFonts w:ascii="Verdana" w:hAnsi="Verdana"/>
                <w:sz w:val="20"/>
              </w:rPr>
              <w:fldChar w:fldCharType="begin"/>
            </w:r>
            <w:r w:rsidRPr="000A4491">
              <w:rPr>
                <w:rFonts w:ascii="Verdana" w:hAnsi="Verdana"/>
                <w:sz w:val="20"/>
              </w:rPr>
              <w:instrText>xe "C</w:instrText>
            </w:r>
            <w:r w:rsidRPr="000A4491">
              <w:rPr>
                <w:rFonts w:ascii="Verdana" w:hAnsi="Verdana"/>
                <w:bCs/>
                <w:sz w:val="20"/>
              </w:rPr>
              <w:instrText>opper</w:instrText>
            </w:r>
            <w:r w:rsidRPr="000A4491">
              <w:rPr>
                <w:rFonts w:ascii="Verdana" w:hAnsi="Verdana"/>
                <w:sz w:val="20"/>
              </w:rPr>
              <w:instrText>"</w:instrText>
            </w:r>
            <w:r w:rsidRPr="000A4491">
              <w:rPr>
                <w:rFonts w:ascii="Verdana" w:hAnsi="Verdana"/>
                <w:sz w:val="20"/>
              </w:rPr>
              <w:fldChar w:fldCharType="end"/>
            </w:r>
            <w:r w:rsidRPr="000A4491">
              <w:rPr>
                <w:rFonts w:ascii="Verdana" w:hAnsi="Verdana"/>
                <w:sz w:val="20"/>
              </w:rPr>
              <w:t xml:space="preserve"> connection to a fiber optic connection.</w:t>
            </w:r>
          </w:p>
        </w:tc>
      </w:tr>
      <w:tr w:rsidR="00F935B1" w14:paraId="4440AA4F" w14:textId="77777777" w:rsidTr="0083602C">
        <w:trPr>
          <w:tblCellSpacing w:w="15" w:type="dxa"/>
        </w:trPr>
        <w:tc>
          <w:tcPr>
            <w:tcW w:w="3656" w:type="dxa"/>
          </w:tcPr>
          <w:p w14:paraId="35575E55" w14:textId="77777777" w:rsidR="00F935B1" w:rsidRPr="000A4491" w:rsidRDefault="00F935B1" w:rsidP="0083602C">
            <w:pPr>
              <w:rPr>
                <w:rFonts w:ascii="Verdana" w:hAnsi="Verdana"/>
                <w:sz w:val="20"/>
              </w:rPr>
            </w:pPr>
            <w:r w:rsidRPr="000A4491">
              <w:rPr>
                <w:rFonts w:ascii="Verdana" w:hAnsi="Verdana"/>
                <w:sz w:val="20"/>
              </w:rPr>
              <w:t xml:space="preserve">Couplers </w:t>
            </w:r>
            <w:r w:rsidRPr="000A4491">
              <w:rPr>
                <w:rFonts w:ascii="Verdana" w:hAnsi="Verdana"/>
                <w:sz w:val="20"/>
              </w:rPr>
              <w:br/>
              <w:t>(</w:t>
            </w:r>
            <w:hyperlink w:anchor="aaCablingConnectors" w:history="1">
              <w:r w:rsidRPr="000A4491">
                <w:rPr>
                  <w:rStyle w:val="Hyperlink"/>
                  <w:rFonts w:ascii="Verdana" w:hAnsi="Verdana"/>
                  <w:sz w:val="20"/>
                </w:rPr>
                <w:t>Cabling</w:t>
              </w:r>
              <w:r w:rsidRPr="000A4491">
                <w:rPr>
                  <w:rFonts w:ascii="Verdana" w:hAnsi="Verdana"/>
                  <w:sz w:val="20"/>
                </w:rPr>
                <w:fldChar w:fldCharType="begin"/>
              </w:r>
              <w:r w:rsidRPr="000A4491">
                <w:rPr>
                  <w:rFonts w:ascii="Verdana" w:hAnsi="Verdana"/>
                  <w:sz w:val="20"/>
                </w:rPr>
                <w:instrText>xe "</w:instrText>
              </w:r>
              <w:r w:rsidRPr="000A4491">
                <w:rPr>
                  <w:rStyle w:val="Hyperlink"/>
                  <w:rFonts w:ascii="Verdana" w:hAnsi="Verdana"/>
                  <w:bCs/>
                  <w:sz w:val="20"/>
                </w:rPr>
                <w:instrText>Cabling</w:instrText>
              </w:r>
              <w:r w:rsidRPr="000A4491">
                <w:rPr>
                  <w:rFonts w:ascii="Verdana" w:hAnsi="Verdana"/>
                  <w:sz w:val="20"/>
                </w:rPr>
                <w:instrText>"</w:instrText>
              </w:r>
              <w:r w:rsidRPr="000A4491">
                <w:rPr>
                  <w:rFonts w:ascii="Verdana" w:hAnsi="Verdana"/>
                  <w:sz w:val="20"/>
                </w:rPr>
                <w:fldChar w:fldCharType="end"/>
              </w:r>
            </w:hyperlink>
            <w:r w:rsidRPr="000A4491">
              <w:rPr>
                <w:rFonts w:ascii="Verdana" w:hAnsi="Verdana"/>
                <w:sz w:val="20"/>
              </w:rPr>
              <w:t>)</w:t>
            </w:r>
          </w:p>
        </w:tc>
        <w:tc>
          <w:tcPr>
            <w:tcW w:w="5441" w:type="dxa"/>
          </w:tcPr>
          <w:p w14:paraId="73CAC050" w14:textId="77777777" w:rsidR="00F935B1" w:rsidRPr="000A4491" w:rsidRDefault="00F935B1" w:rsidP="0083602C">
            <w:pPr>
              <w:pStyle w:val="NormalWeb"/>
              <w:spacing w:before="0" w:beforeAutospacing="0" w:after="0"/>
              <w:rPr>
                <w:rFonts w:ascii="Verdana" w:hAnsi="Verdana"/>
                <w:sz w:val="20"/>
              </w:rPr>
            </w:pPr>
            <w:r w:rsidRPr="000A4491">
              <w:rPr>
                <w:rFonts w:ascii="Verdana" w:hAnsi="Verdana"/>
                <w:sz w:val="20"/>
              </w:rPr>
              <w:t>Couplers are</w:t>
            </w:r>
            <w:r w:rsidRPr="000A4491">
              <w:rPr>
                <w:rFonts w:ascii="Verdana" w:hAnsi="Verdana"/>
                <w:sz w:val="20"/>
              </w:rPr>
              <w:fldChar w:fldCharType="begin"/>
            </w:r>
            <w:r w:rsidRPr="000A4491">
              <w:rPr>
                <w:rFonts w:ascii="Verdana" w:hAnsi="Verdana"/>
                <w:sz w:val="20"/>
              </w:rPr>
              <w:instrText>xe "Couplers"</w:instrText>
            </w:r>
            <w:r w:rsidRPr="000A4491">
              <w:rPr>
                <w:rFonts w:ascii="Verdana" w:hAnsi="Verdana"/>
                <w:sz w:val="20"/>
              </w:rPr>
              <w:fldChar w:fldCharType="end"/>
            </w:r>
            <w:r w:rsidRPr="000A4491">
              <w:rPr>
                <w:rFonts w:ascii="Verdana" w:hAnsi="Verdana"/>
                <w:sz w:val="20"/>
              </w:rPr>
              <w:t xml:space="preserve"> passive devices that accept one input broadband signal and replicate it onto another or multiple outputs.</w:t>
            </w:r>
          </w:p>
        </w:tc>
      </w:tr>
      <w:tr w:rsidR="00F935B1" w14:paraId="02E056DD" w14:textId="77777777" w:rsidTr="0083602C">
        <w:trPr>
          <w:tblCellSpacing w:w="15" w:type="dxa"/>
        </w:trPr>
        <w:tc>
          <w:tcPr>
            <w:tcW w:w="3656" w:type="dxa"/>
          </w:tcPr>
          <w:p w14:paraId="7FD26C17" w14:textId="77777777" w:rsidR="00F935B1" w:rsidRPr="000A4491" w:rsidRDefault="00F935B1" w:rsidP="0083602C">
            <w:pPr>
              <w:rPr>
                <w:rFonts w:ascii="Verdana" w:hAnsi="Verdana"/>
                <w:sz w:val="20"/>
              </w:rPr>
            </w:pPr>
            <w:r w:rsidRPr="000A4491">
              <w:rPr>
                <w:rFonts w:ascii="Verdana" w:hAnsi="Verdana"/>
                <w:sz w:val="20"/>
              </w:rPr>
              <w:t>Custom Calling Services</w:t>
            </w:r>
          </w:p>
          <w:p w14:paraId="4689B4ED" w14:textId="77777777" w:rsidR="00F935B1" w:rsidRPr="000A4491" w:rsidRDefault="00F935B1" w:rsidP="0083602C">
            <w:pPr>
              <w:rPr>
                <w:rFonts w:ascii="Verdana" w:hAnsi="Verdana"/>
                <w:sz w:val="20"/>
              </w:rPr>
            </w:pPr>
            <w:r w:rsidRPr="000A4491">
              <w:rPr>
                <w:rFonts w:ascii="Verdana" w:hAnsi="Verdana"/>
                <w:sz w:val="20"/>
              </w:rPr>
              <w:t>(</w:t>
            </w:r>
            <w:hyperlink w:anchor="aattTelephoneComponents" w:history="1">
              <w:r w:rsidRPr="000A4491">
                <w:rPr>
                  <w:rStyle w:val="Hyperlink"/>
                  <w:rFonts w:ascii="Verdana" w:hAnsi="Verdana"/>
                  <w:sz w:val="20"/>
                </w:rPr>
                <w:t>Telephone Service Components</w:t>
              </w:r>
              <w:r w:rsidRPr="000A4491">
                <w:rPr>
                  <w:rFonts w:ascii="Verdana" w:hAnsi="Verdana"/>
                  <w:sz w:val="20"/>
                </w:rPr>
                <w:fldChar w:fldCharType="begin"/>
              </w:r>
              <w:r w:rsidRPr="000A4491">
                <w:rPr>
                  <w:rFonts w:ascii="Verdana" w:hAnsi="Verdana"/>
                  <w:sz w:val="20"/>
                </w:rPr>
                <w:instrText>xe "Telephone Service Components"</w:instrText>
              </w:r>
              <w:r w:rsidRPr="000A4491">
                <w:rPr>
                  <w:rFonts w:ascii="Verdana" w:hAnsi="Verdana"/>
                  <w:sz w:val="20"/>
                </w:rPr>
                <w:fldChar w:fldCharType="end"/>
              </w:r>
            </w:hyperlink>
            <w:r w:rsidRPr="000A4491">
              <w:rPr>
                <w:rFonts w:ascii="Verdana" w:hAnsi="Verdana"/>
                <w:sz w:val="20"/>
              </w:rPr>
              <w:t>)</w:t>
            </w:r>
          </w:p>
        </w:tc>
        <w:tc>
          <w:tcPr>
            <w:tcW w:w="5441" w:type="dxa"/>
          </w:tcPr>
          <w:p w14:paraId="2BEECAA1" w14:textId="77777777" w:rsidR="00F935B1" w:rsidRPr="000A4491" w:rsidRDefault="00F935B1" w:rsidP="0083602C">
            <w:pPr>
              <w:rPr>
                <w:rFonts w:ascii="Verdana" w:hAnsi="Verdana"/>
                <w:sz w:val="20"/>
              </w:rPr>
            </w:pPr>
            <w:r w:rsidRPr="000A4491">
              <w:rPr>
                <w:rFonts w:ascii="Verdana" w:hAnsi="Verdana"/>
                <w:sz w:val="20"/>
              </w:rPr>
              <w:t>Custom calling services</w:t>
            </w:r>
            <w:r w:rsidRPr="000A4491">
              <w:rPr>
                <w:rFonts w:ascii="Verdana" w:hAnsi="Verdana"/>
                <w:sz w:val="20"/>
              </w:rPr>
              <w:fldChar w:fldCharType="begin"/>
            </w:r>
            <w:r w:rsidRPr="000A4491">
              <w:rPr>
                <w:rFonts w:ascii="Verdana" w:hAnsi="Verdana"/>
                <w:sz w:val="20"/>
              </w:rPr>
              <w:instrText>xe "Custom Calling Services"</w:instrText>
            </w:r>
            <w:r w:rsidRPr="000A4491">
              <w:rPr>
                <w:rFonts w:ascii="Verdana" w:hAnsi="Verdana"/>
                <w:sz w:val="20"/>
              </w:rPr>
              <w:fldChar w:fldCharType="end"/>
            </w:r>
            <w:r w:rsidRPr="000A4491">
              <w:rPr>
                <w:rFonts w:ascii="Verdana" w:hAnsi="Verdana"/>
                <w:sz w:val="20"/>
              </w:rPr>
              <w:t xml:space="preserve"> extend the features available with telephone service</w:t>
            </w:r>
            <w:r w:rsidRPr="000A4491">
              <w:rPr>
                <w:rFonts w:ascii="Verdana" w:hAnsi="Verdana"/>
                <w:sz w:val="20"/>
              </w:rPr>
              <w:fldChar w:fldCharType="begin"/>
            </w:r>
            <w:r w:rsidRPr="000A4491">
              <w:rPr>
                <w:rFonts w:ascii="Verdana" w:hAnsi="Verdana"/>
                <w:sz w:val="20"/>
              </w:rPr>
              <w:instrText>xe "Telephone</w:instrText>
            </w:r>
            <w:r w:rsidRPr="000A4491">
              <w:rPr>
                <w:rFonts w:ascii="Verdana" w:hAnsi="Verdana"/>
                <w:bCs/>
                <w:sz w:val="20"/>
              </w:rPr>
              <w:instrText xml:space="preserve"> Service</w:instrText>
            </w:r>
            <w:r w:rsidRPr="000A4491">
              <w:rPr>
                <w:rFonts w:ascii="Verdana" w:hAnsi="Verdana"/>
                <w:sz w:val="20"/>
              </w:rPr>
              <w:instrText>"</w:instrText>
            </w:r>
            <w:r w:rsidRPr="000A4491">
              <w:rPr>
                <w:rFonts w:ascii="Verdana" w:hAnsi="Verdana"/>
                <w:sz w:val="20"/>
              </w:rPr>
              <w:fldChar w:fldCharType="end"/>
            </w:r>
            <w:r w:rsidRPr="000A4491">
              <w:rPr>
                <w:rFonts w:ascii="Verdana" w:hAnsi="Verdana"/>
                <w:sz w:val="20"/>
              </w:rPr>
              <w:t>.  Features available include (but are not necessarily limited to) call waiting</w:t>
            </w:r>
            <w:r w:rsidRPr="000A4491">
              <w:rPr>
                <w:rFonts w:ascii="Verdana" w:hAnsi="Verdana"/>
                <w:sz w:val="20"/>
              </w:rPr>
              <w:fldChar w:fldCharType="begin"/>
            </w:r>
            <w:r w:rsidRPr="000A4491">
              <w:rPr>
                <w:rFonts w:ascii="Verdana" w:hAnsi="Verdana"/>
                <w:sz w:val="20"/>
              </w:rPr>
              <w:instrText>xe "Call Waiting"</w:instrText>
            </w:r>
            <w:r w:rsidRPr="000A4491">
              <w:rPr>
                <w:rFonts w:ascii="Verdana" w:hAnsi="Verdana"/>
                <w:sz w:val="20"/>
              </w:rPr>
              <w:fldChar w:fldCharType="end"/>
            </w:r>
            <w:r w:rsidRPr="000A4491">
              <w:rPr>
                <w:rFonts w:ascii="Verdana" w:hAnsi="Verdana"/>
                <w:sz w:val="20"/>
              </w:rPr>
              <w:t>, 3-way calling</w:t>
            </w:r>
            <w:r w:rsidRPr="000A4491">
              <w:rPr>
                <w:rFonts w:ascii="Verdana" w:hAnsi="Verdana"/>
                <w:sz w:val="20"/>
              </w:rPr>
              <w:fldChar w:fldCharType="begin"/>
            </w:r>
            <w:r w:rsidRPr="000A4491">
              <w:rPr>
                <w:rFonts w:ascii="Verdana" w:hAnsi="Verdana"/>
                <w:sz w:val="20"/>
              </w:rPr>
              <w:instrText>xe "3-Way Calling"</w:instrText>
            </w:r>
            <w:r w:rsidRPr="000A4491">
              <w:rPr>
                <w:rFonts w:ascii="Verdana" w:hAnsi="Verdana"/>
                <w:sz w:val="20"/>
              </w:rPr>
              <w:fldChar w:fldCharType="end"/>
            </w:r>
            <w:r w:rsidRPr="000A4491">
              <w:rPr>
                <w:rFonts w:ascii="Verdana" w:hAnsi="Verdana"/>
                <w:sz w:val="20"/>
              </w:rPr>
              <w:t>, speed calling</w:t>
            </w:r>
            <w:r w:rsidRPr="000A4491">
              <w:rPr>
                <w:rFonts w:ascii="Verdana" w:hAnsi="Verdana"/>
                <w:sz w:val="20"/>
              </w:rPr>
              <w:fldChar w:fldCharType="begin"/>
            </w:r>
            <w:r w:rsidRPr="000A4491">
              <w:rPr>
                <w:rFonts w:ascii="Verdana" w:hAnsi="Verdana"/>
                <w:sz w:val="20"/>
              </w:rPr>
              <w:instrText>xe "Speed Calling"</w:instrText>
            </w:r>
            <w:r w:rsidRPr="000A4491">
              <w:rPr>
                <w:rFonts w:ascii="Verdana" w:hAnsi="Verdana"/>
                <w:sz w:val="20"/>
              </w:rPr>
              <w:fldChar w:fldCharType="end"/>
            </w:r>
            <w:r w:rsidRPr="000A4491">
              <w:rPr>
                <w:rFonts w:ascii="Verdana" w:hAnsi="Verdana"/>
                <w:sz w:val="20"/>
              </w:rPr>
              <w:t>, distinctive ring</w:t>
            </w:r>
            <w:r w:rsidRPr="000A4491">
              <w:rPr>
                <w:rFonts w:ascii="Verdana" w:hAnsi="Verdana"/>
                <w:sz w:val="20"/>
              </w:rPr>
              <w:fldChar w:fldCharType="begin"/>
            </w:r>
            <w:r w:rsidRPr="000A4491">
              <w:rPr>
                <w:rFonts w:ascii="Verdana" w:hAnsi="Verdana"/>
                <w:sz w:val="20"/>
              </w:rPr>
              <w:instrText>xe "Distinctive Ring"</w:instrText>
            </w:r>
            <w:r w:rsidRPr="000A4491">
              <w:rPr>
                <w:rFonts w:ascii="Verdana" w:hAnsi="Verdana"/>
                <w:sz w:val="20"/>
              </w:rPr>
              <w:fldChar w:fldCharType="end"/>
            </w:r>
            <w:r w:rsidRPr="000A4491">
              <w:rPr>
                <w:rFonts w:ascii="Verdana" w:hAnsi="Verdana"/>
                <w:sz w:val="20"/>
              </w:rPr>
              <w:t>, and call forwarding</w:t>
            </w:r>
            <w:r w:rsidRPr="000A4491">
              <w:rPr>
                <w:rFonts w:ascii="Verdana" w:hAnsi="Verdana"/>
                <w:sz w:val="20"/>
              </w:rPr>
              <w:fldChar w:fldCharType="begin"/>
            </w:r>
            <w:r w:rsidRPr="000A4491">
              <w:rPr>
                <w:rFonts w:ascii="Verdana" w:hAnsi="Verdana"/>
                <w:sz w:val="20"/>
              </w:rPr>
              <w:instrText>xe "Call Forwarding"</w:instrText>
            </w:r>
            <w:r w:rsidRPr="000A4491">
              <w:rPr>
                <w:rFonts w:ascii="Verdana" w:hAnsi="Verdana"/>
                <w:sz w:val="20"/>
              </w:rPr>
              <w:fldChar w:fldCharType="end"/>
            </w:r>
            <w:r w:rsidRPr="000A4491">
              <w:rPr>
                <w:rFonts w:ascii="Verdana" w:hAnsi="Verdana"/>
                <w:sz w:val="20"/>
              </w:rPr>
              <w:t>.</w:t>
            </w:r>
          </w:p>
        </w:tc>
      </w:tr>
      <w:tr w:rsidR="00F935B1" w14:paraId="0AF89D26" w14:textId="77777777" w:rsidTr="0083602C">
        <w:trPr>
          <w:tblCellSpacing w:w="15" w:type="dxa"/>
        </w:trPr>
        <w:tc>
          <w:tcPr>
            <w:tcW w:w="3656" w:type="dxa"/>
          </w:tcPr>
          <w:p w14:paraId="7370FDA0" w14:textId="77777777" w:rsidR="00F935B1" w:rsidRPr="000A4491" w:rsidRDefault="00F935B1" w:rsidP="0083602C">
            <w:pPr>
              <w:rPr>
                <w:rFonts w:ascii="Verdana" w:hAnsi="Verdana"/>
                <w:sz w:val="20"/>
                <w:lang w:val="de-DE"/>
              </w:rPr>
            </w:pPr>
            <w:r w:rsidRPr="000A4491">
              <w:rPr>
                <w:rFonts w:ascii="Verdana" w:hAnsi="Verdana"/>
                <w:sz w:val="20"/>
                <w:lang w:val="de-DE"/>
              </w:rPr>
              <w:t>Dark Fiber</w:t>
            </w:r>
            <w:r w:rsidRPr="000A4491">
              <w:rPr>
                <w:rFonts w:ascii="Verdana" w:hAnsi="Verdana"/>
                <w:sz w:val="20"/>
                <w:lang w:val="de-DE"/>
              </w:rPr>
              <w:fldChar w:fldCharType="begin"/>
            </w:r>
            <w:r w:rsidRPr="000A4491">
              <w:rPr>
                <w:rFonts w:ascii="Verdana" w:hAnsi="Verdana"/>
                <w:sz w:val="20"/>
                <w:lang w:val="de-DE"/>
              </w:rPr>
              <w:instrText>xe "</w:instrText>
            </w:r>
            <w:r w:rsidRPr="000A4491">
              <w:rPr>
                <w:rFonts w:ascii="Verdana" w:hAnsi="Verdana" w:cs="Verdana"/>
                <w:bCs/>
                <w:sz w:val="20"/>
                <w:lang w:val="de-DE"/>
              </w:rPr>
              <w:instrText>Fiber</w:instrText>
            </w:r>
            <w:r w:rsidRPr="000A4491">
              <w:rPr>
                <w:rFonts w:ascii="Verdana" w:hAnsi="Verdana"/>
                <w:sz w:val="20"/>
                <w:lang w:val="de-DE"/>
              </w:rPr>
              <w:instrText>"</w:instrText>
            </w:r>
            <w:r w:rsidRPr="000A4491">
              <w:rPr>
                <w:rFonts w:ascii="Verdana" w:hAnsi="Verdana"/>
                <w:sz w:val="20"/>
                <w:lang w:val="de-DE"/>
              </w:rPr>
              <w:fldChar w:fldCharType="end"/>
            </w:r>
            <w:r w:rsidRPr="000A4491">
              <w:rPr>
                <w:rFonts w:ascii="Verdana" w:hAnsi="Verdana"/>
                <w:sz w:val="20"/>
                <w:lang w:val="de-DE"/>
              </w:rPr>
              <w:t xml:space="preserve"> Service</w:t>
            </w:r>
          </w:p>
          <w:p w14:paraId="50BEDCCF" w14:textId="77777777" w:rsidR="00F935B1" w:rsidRPr="000A4491" w:rsidRDefault="00F935B1" w:rsidP="0083602C">
            <w:pPr>
              <w:rPr>
                <w:rFonts w:ascii="Verdana" w:hAnsi="Verdana"/>
                <w:sz w:val="20"/>
                <w:lang w:val="de-DE"/>
              </w:rPr>
            </w:pPr>
            <w:r w:rsidRPr="000A4491" w:rsidDel="00C43849">
              <w:rPr>
                <w:rFonts w:ascii="Verdana" w:hAnsi="Verdana"/>
                <w:sz w:val="20"/>
                <w:lang w:val="de-DE"/>
              </w:rPr>
              <w:t xml:space="preserve"> </w:t>
            </w:r>
            <w:r w:rsidRPr="000A4491">
              <w:rPr>
                <w:rFonts w:ascii="Verdana" w:hAnsi="Verdana"/>
                <w:sz w:val="20"/>
                <w:lang w:val="de-DE"/>
              </w:rPr>
              <w:t>(</w:t>
            </w:r>
            <w:hyperlink w:anchor="LitorDarkFiber" w:history="1">
              <w:r w:rsidRPr="000A4491">
                <w:rPr>
                  <w:rStyle w:val="Hyperlink"/>
                  <w:rFonts w:ascii="Verdana" w:hAnsi="Verdana"/>
                  <w:sz w:val="20"/>
                  <w:lang w:val="de-DE"/>
                </w:rPr>
                <w:t>Dark Fiber</w:t>
              </w:r>
              <w:r w:rsidRPr="000A4491">
                <w:rPr>
                  <w:rFonts w:ascii="Verdana" w:hAnsi="Verdana"/>
                  <w:sz w:val="20"/>
                  <w:lang w:val="de-DE"/>
                </w:rPr>
                <w:fldChar w:fldCharType="begin"/>
              </w:r>
              <w:r w:rsidRPr="000A4491">
                <w:rPr>
                  <w:rFonts w:ascii="Verdana" w:hAnsi="Verdana"/>
                  <w:sz w:val="20"/>
                  <w:lang w:val="de-DE"/>
                </w:rPr>
                <w:instrText>xe "</w:instrText>
              </w:r>
              <w:r w:rsidRPr="000A4491">
                <w:rPr>
                  <w:rFonts w:ascii="Verdana" w:hAnsi="Verdana" w:cs="Verdana"/>
                  <w:bCs/>
                  <w:sz w:val="20"/>
                  <w:lang w:val="de-DE"/>
                </w:rPr>
                <w:instrText>Fiber</w:instrText>
              </w:r>
              <w:r w:rsidRPr="000A4491">
                <w:rPr>
                  <w:rFonts w:ascii="Verdana" w:hAnsi="Verdana"/>
                  <w:sz w:val="20"/>
                  <w:lang w:val="de-DE"/>
                </w:rPr>
                <w:instrText>"</w:instrText>
              </w:r>
              <w:r w:rsidRPr="000A4491">
                <w:rPr>
                  <w:rFonts w:ascii="Verdana" w:hAnsi="Verdana"/>
                  <w:sz w:val="20"/>
                  <w:lang w:val="de-DE"/>
                </w:rPr>
                <w:fldChar w:fldCharType="end"/>
              </w:r>
            </w:hyperlink>
            <w:r w:rsidRPr="000A4491">
              <w:rPr>
                <w:rFonts w:ascii="Verdana" w:hAnsi="Verdana"/>
                <w:sz w:val="20"/>
                <w:lang w:val="de-DE"/>
              </w:rPr>
              <w:t>)</w:t>
            </w:r>
          </w:p>
          <w:p w14:paraId="4529E15E" w14:textId="77777777" w:rsidR="00F935B1" w:rsidRPr="000A4491" w:rsidRDefault="00F935B1" w:rsidP="0083602C">
            <w:pPr>
              <w:rPr>
                <w:rFonts w:ascii="Verdana" w:hAnsi="Verdana"/>
                <w:sz w:val="20"/>
                <w:lang w:val="de-DE"/>
              </w:rPr>
            </w:pPr>
          </w:p>
        </w:tc>
        <w:tc>
          <w:tcPr>
            <w:tcW w:w="5441" w:type="dxa"/>
          </w:tcPr>
          <w:p w14:paraId="72B7A9C3" w14:textId="77777777" w:rsidR="00F935B1" w:rsidRPr="000A4491" w:rsidRDefault="00F935B1" w:rsidP="0083602C">
            <w:pPr>
              <w:pStyle w:val="NormalWeb"/>
              <w:spacing w:before="0" w:beforeAutospacing="0" w:after="0"/>
              <w:rPr>
                <w:rFonts w:ascii="Verdana" w:hAnsi="Verdana"/>
                <w:sz w:val="20"/>
              </w:rPr>
            </w:pPr>
            <w:r w:rsidRPr="000A4491">
              <w:rPr>
                <w:rFonts w:ascii="Verdana" w:hAnsi="Verdana"/>
                <w:bCs/>
                <w:sz w:val="20"/>
              </w:rPr>
              <w:t>Dark fiber</w:t>
            </w:r>
            <w:r w:rsidRPr="000A4491">
              <w:rPr>
                <w:rFonts w:ascii="Verdana" w:hAnsi="Verdana"/>
                <w:sz w:val="20"/>
              </w:rPr>
              <w:fldChar w:fldCharType="begin"/>
            </w:r>
            <w:r w:rsidRPr="000A4491">
              <w:rPr>
                <w:rFonts w:ascii="Verdana" w:hAnsi="Verdana"/>
                <w:sz w:val="20"/>
              </w:rPr>
              <w:instrText>xe "</w:instrText>
            </w:r>
            <w:r w:rsidRPr="000A4491">
              <w:rPr>
                <w:rFonts w:ascii="Verdana" w:hAnsi="Verdana"/>
                <w:bCs/>
                <w:sz w:val="20"/>
              </w:rPr>
              <w:instrText>Dark Fiber</w:instrText>
            </w:r>
            <w:r w:rsidRPr="000A4491">
              <w:rPr>
                <w:rFonts w:ascii="Verdana" w:hAnsi="Verdana"/>
                <w:sz w:val="20"/>
              </w:rPr>
              <w:instrText>"</w:instrText>
            </w:r>
            <w:r w:rsidRPr="000A4491">
              <w:rPr>
                <w:rFonts w:ascii="Verdana" w:hAnsi="Verdana"/>
                <w:sz w:val="20"/>
              </w:rPr>
              <w:fldChar w:fldCharType="end"/>
            </w:r>
            <w:r w:rsidRPr="000A4491">
              <w:rPr>
                <w:rFonts w:ascii="Verdana" w:hAnsi="Verdana"/>
                <w:bCs/>
                <w:sz w:val="20"/>
              </w:rPr>
              <w:t xml:space="preserve"> refers to fiber</w:t>
            </w:r>
            <w:r w:rsidRPr="000A4491">
              <w:rPr>
                <w:rFonts w:ascii="Verdana" w:hAnsi="Verdana"/>
                <w:sz w:val="20"/>
              </w:rPr>
              <w:fldChar w:fldCharType="begin"/>
            </w:r>
            <w:r w:rsidRPr="000A4491">
              <w:rPr>
                <w:rFonts w:ascii="Verdana" w:hAnsi="Verdana"/>
                <w:sz w:val="20"/>
              </w:rPr>
              <w:instrText>xe "Fiber Optics"</w:instrText>
            </w:r>
            <w:r w:rsidRPr="000A4491">
              <w:rPr>
                <w:rFonts w:ascii="Verdana" w:hAnsi="Verdana"/>
                <w:sz w:val="20"/>
              </w:rPr>
              <w:fldChar w:fldCharType="end"/>
            </w:r>
            <w:r w:rsidRPr="000A4491">
              <w:rPr>
                <w:rFonts w:ascii="Verdana" w:hAnsi="Verdana"/>
                <w:bCs/>
                <w:sz w:val="20"/>
              </w:rPr>
              <w:t xml:space="preserve"> optic cable</w:t>
            </w:r>
            <w:r w:rsidRPr="000A4491">
              <w:rPr>
                <w:rFonts w:ascii="Verdana" w:hAnsi="Verdana"/>
                <w:sz w:val="20"/>
              </w:rPr>
              <w:fldChar w:fldCharType="begin"/>
            </w:r>
            <w:r w:rsidRPr="000A4491">
              <w:rPr>
                <w:rFonts w:ascii="Verdana" w:hAnsi="Verdana"/>
                <w:sz w:val="20"/>
              </w:rPr>
              <w:instrText>xe "Optic Cable"</w:instrText>
            </w:r>
            <w:r w:rsidRPr="000A4491">
              <w:rPr>
                <w:rFonts w:ascii="Verdana" w:hAnsi="Verdana"/>
                <w:sz w:val="20"/>
              </w:rPr>
              <w:fldChar w:fldCharType="end"/>
            </w:r>
            <w:r w:rsidRPr="000A4491">
              <w:rPr>
                <w:rFonts w:ascii="Verdana" w:hAnsi="Verdana"/>
                <w:bCs/>
                <w:sz w:val="20"/>
              </w:rPr>
              <w:t xml:space="preserve"> for which the service provider has not provided modulating</w:t>
            </w:r>
            <w:r w:rsidRPr="000A4491">
              <w:rPr>
                <w:rFonts w:ascii="Verdana" w:hAnsi="Verdana"/>
                <w:sz w:val="20"/>
              </w:rPr>
              <w:fldChar w:fldCharType="begin"/>
            </w:r>
            <w:r w:rsidRPr="000A4491">
              <w:rPr>
                <w:rFonts w:ascii="Verdana" w:hAnsi="Verdana"/>
                <w:sz w:val="20"/>
              </w:rPr>
              <w:instrText>xe "M</w:instrText>
            </w:r>
            <w:r w:rsidRPr="000A4491">
              <w:rPr>
                <w:rFonts w:ascii="Verdana" w:hAnsi="Verdana"/>
                <w:bCs/>
                <w:sz w:val="20"/>
              </w:rPr>
              <w:instrText>odulating Electronics</w:instrText>
            </w:r>
            <w:r w:rsidRPr="000A4491">
              <w:rPr>
                <w:rFonts w:ascii="Verdana" w:hAnsi="Verdana"/>
                <w:sz w:val="20"/>
              </w:rPr>
              <w:instrText>"</w:instrText>
            </w:r>
            <w:r w:rsidRPr="000A4491">
              <w:rPr>
                <w:rFonts w:ascii="Verdana" w:hAnsi="Verdana"/>
                <w:sz w:val="20"/>
              </w:rPr>
              <w:fldChar w:fldCharType="end"/>
            </w:r>
            <w:r w:rsidRPr="000A4491">
              <w:rPr>
                <w:rFonts w:ascii="Verdana" w:hAnsi="Verdana"/>
                <w:bCs/>
                <w:sz w:val="20"/>
              </w:rPr>
              <w:t xml:space="preserve"> electronics.</w:t>
            </w:r>
          </w:p>
        </w:tc>
      </w:tr>
      <w:tr w:rsidR="00F935B1" w14:paraId="1F85FA88" w14:textId="77777777" w:rsidTr="0083602C">
        <w:trPr>
          <w:tblCellSpacing w:w="15" w:type="dxa"/>
        </w:trPr>
        <w:tc>
          <w:tcPr>
            <w:tcW w:w="3656" w:type="dxa"/>
          </w:tcPr>
          <w:p w14:paraId="7EB15F4B" w14:textId="77777777" w:rsidR="00F935B1" w:rsidRPr="000A4491" w:rsidRDefault="00F935B1" w:rsidP="0083602C">
            <w:pPr>
              <w:rPr>
                <w:rFonts w:ascii="Verdana" w:hAnsi="Verdana"/>
                <w:sz w:val="20"/>
              </w:rPr>
            </w:pPr>
            <w:r w:rsidRPr="000A4491">
              <w:rPr>
                <w:rFonts w:ascii="Verdana" w:hAnsi="Verdana"/>
                <w:sz w:val="20"/>
              </w:rPr>
              <w:t>Digital Subscriber Line</w:t>
            </w:r>
            <w:r w:rsidRPr="000A4491">
              <w:rPr>
                <w:rFonts w:ascii="Verdana" w:hAnsi="Verdana"/>
                <w:sz w:val="20"/>
              </w:rPr>
              <w:fldChar w:fldCharType="begin"/>
            </w:r>
            <w:r w:rsidRPr="000A4491">
              <w:rPr>
                <w:rFonts w:ascii="Verdana" w:hAnsi="Verdana"/>
                <w:sz w:val="20"/>
              </w:rPr>
              <w:instrText>xe "</w:instrText>
            </w:r>
            <w:r w:rsidRPr="000A4491">
              <w:rPr>
                <w:rStyle w:val="Hyperlink"/>
                <w:rFonts w:ascii="Verdana" w:hAnsi="Verdana"/>
                <w:bCs/>
                <w:sz w:val="20"/>
              </w:rPr>
              <w:instrText>Digital Subscriber Line</w:instrText>
            </w:r>
            <w:r w:rsidRPr="000A4491">
              <w:rPr>
                <w:rFonts w:ascii="Verdana" w:hAnsi="Verdana"/>
                <w:sz w:val="20"/>
              </w:rPr>
              <w:instrText>"</w:instrText>
            </w:r>
            <w:r w:rsidRPr="000A4491">
              <w:rPr>
                <w:rFonts w:ascii="Verdana" w:hAnsi="Verdana"/>
                <w:sz w:val="20"/>
              </w:rPr>
              <w:fldChar w:fldCharType="end"/>
            </w:r>
            <w:r w:rsidRPr="000A4491">
              <w:rPr>
                <w:rFonts w:ascii="Verdana" w:hAnsi="Verdana"/>
                <w:sz w:val="20"/>
              </w:rPr>
              <w:t xml:space="preserve"> (DSL</w:t>
            </w:r>
            <w:r w:rsidRPr="000A4491">
              <w:rPr>
                <w:rFonts w:ascii="Verdana" w:hAnsi="Verdana"/>
                <w:sz w:val="20"/>
              </w:rPr>
              <w:fldChar w:fldCharType="begin"/>
            </w:r>
            <w:r w:rsidRPr="000A4491">
              <w:rPr>
                <w:rFonts w:ascii="Verdana" w:hAnsi="Verdana"/>
                <w:sz w:val="20"/>
              </w:rPr>
              <w:instrText>xe "</w:instrText>
            </w:r>
            <w:r w:rsidRPr="000A4491">
              <w:rPr>
                <w:rFonts w:ascii="Verdana" w:hAnsi="Verdana"/>
                <w:bCs/>
                <w:sz w:val="20"/>
              </w:rPr>
              <w:instrText>DSL</w:instrText>
            </w:r>
            <w:r w:rsidRPr="000A4491">
              <w:rPr>
                <w:rFonts w:ascii="Verdana" w:hAnsi="Verdana"/>
                <w:sz w:val="20"/>
              </w:rPr>
              <w:instrText>"</w:instrText>
            </w:r>
            <w:r w:rsidRPr="000A4491">
              <w:rPr>
                <w:rFonts w:ascii="Verdana" w:hAnsi="Verdana"/>
                <w:sz w:val="20"/>
              </w:rPr>
              <w:fldChar w:fldCharType="end"/>
            </w:r>
            <w:r w:rsidRPr="000A4491">
              <w:rPr>
                <w:rFonts w:ascii="Verdana" w:hAnsi="Verdana"/>
                <w:sz w:val="20"/>
              </w:rPr>
              <w:t>)</w:t>
            </w:r>
          </w:p>
          <w:p w14:paraId="75A1ABB1" w14:textId="77777777" w:rsidR="00F935B1" w:rsidRPr="000A4491" w:rsidRDefault="00F935B1" w:rsidP="0083602C">
            <w:pPr>
              <w:rPr>
                <w:rFonts w:ascii="Verdana" w:hAnsi="Verdana"/>
                <w:sz w:val="20"/>
              </w:rPr>
            </w:pPr>
            <w:r w:rsidRPr="000A4491">
              <w:rPr>
                <w:rFonts w:ascii="Verdana" w:hAnsi="Verdana"/>
                <w:sz w:val="20"/>
              </w:rPr>
              <w:t>(</w:t>
            </w:r>
            <w:hyperlink w:anchor="xxTelecom" w:history="1">
              <w:r w:rsidRPr="000A4491">
                <w:rPr>
                  <w:rStyle w:val="Hyperlink"/>
                  <w:rFonts w:ascii="Verdana" w:hAnsi="Verdana"/>
                  <w:sz w:val="20"/>
                </w:rPr>
                <w:t>Telecommunications</w:t>
              </w:r>
              <w:r w:rsidRPr="000A4491">
                <w:rPr>
                  <w:rFonts w:ascii="Verdana" w:hAnsi="Verdana"/>
                  <w:sz w:val="20"/>
                </w:rPr>
                <w:fldChar w:fldCharType="begin"/>
              </w:r>
              <w:r w:rsidRPr="000A4491">
                <w:rPr>
                  <w:rFonts w:ascii="Verdana" w:hAnsi="Verdana"/>
                  <w:sz w:val="20"/>
                </w:rPr>
                <w:instrText>xe "</w:instrText>
              </w:r>
              <w:r w:rsidRPr="000A4491">
                <w:rPr>
                  <w:rStyle w:val="Hyperlink"/>
                  <w:rFonts w:ascii="Verdana" w:hAnsi="Verdana"/>
                  <w:sz w:val="20"/>
                </w:rPr>
                <w:instrText>Telecommunications Services</w:instrText>
              </w:r>
              <w:r w:rsidRPr="000A4491">
                <w:rPr>
                  <w:rFonts w:ascii="Verdana" w:hAnsi="Verdana"/>
                  <w:sz w:val="20"/>
                </w:rPr>
                <w:instrText>"</w:instrText>
              </w:r>
              <w:r w:rsidRPr="000A4491">
                <w:rPr>
                  <w:rFonts w:ascii="Verdana" w:hAnsi="Verdana"/>
                  <w:sz w:val="20"/>
                </w:rPr>
                <w:fldChar w:fldCharType="end"/>
              </w:r>
            </w:hyperlink>
            <w:r w:rsidRPr="000A4491">
              <w:rPr>
                <w:rFonts w:ascii="Verdana" w:hAnsi="Verdana"/>
                <w:sz w:val="20"/>
              </w:rPr>
              <w:t>/</w:t>
            </w:r>
            <w:hyperlink w:anchor="InternetInternetAccess" w:history="1">
              <w:r w:rsidRPr="000A4491">
                <w:rPr>
                  <w:rStyle w:val="Hyperlink"/>
                  <w:rFonts w:ascii="Verdana" w:hAnsi="Verdana"/>
                  <w:sz w:val="20"/>
                </w:rPr>
                <w:t>Internet Access</w:t>
              </w:r>
              <w:r w:rsidRPr="000A4491">
                <w:rPr>
                  <w:rFonts w:ascii="Verdana" w:hAnsi="Verdana"/>
                  <w:sz w:val="20"/>
                </w:rPr>
                <w:fldChar w:fldCharType="begin"/>
              </w:r>
              <w:r w:rsidRPr="000A4491">
                <w:rPr>
                  <w:rFonts w:ascii="Verdana" w:hAnsi="Verdana"/>
                  <w:sz w:val="20"/>
                </w:rPr>
                <w:instrText>xe "Internet"</w:instrText>
              </w:r>
              <w:r w:rsidRPr="000A4491">
                <w:rPr>
                  <w:rFonts w:ascii="Verdana" w:hAnsi="Verdana"/>
                  <w:sz w:val="20"/>
                </w:rPr>
                <w:fldChar w:fldCharType="end"/>
              </w:r>
            </w:hyperlink>
            <w:r w:rsidRPr="000A4491">
              <w:rPr>
                <w:rFonts w:ascii="Verdana" w:hAnsi="Verdana"/>
                <w:sz w:val="20"/>
              </w:rPr>
              <w:t>)</w:t>
            </w:r>
          </w:p>
        </w:tc>
        <w:tc>
          <w:tcPr>
            <w:tcW w:w="5441" w:type="dxa"/>
          </w:tcPr>
          <w:p w14:paraId="56449145" w14:textId="77777777" w:rsidR="00F935B1" w:rsidRPr="000A4491" w:rsidRDefault="00F935B1" w:rsidP="0083602C">
            <w:pPr>
              <w:pStyle w:val="NormalWeb"/>
              <w:spacing w:before="0" w:beforeAutospacing="0" w:after="0"/>
              <w:rPr>
                <w:rFonts w:ascii="Verdana" w:hAnsi="Verdana"/>
                <w:sz w:val="20"/>
              </w:rPr>
            </w:pPr>
            <w:r w:rsidRPr="000A4491">
              <w:rPr>
                <w:rFonts w:ascii="Verdana" w:hAnsi="Verdana"/>
                <w:sz w:val="20"/>
              </w:rPr>
              <w:t>Digital Subscriber Line</w:t>
            </w:r>
            <w:r w:rsidRPr="000A4491">
              <w:rPr>
                <w:rFonts w:ascii="Verdana" w:hAnsi="Verdana"/>
                <w:sz w:val="20"/>
              </w:rPr>
              <w:fldChar w:fldCharType="begin"/>
            </w:r>
            <w:r w:rsidRPr="000A4491">
              <w:rPr>
                <w:rFonts w:ascii="Verdana" w:hAnsi="Verdana"/>
                <w:sz w:val="20"/>
              </w:rPr>
              <w:instrText>xe "</w:instrText>
            </w:r>
            <w:r w:rsidRPr="000A4491">
              <w:rPr>
                <w:rStyle w:val="Hyperlink"/>
                <w:rFonts w:ascii="Verdana" w:hAnsi="Verdana"/>
                <w:bCs/>
                <w:sz w:val="20"/>
              </w:rPr>
              <w:instrText>Digital Subscriber Line</w:instrText>
            </w:r>
            <w:r w:rsidRPr="000A4491">
              <w:rPr>
                <w:rFonts w:ascii="Verdana" w:hAnsi="Verdana"/>
                <w:sz w:val="20"/>
              </w:rPr>
              <w:instrText>"</w:instrText>
            </w:r>
            <w:r w:rsidRPr="000A4491">
              <w:rPr>
                <w:rFonts w:ascii="Verdana" w:hAnsi="Verdana"/>
                <w:sz w:val="20"/>
              </w:rPr>
              <w:fldChar w:fldCharType="end"/>
            </w:r>
            <w:r w:rsidRPr="000A4491">
              <w:rPr>
                <w:rFonts w:ascii="Verdana" w:hAnsi="Verdana"/>
                <w:sz w:val="20"/>
              </w:rPr>
              <w:t xml:space="preserve"> (DSL</w:t>
            </w:r>
            <w:r w:rsidRPr="000A4491">
              <w:rPr>
                <w:rFonts w:ascii="Verdana" w:hAnsi="Verdana"/>
                <w:sz w:val="20"/>
              </w:rPr>
              <w:fldChar w:fldCharType="begin"/>
            </w:r>
            <w:r w:rsidRPr="000A4491">
              <w:rPr>
                <w:rFonts w:ascii="Verdana" w:hAnsi="Verdana"/>
                <w:sz w:val="20"/>
              </w:rPr>
              <w:instrText>xe "</w:instrText>
            </w:r>
            <w:r w:rsidRPr="000A4491">
              <w:rPr>
                <w:rFonts w:ascii="Verdana" w:hAnsi="Verdana"/>
                <w:bCs/>
                <w:sz w:val="20"/>
              </w:rPr>
              <w:instrText>DSL</w:instrText>
            </w:r>
            <w:r w:rsidRPr="000A4491">
              <w:rPr>
                <w:rFonts w:ascii="Verdana" w:hAnsi="Verdana"/>
                <w:sz w:val="20"/>
              </w:rPr>
              <w:instrText>"</w:instrText>
            </w:r>
            <w:r w:rsidRPr="000A4491">
              <w:rPr>
                <w:rFonts w:ascii="Verdana" w:hAnsi="Verdana"/>
                <w:sz w:val="20"/>
              </w:rPr>
              <w:fldChar w:fldCharType="end"/>
            </w:r>
            <w:r w:rsidRPr="000A4491">
              <w:rPr>
                <w:rFonts w:ascii="Verdana" w:hAnsi="Verdana"/>
                <w:sz w:val="20"/>
              </w:rPr>
              <w:t>) is a technology that provides high-speed connections over telephone lines.  Different types of DSL service are available, using descriptions such as ADSL, HDSL, and SDSL.  The DSL family of technologies sometimes goes by the general name xDSL.</w:t>
            </w:r>
          </w:p>
        </w:tc>
      </w:tr>
      <w:tr w:rsidR="00F935B1" w14:paraId="0DEB0FEF" w14:textId="77777777" w:rsidTr="0083602C">
        <w:trPr>
          <w:tblCellSpacing w:w="15" w:type="dxa"/>
        </w:trPr>
        <w:tc>
          <w:tcPr>
            <w:tcW w:w="3656" w:type="dxa"/>
          </w:tcPr>
          <w:p w14:paraId="71E8ED8C" w14:textId="77777777" w:rsidR="00F935B1" w:rsidRPr="000A4491" w:rsidRDefault="00F935B1" w:rsidP="0083602C">
            <w:pPr>
              <w:rPr>
                <w:rFonts w:ascii="Verdana" w:hAnsi="Verdana"/>
                <w:sz w:val="20"/>
              </w:rPr>
            </w:pPr>
            <w:r w:rsidRPr="000A4491">
              <w:rPr>
                <w:rFonts w:ascii="Verdana" w:hAnsi="Verdana"/>
                <w:sz w:val="20"/>
              </w:rPr>
              <w:t>Direct Broadcast</w:t>
            </w:r>
            <w:r w:rsidRPr="000A4491">
              <w:rPr>
                <w:rFonts w:ascii="Verdana" w:hAnsi="Verdana"/>
                <w:sz w:val="20"/>
              </w:rPr>
              <w:fldChar w:fldCharType="begin"/>
            </w:r>
            <w:r w:rsidRPr="000A4491">
              <w:rPr>
                <w:rFonts w:ascii="Verdana" w:hAnsi="Verdana"/>
                <w:sz w:val="20"/>
              </w:rPr>
              <w:instrText>xe "Direct Broadcast Satellite"</w:instrText>
            </w:r>
            <w:r w:rsidRPr="000A4491">
              <w:rPr>
                <w:rFonts w:ascii="Verdana" w:hAnsi="Verdana"/>
                <w:sz w:val="20"/>
              </w:rPr>
              <w:fldChar w:fldCharType="end"/>
            </w:r>
            <w:r w:rsidRPr="000A4491">
              <w:rPr>
                <w:rFonts w:ascii="Verdana" w:hAnsi="Verdana"/>
                <w:sz w:val="20"/>
              </w:rPr>
              <w:t xml:space="preserve"> Satellite</w:t>
            </w:r>
            <w:r w:rsidRPr="000A4491">
              <w:rPr>
                <w:rFonts w:ascii="Verdana" w:hAnsi="Verdana"/>
                <w:sz w:val="20"/>
              </w:rPr>
              <w:fldChar w:fldCharType="begin"/>
            </w:r>
            <w:r w:rsidRPr="000A4491">
              <w:rPr>
                <w:rFonts w:ascii="Verdana" w:hAnsi="Verdana"/>
                <w:sz w:val="20"/>
              </w:rPr>
              <w:instrText>xe "</w:instrText>
            </w:r>
            <w:r w:rsidRPr="000A4491">
              <w:rPr>
                <w:rStyle w:val="Hyperlink"/>
                <w:rFonts w:ascii="Verdana" w:hAnsi="Verdana"/>
                <w:sz w:val="20"/>
              </w:rPr>
              <w:instrText>Satellite</w:instrText>
            </w:r>
            <w:r w:rsidRPr="000A4491">
              <w:rPr>
                <w:rFonts w:ascii="Verdana" w:hAnsi="Verdana"/>
                <w:sz w:val="20"/>
              </w:rPr>
              <w:instrText>"</w:instrText>
            </w:r>
            <w:r w:rsidRPr="000A4491">
              <w:rPr>
                <w:rFonts w:ascii="Verdana" w:hAnsi="Verdana"/>
                <w:sz w:val="20"/>
              </w:rPr>
              <w:fldChar w:fldCharType="end"/>
            </w:r>
            <w:r w:rsidRPr="000A4491">
              <w:rPr>
                <w:rFonts w:ascii="Verdana" w:hAnsi="Verdana"/>
                <w:sz w:val="20"/>
              </w:rPr>
              <w:t xml:space="preserve"> (DBS)</w:t>
            </w:r>
          </w:p>
          <w:p w14:paraId="0FEE1244" w14:textId="77777777" w:rsidR="00F935B1" w:rsidRPr="000A4491" w:rsidRDefault="00F935B1" w:rsidP="0083602C">
            <w:pPr>
              <w:rPr>
                <w:rFonts w:ascii="Verdana" w:hAnsi="Verdana"/>
                <w:sz w:val="20"/>
              </w:rPr>
            </w:pPr>
            <w:r w:rsidRPr="000A4491">
              <w:rPr>
                <w:rFonts w:ascii="Verdana" w:hAnsi="Verdana"/>
                <w:sz w:val="20"/>
              </w:rPr>
              <w:t>(</w:t>
            </w:r>
            <w:hyperlink w:anchor="aattIneligibleServices" w:history="1">
              <w:r w:rsidRPr="000A4491">
                <w:rPr>
                  <w:rStyle w:val="Hyperlink"/>
                  <w:rFonts w:ascii="Verdana" w:hAnsi="Verdana"/>
                  <w:sz w:val="20"/>
                </w:rPr>
                <w:t>Ineligible Telecommunications</w:t>
              </w:r>
              <w:r w:rsidRPr="000A4491">
                <w:rPr>
                  <w:rFonts w:ascii="Verdana" w:hAnsi="Verdana"/>
                  <w:sz w:val="20"/>
                </w:rPr>
                <w:fldChar w:fldCharType="begin"/>
              </w:r>
              <w:r w:rsidRPr="000A4491">
                <w:rPr>
                  <w:rFonts w:ascii="Verdana" w:hAnsi="Verdana"/>
                  <w:sz w:val="20"/>
                </w:rPr>
                <w:instrText>xe "Ineligible Telecommunications"</w:instrText>
              </w:r>
              <w:r w:rsidRPr="000A4491">
                <w:rPr>
                  <w:rFonts w:ascii="Verdana" w:hAnsi="Verdana"/>
                  <w:sz w:val="20"/>
                </w:rPr>
                <w:fldChar w:fldCharType="end"/>
              </w:r>
            </w:hyperlink>
            <w:r w:rsidRPr="000A4491">
              <w:rPr>
                <w:rFonts w:ascii="Verdana" w:hAnsi="Verdana"/>
                <w:sz w:val="20"/>
              </w:rPr>
              <w:t>)</w:t>
            </w:r>
          </w:p>
        </w:tc>
        <w:tc>
          <w:tcPr>
            <w:tcW w:w="5441" w:type="dxa"/>
          </w:tcPr>
          <w:p w14:paraId="3B3F7EAA" w14:textId="77777777" w:rsidR="00F935B1" w:rsidRPr="000A4491" w:rsidRDefault="00F935B1" w:rsidP="0083602C">
            <w:pPr>
              <w:rPr>
                <w:rFonts w:ascii="Verdana" w:hAnsi="Verdana"/>
                <w:sz w:val="20"/>
              </w:rPr>
            </w:pPr>
            <w:r w:rsidRPr="000A4491">
              <w:rPr>
                <w:rFonts w:ascii="Verdana" w:hAnsi="Verdana"/>
                <w:sz w:val="20"/>
              </w:rPr>
              <w:t>Direct Broadcast Satellite</w:t>
            </w:r>
            <w:r w:rsidRPr="000A4491">
              <w:rPr>
                <w:rFonts w:ascii="Verdana" w:hAnsi="Verdana"/>
                <w:sz w:val="20"/>
              </w:rPr>
              <w:fldChar w:fldCharType="begin"/>
            </w:r>
            <w:r w:rsidRPr="000A4491">
              <w:rPr>
                <w:rFonts w:ascii="Verdana" w:hAnsi="Verdana"/>
                <w:sz w:val="20"/>
              </w:rPr>
              <w:instrText>xe "</w:instrText>
            </w:r>
            <w:r w:rsidRPr="000A4491">
              <w:rPr>
                <w:rStyle w:val="Hyperlink"/>
                <w:rFonts w:ascii="Verdana" w:hAnsi="Verdana"/>
                <w:sz w:val="20"/>
              </w:rPr>
              <w:instrText>Satellite</w:instrText>
            </w:r>
            <w:r w:rsidRPr="000A4491">
              <w:rPr>
                <w:rFonts w:ascii="Verdana" w:hAnsi="Verdana"/>
                <w:sz w:val="20"/>
              </w:rPr>
              <w:instrText>"</w:instrText>
            </w:r>
            <w:r w:rsidRPr="000A4491">
              <w:rPr>
                <w:rFonts w:ascii="Verdana" w:hAnsi="Verdana"/>
                <w:sz w:val="20"/>
              </w:rPr>
              <w:fldChar w:fldCharType="end"/>
            </w:r>
            <w:r w:rsidRPr="000A4491">
              <w:rPr>
                <w:rFonts w:ascii="Verdana" w:hAnsi="Verdana"/>
                <w:sz w:val="20"/>
              </w:rPr>
              <w:t xml:space="preserve"> (DBS) is a technology that uses satellite</w:t>
            </w:r>
            <w:r w:rsidRPr="000A4491">
              <w:rPr>
                <w:rFonts w:ascii="Verdana" w:hAnsi="Verdana"/>
                <w:sz w:val="20"/>
              </w:rPr>
              <w:fldChar w:fldCharType="begin"/>
            </w:r>
            <w:r w:rsidRPr="000A4491">
              <w:rPr>
                <w:rFonts w:ascii="Verdana" w:hAnsi="Verdana"/>
                <w:sz w:val="20"/>
              </w:rPr>
              <w:instrText>xe "Satellite"</w:instrText>
            </w:r>
            <w:r w:rsidRPr="000A4491">
              <w:rPr>
                <w:rFonts w:ascii="Verdana" w:hAnsi="Verdana"/>
                <w:sz w:val="20"/>
              </w:rPr>
              <w:fldChar w:fldCharType="end"/>
            </w:r>
            <w:r w:rsidRPr="000A4491">
              <w:rPr>
                <w:rFonts w:ascii="Verdana" w:hAnsi="Verdana"/>
                <w:sz w:val="20"/>
              </w:rPr>
              <w:t xml:space="preserve"> to transmit TV</w:t>
            </w:r>
            <w:r w:rsidRPr="000A4491">
              <w:rPr>
                <w:rFonts w:ascii="Verdana" w:hAnsi="Verdana"/>
                <w:sz w:val="20"/>
              </w:rPr>
              <w:fldChar w:fldCharType="begin"/>
            </w:r>
            <w:r w:rsidRPr="000A4491">
              <w:rPr>
                <w:rFonts w:ascii="Verdana" w:hAnsi="Verdana"/>
                <w:sz w:val="20"/>
              </w:rPr>
              <w:instrText>xe "Television"</w:instrText>
            </w:r>
            <w:r w:rsidRPr="000A4491">
              <w:rPr>
                <w:rFonts w:ascii="Verdana" w:hAnsi="Verdana"/>
                <w:sz w:val="20"/>
              </w:rPr>
              <w:fldChar w:fldCharType="end"/>
            </w:r>
            <w:r w:rsidRPr="000A4491">
              <w:rPr>
                <w:rFonts w:ascii="Verdana" w:hAnsi="Verdana"/>
                <w:sz w:val="20"/>
              </w:rPr>
              <w:t xml:space="preserve"> programs to subscribers.  The transmitted signals are received using individual rooftop antennas</w:t>
            </w:r>
            <w:r w:rsidRPr="000A4491">
              <w:rPr>
                <w:rFonts w:ascii="Verdana" w:hAnsi="Verdana"/>
                <w:sz w:val="20"/>
              </w:rPr>
              <w:fldChar w:fldCharType="begin"/>
            </w:r>
            <w:r w:rsidRPr="000A4491">
              <w:rPr>
                <w:rFonts w:ascii="Verdana" w:hAnsi="Verdana"/>
                <w:sz w:val="20"/>
              </w:rPr>
              <w:instrText>xe "Antenna</w:instrText>
            </w:r>
            <w:r w:rsidRPr="000A4491">
              <w:rPr>
                <w:rFonts w:ascii="Verdana" w:hAnsi="Verdana"/>
                <w:bCs/>
                <w:sz w:val="20"/>
              </w:rPr>
              <w:instrText>s</w:instrText>
            </w:r>
            <w:r w:rsidRPr="000A4491">
              <w:rPr>
                <w:rFonts w:ascii="Verdana" w:hAnsi="Verdana"/>
                <w:sz w:val="20"/>
              </w:rPr>
              <w:instrText>"</w:instrText>
            </w:r>
            <w:r w:rsidRPr="000A4491">
              <w:rPr>
                <w:rFonts w:ascii="Verdana" w:hAnsi="Verdana"/>
                <w:sz w:val="20"/>
              </w:rPr>
              <w:fldChar w:fldCharType="end"/>
            </w:r>
            <w:r w:rsidRPr="000A4491">
              <w:rPr>
                <w:rFonts w:ascii="Verdana" w:hAnsi="Verdana"/>
                <w:sz w:val="20"/>
              </w:rPr>
              <w:t>.  Program reception of the subscriber is limited to those channels broadcast by a specific provider.</w:t>
            </w:r>
          </w:p>
        </w:tc>
      </w:tr>
      <w:tr w:rsidR="00F935B1" w14:paraId="15243D03" w14:textId="77777777" w:rsidTr="0083602C">
        <w:trPr>
          <w:tblCellSpacing w:w="15" w:type="dxa"/>
        </w:trPr>
        <w:tc>
          <w:tcPr>
            <w:tcW w:w="3656" w:type="dxa"/>
          </w:tcPr>
          <w:p w14:paraId="0DCF04F1" w14:textId="77777777" w:rsidR="00F935B1" w:rsidRPr="000A4491" w:rsidRDefault="00F935B1" w:rsidP="0083602C">
            <w:pPr>
              <w:rPr>
                <w:rFonts w:ascii="Verdana" w:hAnsi="Verdana"/>
                <w:sz w:val="20"/>
              </w:rPr>
            </w:pPr>
            <w:r w:rsidRPr="000A4491">
              <w:rPr>
                <w:rFonts w:ascii="Verdana" w:hAnsi="Verdana"/>
                <w:sz w:val="20"/>
              </w:rPr>
              <w:t>Direct Inward Dialing</w:t>
            </w:r>
            <w:r w:rsidRPr="000A4491">
              <w:rPr>
                <w:rFonts w:ascii="Verdana" w:hAnsi="Verdana"/>
                <w:sz w:val="20"/>
              </w:rPr>
              <w:fldChar w:fldCharType="begin"/>
            </w:r>
            <w:r w:rsidRPr="000A4491">
              <w:rPr>
                <w:rFonts w:ascii="Verdana" w:hAnsi="Verdana"/>
                <w:sz w:val="20"/>
              </w:rPr>
              <w:instrText>xe "</w:instrText>
            </w:r>
            <w:r w:rsidRPr="000A4491">
              <w:rPr>
                <w:rStyle w:val="Hyperlink"/>
                <w:rFonts w:ascii="Verdana" w:hAnsi="Verdana"/>
                <w:bCs/>
                <w:sz w:val="20"/>
              </w:rPr>
              <w:instrText>Direct Inward Dialing</w:instrText>
            </w:r>
            <w:r w:rsidRPr="000A4491">
              <w:rPr>
                <w:rFonts w:ascii="Verdana" w:hAnsi="Verdana"/>
                <w:sz w:val="20"/>
              </w:rPr>
              <w:instrText>"</w:instrText>
            </w:r>
            <w:r w:rsidRPr="000A4491">
              <w:rPr>
                <w:rFonts w:ascii="Verdana" w:hAnsi="Verdana"/>
                <w:sz w:val="20"/>
              </w:rPr>
              <w:fldChar w:fldCharType="end"/>
            </w:r>
            <w:r w:rsidRPr="000A4491">
              <w:rPr>
                <w:rFonts w:ascii="Verdana" w:hAnsi="Verdana"/>
                <w:sz w:val="20"/>
              </w:rPr>
              <w:t xml:space="preserve"> (DID</w:t>
            </w:r>
            <w:r w:rsidRPr="000A4491">
              <w:rPr>
                <w:rFonts w:ascii="Verdana" w:hAnsi="Verdana"/>
                <w:sz w:val="20"/>
              </w:rPr>
              <w:fldChar w:fldCharType="begin"/>
            </w:r>
            <w:r w:rsidRPr="000A4491">
              <w:rPr>
                <w:rFonts w:ascii="Verdana" w:hAnsi="Verdana"/>
                <w:sz w:val="20"/>
              </w:rPr>
              <w:instrText>xe "</w:instrText>
            </w:r>
            <w:r w:rsidRPr="000A4491">
              <w:rPr>
                <w:rFonts w:ascii="Verdana" w:hAnsi="Verdana"/>
                <w:bCs/>
                <w:sz w:val="20"/>
              </w:rPr>
              <w:instrText>DID</w:instrText>
            </w:r>
            <w:r w:rsidRPr="000A4491">
              <w:rPr>
                <w:rFonts w:ascii="Verdana" w:hAnsi="Verdana"/>
                <w:sz w:val="20"/>
              </w:rPr>
              <w:instrText>"</w:instrText>
            </w:r>
            <w:r w:rsidRPr="000A4491">
              <w:rPr>
                <w:rFonts w:ascii="Verdana" w:hAnsi="Verdana"/>
                <w:sz w:val="20"/>
              </w:rPr>
              <w:fldChar w:fldCharType="end"/>
            </w:r>
            <w:r w:rsidRPr="000A4491">
              <w:rPr>
                <w:rFonts w:ascii="Verdana" w:hAnsi="Verdana"/>
                <w:sz w:val="20"/>
              </w:rPr>
              <w:t>)</w:t>
            </w:r>
          </w:p>
          <w:p w14:paraId="59FD3F1B" w14:textId="77777777" w:rsidR="00F935B1" w:rsidRPr="000A4491" w:rsidRDefault="00F935B1" w:rsidP="0083602C">
            <w:pPr>
              <w:rPr>
                <w:rFonts w:ascii="Verdana" w:hAnsi="Verdana"/>
                <w:sz w:val="20"/>
              </w:rPr>
            </w:pPr>
            <w:r w:rsidRPr="000A4491">
              <w:rPr>
                <w:rFonts w:ascii="Verdana" w:hAnsi="Verdana"/>
                <w:sz w:val="20"/>
              </w:rPr>
              <w:t>(</w:t>
            </w:r>
            <w:hyperlink w:anchor="aattTelephoneComponents" w:history="1">
              <w:r w:rsidRPr="000A4491">
                <w:rPr>
                  <w:rStyle w:val="Hyperlink"/>
                  <w:rFonts w:ascii="Verdana" w:hAnsi="Verdana"/>
                  <w:sz w:val="20"/>
                </w:rPr>
                <w:t>Telephone Service Components</w:t>
              </w:r>
              <w:r w:rsidRPr="000A4491">
                <w:rPr>
                  <w:rFonts w:ascii="Verdana" w:hAnsi="Verdana"/>
                  <w:sz w:val="20"/>
                </w:rPr>
                <w:fldChar w:fldCharType="begin"/>
              </w:r>
              <w:r w:rsidRPr="000A4491">
                <w:rPr>
                  <w:rFonts w:ascii="Verdana" w:hAnsi="Verdana"/>
                  <w:sz w:val="20"/>
                </w:rPr>
                <w:instrText>xe "Telephone Service Components"</w:instrText>
              </w:r>
              <w:r w:rsidRPr="000A4491">
                <w:rPr>
                  <w:rFonts w:ascii="Verdana" w:hAnsi="Verdana"/>
                  <w:sz w:val="20"/>
                </w:rPr>
                <w:fldChar w:fldCharType="end"/>
              </w:r>
            </w:hyperlink>
            <w:r w:rsidRPr="000A4491">
              <w:rPr>
                <w:rFonts w:ascii="Verdana" w:hAnsi="Verdana"/>
                <w:sz w:val="20"/>
              </w:rPr>
              <w:t>)</w:t>
            </w:r>
          </w:p>
        </w:tc>
        <w:tc>
          <w:tcPr>
            <w:tcW w:w="5441" w:type="dxa"/>
          </w:tcPr>
          <w:p w14:paraId="636AD96E" w14:textId="77777777" w:rsidR="00F935B1" w:rsidRPr="000A4491" w:rsidRDefault="00F935B1" w:rsidP="0083602C">
            <w:pPr>
              <w:rPr>
                <w:rFonts w:ascii="Verdana" w:hAnsi="Verdana"/>
                <w:sz w:val="20"/>
              </w:rPr>
            </w:pPr>
            <w:r w:rsidRPr="000A4491">
              <w:rPr>
                <w:rFonts w:ascii="Verdana" w:hAnsi="Verdana"/>
                <w:sz w:val="20"/>
              </w:rPr>
              <w:t>Direct Inward Dialing</w:t>
            </w:r>
            <w:r w:rsidRPr="000A4491">
              <w:rPr>
                <w:rFonts w:ascii="Verdana" w:hAnsi="Verdana"/>
                <w:sz w:val="20"/>
              </w:rPr>
              <w:fldChar w:fldCharType="begin"/>
            </w:r>
            <w:r w:rsidRPr="000A4491">
              <w:rPr>
                <w:rFonts w:ascii="Verdana" w:hAnsi="Verdana"/>
                <w:sz w:val="20"/>
              </w:rPr>
              <w:instrText>xe "</w:instrText>
            </w:r>
            <w:r w:rsidRPr="000A4491">
              <w:rPr>
                <w:rStyle w:val="Hyperlink"/>
                <w:rFonts w:ascii="Verdana" w:hAnsi="Verdana"/>
                <w:bCs/>
                <w:sz w:val="20"/>
              </w:rPr>
              <w:instrText>Direct Inward Dialing</w:instrText>
            </w:r>
            <w:r w:rsidRPr="000A4491">
              <w:rPr>
                <w:rFonts w:ascii="Verdana" w:hAnsi="Verdana"/>
                <w:sz w:val="20"/>
              </w:rPr>
              <w:instrText>"</w:instrText>
            </w:r>
            <w:r w:rsidRPr="000A4491">
              <w:rPr>
                <w:rFonts w:ascii="Verdana" w:hAnsi="Verdana"/>
                <w:sz w:val="20"/>
              </w:rPr>
              <w:fldChar w:fldCharType="end"/>
            </w:r>
            <w:r w:rsidRPr="000A4491">
              <w:rPr>
                <w:rFonts w:ascii="Verdana" w:hAnsi="Verdana"/>
                <w:sz w:val="20"/>
              </w:rPr>
              <w:t xml:space="preserve"> (DID</w:t>
            </w:r>
            <w:r w:rsidRPr="000A4491">
              <w:rPr>
                <w:rFonts w:ascii="Verdana" w:hAnsi="Verdana"/>
                <w:sz w:val="20"/>
              </w:rPr>
              <w:fldChar w:fldCharType="begin"/>
            </w:r>
            <w:r w:rsidRPr="000A4491">
              <w:rPr>
                <w:rFonts w:ascii="Verdana" w:hAnsi="Verdana"/>
                <w:sz w:val="20"/>
              </w:rPr>
              <w:instrText>xe "</w:instrText>
            </w:r>
            <w:r w:rsidRPr="000A4491">
              <w:rPr>
                <w:rFonts w:ascii="Verdana" w:hAnsi="Verdana"/>
                <w:bCs/>
                <w:sz w:val="20"/>
              </w:rPr>
              <w:instrText>DID</w:instrText>
            </w:r>
            <w:r w:rsidRPr="000A4491">
              <w:rPr>
                <w:rFonts w:ascii="Verdana" w:hAnsi="Verdana"/>
                <w:sz w:val="20"/>
              </w:rPr>
              <w:instrText>"</w:instrText>
            </w:r>
            <w:r w:rsidRPr="000A4491">
              <w:rPr>
                <w:rFonts w:ascii="Verdana" w:hAnsi="Verdana"/>
                <w:sz w:val="20"/>
              </w:rPr>
              <w:fldChar w:fldCharType="end"/>
            </w:r>
            <w:r w:rsidRPr="000A4491">
              <w:rPr>
                <w:rFonts w:ascii="Verdana" w:hAnsi="Verdana"/>
                <w:sz w:val="20"/>
              </w:rPr>
              <w:t>) service allows outside calls to be directed to a Private Branch Exchange</w:t>
            </w:r>
            <w:r w:rsidRPr="000A4491">
              <w:rPr>
                <w:rFonts w:ascii="Verdana" w:hAnsi="Verdana"/>
                <w:sz w:val="20"/>
              </w:rPr>
              <w:fldChar w:fldCharType="begin"/>
            </w:r>
            <w:r w:rsidRPr="000A4491">
              <w:rPr>
                <w:rFonts w:ascii="Verdana" w:hAnsi="Verdana"/>
                <w:sz w:val="20"/>
              </w:rPr>
              <w:instrText>xe "</w:instrText>
            </w:r>
            <w:r w:rsidRPr="000A4491">
              <w:rPr>
                <w:rStyle w:val="Hyperlink"/>
                <w:rFonts w:ascii="Verdana" w:hAnsi="Verdana"/>
                <w:bCs/>
                <w:sz w:val="20"/>
              </w:rPr>
              <w:instrText>Private Branch Exchange</w:instrText>
            </w:r>
            <w:r w:rsidRPr="000A4491">
              <w:rPr>
                <w:rFonts w:ascii="Verdana" w:hAnsi="Verdana"/>
                <w:sz w:val="20"/>
              </w:rPr>
              <w:instrText>"</w:instrText>
            </w:r>
            <w:r w:rsidRPr="000A4491">
              <w:rPr>
                <w:rFonts w:ascii="Verdana" w:hAnsi="Verdana"/>
                <w:sz w:val="20"/>
              </w:rPr>
              <w:fldChar w:fldCharType="end"/>
            </w:r>
            <w:r w:rsidRPr="000A4491">
              <w:rPr>
                <w:rFonts w:ascii="Verdana" w:hAnsi="Verdana"/>
                <w:sz w:val="20"/>
              </w:rPr>
              <w:t xml:space="preserve"> station line without the use of an operator.</w:t>
            </w:r>
          </w:p>
        </w:tc>
      </w:tr>
      <w:tr w:rsidR="00F935B1" w14:paraId="32E029BA" w14:textId="77777777" w:rsidTr="0083602C">
        <w:trPr>
          <w:tblCellSpacing w:w="15" w:type="dxa"/>
        </w:trPr>
        <w:tc>
          <w:tcPr>
            <w:tcW w:w="3656" w:type="dxa"/>
          </w:tcPr>
          <w:p w14:paraId="2A454CB8" w14:textId="77777777" w:rsidR="00F935B1" w:rsidRPr="000A4491" w:rsidRDefault="00F935B1" w:rsidP="0083602C">
            <w:pPr>
              <w:rPr>
                <w:rFonts w:ascii="Verdana" w:hAnsi="Verdana"/>
                <w:sz w:val="20"/>
              </w:rPr>
            </w:pPr>
            <w:r w:rsidRPr="000A4491">
              <w:rPr>
                <w:rFonts w:ascii="Verdana" w:hAnsi="Verdana"/>
                <w:sz w:val="20"/>
              </w:rPr>
              <w:t>Directory Advertising</w:t>
            </w:r>
            <w:r w:rsidRPr="000A4491">
              <w:rPr>
                <w:rFonts w:ascii="Verdana" w:hAnsi="Verdana"/>
                <w:sz w:val="20"/>
              </w:rPr>
              <w:fldChar w:fldCharType="begin"/>
            </w:r>
            <w:r w:rsidRPr="000A4491">
              <w:rPr>
                <w:rFonts w:ascii="Verdana" w:hAnsi="Verdana"/>
                <w:sz w:val="20"/>
              </w:rPr>
              <w:instrText>xe "Directory Advertising"</w:instrText>
            </w:r>
            <w:r w:rsidRPr="000A4491">
              <w:rPr>
                <w:rFonts w:ascii="Verdana" w:hAnsi="Verdana"/>
                <w:sz w:val="20"/>
              </w:rPr>
              <w:fldChar w:fldCharType="end"/>
            </w:r>
          </w:p>
          <w:p w14:paraId="3F9D0443" w14:textId="77777777" w:rsidR="00F935B1" w:rsidRPr="000A4491" w:rsidRDefault="00F935B1" w:rsidP="0083602C">
            <w:pPr>
              <w:rPr>
                <w:rFonts w:ascii="Verdana" w:hAnsi="Verdana"/>
                <w:sz w:val="20"/>
              </w:rPr>
            </w:pPr>
            <w:r w:rsidRPr="000A4491">
              <w:rPr>
                <w:rFonts w:ascii="Verdana" w:hAnsi="Verdana"/>
                <w:sz w:val="20"/>
              </w:rPr>
              <w:t>(</w:t>
            </w:r>
            <w:hyperlink w:anchor="aattIneligibleServices" w:history="1">
              <w:r w:rsidRPr="000A4491">
                <w:rPr>
                  <w:rStyle w:val="Hyperlink"/>
                  <w:rFonts w:ascii="Verdana" w:hAnsi="Verdana"/>
                  <w:sz w:val="20"/>
                </w:rPr>
                <w:t>NOT Eligible for Funding as Telecommunications Services</w:t>
              </w:r>
              <w:r w:rsidRPr="000A4491">
                <w:rPr>
                  <w:rFonts w:ascii="Verdana" w:hAnsi="Verdana"/>
                  <w:sz w:val="20"/>
                </w:rPr>
                <w:fldChar w:fldCharType="begin"/>
              </w:r>
              <w:r w:rsidRPr="000A4491">
                <w:rPr>
                  <w:rFonts w:ascii="Verdana" w:hAnsi="Verdana"/>
                  <w:sz w:val="20"/>
                </w:rPr>
                <w:instrText>xe "</w:instrText>
              </w:r>
              <w:r w:rsidRPr="000A4491">
                <w:rPr>
                  <w:rStyle w:val="Hyperlink"/>
                  <w:rFonts w:ascii="Verdana" w:hAnsi="Verdana"/>
                  <w:sz w:val="20"/>
                </w:rPr>
                <w:instrText>Telecommunications</w:instrText>
              </w:r>
              <w:r w:rsidRPr="000A4491">
                <w:rPr>
                  <w:rFonts w:ascii="Verdana" w:hAnsi="Verdana"/>
                  <w:sz w:val="20"/>
                </w:rPr>
                <w:instrText>"</w:instrText>
              </w:r>
              <w:r w:rsidRPr="000A4491">
                <w:rPr>
                  <w:rFonts w:ascii="Verdana" w:hAnsi="Verdana"/>
                  <w:sz w:val="20"/>
                </w:rPr>
                <w:fldChar w:fldCharType="end"/>
              </w:r>
            </w:hyperlink>
            <w:r w:rsidRPr="000A4491">
              <w:rPr>
                <w:rFonts w:ascii="Verdana" w:hAnsi="Verdana"/>
                <w:sz w:val="20"/>
              </w:rPr>
              <w:t>)</w:t>
            </w:r>
          </w:p>
        </w:tc>
        <w:tc>
          <w:tcPr>
            <w:tcW w:w="5441" w:type="dxa"/>
          </w:tcPr>
          <w:p w14:paraId="05B95AE1" w14:textId="77777777" w:rsidR="00F935B1" w:rsidRPr="000A4491" w:rsidRDefault="00F935B1" w:rsidP="0083602C">
            <w:pPr>
              <w:rPr>
                <w:rFonts w:ascii="Verdana" w:hAnsi="Verdana"/>
                <w:sz w:val="20"/>
              </w:rPr>
            </w:pPr>
            <w:r w:rsidRPr="000A4491">
              <w:rPr>
                <w:rFonts w:ascii="Verdana" w:hAnsi="Verdana"/>
                <w:sz w:val="20"/>
              </w:rPr>
              <w:t>Directory Advertising</w:t>
            </w:r>
            <w:r w:rsidRPr="000A4491">
              <w:rPr>
                <w:rFonts w:ascii="Verdana" w:hAnsi="Verdana"/>
                <w:sz w:val="20"/>
              </w:rPr>
              <w:fldChar w:fldCharType="begin"/>
            </w:r>
            <w:r w:rsidRPr="000A4491">
              <w:rPr>
                <w:rFonts w:ascii="Verdana" w:hAnsi="Verdana"/>
                <w:sz w:val="20"/>
              </w:rPr>
              <w:instrText>xe "Directory Advertising"</w:instrText>
            </w:r>
            <w:r w:rsidRPr="000A4491">
              <w:rPr>
                <w:rFonts w:ascii="Verdana" w:hAnsi="Verdana"/>
                <w:sz w:val="20"/>
              </w:rPr>
              <w:fldChar w:fldCharType="end"/>
            </w:r>
            <w:r w:rsidRPr="000A4491">
              <w:rPr>
                <w:rFonts w:ascii="Verdana" w:hAnsi="Verdana"/>
                <w:sz w:val="20"/>
              </w:rPr>
              <w:t xml:space="preserve"> is advertising in a telephone directory yellow pages</w:t>
            </w:r>
            <w:r w:rsidRPr="000A4491">
              <w:rPr>
                <w:rFonts w:ascii="Verdana" w:hAnsi="Verdana"/>
                <w:sz w:val="20"/>
              </w:rPr>
              <w:fldChar w:fldCharType="begin"/>
            </w:r>
            <w:r w:rsidRPr="000A4491">
              <w:rPr>
                <w:rFonts w:ascii="Verdana" w:hAnsi="Verdana"/>
                <w:sz w:val="20"/>
              </w:rPr>
              <w:instrText>xe "Yellow Pages"</w:instrText>
            </w:r>
            <w:r w:rsidRPr="000A4491">
              <w:rPr>
                <w:rFonts w:ascii="Verdana" w:hAnsi="Verdana"/>
                <w:sz w:val="20"/>
              </w:rPr>
              <w:fldChar w:fldCharType="end"/>
            </w:r>
            <w:r w:rsidRPr="000A4491">
              <w:rPr>
                <w:rFonts w:ascii="Verdana" w:hAnsi="Verdana"/>
                <w:sz w:val="20"/>
              </w:rPr>
              <w:t>, Internet</w:t>
            </w:r>
            <w:r w:rsidRPr="000A4491">
              <w:rPr>
                <w:rFonts w:ascii="Verdana" w:hAnsi="Verdana"/>
                <w:sz w:val="20"/>
              </w:rPr>
              <w:fldChar w:fldCharType="begin"/>
            </w:r>
            <w:r w:rsidRPr="000A4491">
              <w:rPr>
                <w:rFonts w:ascii="Verdana" w:hAnsi="Verdana"/>
                <w:sz w:val="20"/>
              </w:rPr>
              <w:instrText>xe "Internet"</w:instrText>
            </w:r>
            <w:r w:rsidRPr="000A4491">
              <w:rPr>
                <w:rFonts w:ascii="Verdana" w:hAnsi="Verdana"/>
                <w:sz w:val="20"/>
              </w:rPr>
              <w:fldChar w:fldCharType="end"/>
            </w:r>
            <w:r w:rsidRPr="000A4491">
              <w:rPr>
                <w:rFonts w:ascii="Verdana" w:hAnsi="Verdana"/>
                <w:sz w:val="20"/>
              </w:rPr>
              <w:t>, or elsewhere.  This may be provided by the telephone company or another entity.</w:t>
            </w:r>
          </w:p>
        </w:tc>
      </w:tr>
      <w:tr w:rsidR="00F935B1" w14:paraId="1259C83A" w14:textId="77777777" w:rsidTr="0083602C">
        <w:trPr>
          <w:tblCellSpacing w:w="15" w:type="dxa"/>
        </w:trPr>
        <w:tc>
          <w:tcPr>
            <w:tcW w:w="3656" w:type="dxa"/>
          </w:tcPr>
          <w:p w14:paraId="5CADA30E" w14:textId="77777777" w:rsidR="00F935B1" w:rsidRPr="000A4491" w:rsidRDefault="00F935B1" w:rsidP="0083602C">
            <w:pPr>
              <w:rPr>
                <w:rFonts w:ascii="Verdana" w:hAnsi="Verdana"/>
                <w:sz w:val="20"/>
              </w:rPr>
            </w:pPr>
            <w:r w:rsidRPr="000A4491">
              <w:rPr>
                <w:rFonts w:ascii="Verdana" w:hAnsi="Verdana"/>
                <w:sz w:val="20"/>
              </w:rPr>
              <w:t>Directory Assistance Charges</w:t>
            </w:r>
          </w:p>
          <w:p w14:paraId="0C552BCD" w14:textId="77777777" w:rsidR="00F935B1" w:rsidRPr="000A4491" w:rsidRDefault="00F935B1" w:rsidP="0083602C">
            <w:pPr>
              <w:rPr>
                <w:rFonts w:ascii="Verdana" w:hAnsi="Verdana"/>
                <w:sz w:val="20"/>
              </w:rPr>
            </w:pPr>
            <w:r w:rsidRPr="000A4491">
              <w:rPr>
                <w:rFonts w:ascii="Verdana" w:hAnsi="Verdana"/>
                <w:sz w:val="20"/>
              </w:rPr>
              <w:t>(</w:t>
            </w:r>
            <w:hyperlink w:anchor="aattTelephoneComponents" w:history="1">
              <w:r w:rsidRPr="000A4491">
                <w:rPr>
                  <w:rStyle w:val="Hyperlink"/>
                  <w:rFonts w:ascii="Verdana" w:hAnsi="Verdana"/>
                  <w:sz w:val="20"/>
                </w:rPr>
                <w:t>Telephone Service</w:t>
              </w:r>
              <w:r w:rsidRPr="000A4491">
                <w:rPr>
                  <w:rFonts w:ascii="Verdana" w:hAnsi="Verdana"/>
                  <w:sz w:val="20"/>
                </w:rPr>
                <w:fldChar w:fldCharType="begin"/>
              </w:r>
              <w:r w:rsidRPr="000A4491">
                <w:rPr>
                  <w:rFonts w:ascii="Verdana" w:hAnsi="Verdana"/>
                  <w:sz w:val="20"/>
                </w:rPr>
                <w:instrText>xe "Telephone"</w:instrText>
              </w:r>
              <w:r w:rsidRPr="000A4491">
                <w:rPr>
                  <w:rFonts w:ascii="Verdana" w:hAnsi="Verdana"/>
                  <w:sz w:val="20"/>
                </w:rPr>
                <w:fldChar w:fldCharType="end"/>
              </w:r>
            </w:hyperlink>
            <w:r w:rsidRPr="000A4491">
              <w:rPr>
                <w:rFonts w:ascii="Verdana" w:hAnsi="Verdana"/>
                <w:sz w:val="20"/>
              </w:rPr>
              <w:t>)</w:t>
            </w:r>
          </w:p>
        </w:tc>
        <w:tc>
          <w:tcPr>
            <w:tcW w:w="5441" w:type="dxa"/>
          </w:tcPr>
          <w:p w14:paraId="3A7E1789" w14:textId="77777777" w:rsidR="00F935B1" w:rsidRPr="000A4491" w:rsidRDefault="00F935B1" w:rsidP="0083602C">
            <w:pPr>
              <w:rPr>
                <w:rFonts w:ascii="Verdana" w:hAnsi="Verdana"/>
                <w:sz w:val="20"/>
              </w:rPr>
            </w:pPr>
            <w:r w:rsidRPr="000A4491">
              <w:rPr>
                <w:rFonts w:ascii="Verdana" w:hAnsi="Verdana"/>
                <w:sz w:val="20"/>
              </w:rPr>
              <w:t>Directory Assistance Charges</w:t>
            </w:r>
            <w:r w:rsidRPr="000A4491">
              <w:rPr>
                <w:rFonts w:ascii="Verdana" w:hAnsi="Verdana"/>
                <w:sz w:val="20"/>
              </w:rPr>
              <w:fldChar w:fldCharType="begin"/>
            </w:r>
            <w:r w:rsidRPr="000A4491">
              <w:rPr>
                <w:rFonts w:ascii="Verdana" w:hAnsi="Verdana"/>
                <w:sz w:val="20"/>
              </w:rPr>
              <w:instrText>xe "Directory Assistance Charges"</w:instrText>
            </w:r>
            <w:r w:rsidRPr="000A4491">
              <w:rPr>
                <w:rFonts w:ascii="Verdana" w:hAnsi="Verdana"/>
                <w:sz w:val="20"/>
              </w:rPr>
              <w:fldChar w:fldCharType="end"/>
            </w:r>
            <w:r w:rsidRPr="000A4491">
              <w:rPr>
                <w:rFonts w:ascii="Verdana" w:hAnsi="Verdana"/>
                <w:sz w:val="20"/>
              </w:rPr>
              <w:t xml:space="preserve"> are those charges assessed for calls made to 411 or other Directory Assistance numbers such as (201) </w:t>
            </w:r>
            <w:r w:rsidRPr="000A4491">
              <w:rPr>
                <w:rFonts w:ascii="Verdana" w:hAnsi="Verdana"/>
                <w:sz w:val="20"/>
              </w:rPr>
              <w:lastRenderedPageBreak/>
              <w:t>555-1212 for information.  Typically charges are assessed on a per call basis.</w:t>
            </w:r>
          </w:p>
        </w:tc>
      </w:tr>
      <w:tr w:rsidR="00F935B1" w14:paraId="3B5C7441" w14:textId="77777777" w:rsidTr="0083602C">
        <w:trPr>
          <w:tblCellSpacing w:w="15" w:type="dxa"/>
        </w:trPr>
        <w:tc>
          <w:tcPr>
            <w:tcW w:w="3656" w:type="dxa"/>
          </w:tcPr>
          <w:p w14:paraId="19630A4D" w14:textId="77777777" w:rsidR="00F935B1" w:rsidRPr="000A4491" w:rsidRDefault="00F935B1" w:rsidP="0083602C">
            <w:pPr>
              <w:rPr>
                <w:rFonts w:ascii="Verdana" w:hAnsi="Verdana"/>
                <w:sz w:val="20"/>
              </w:rPr>
            </w:pPr>
            <w:r w:rsidRPr="000A4491">
              <w:rPr>
                <w:rFonts w:ascii="Verdana" w:hAnsi="Verdana"/>
                <w:sz w:val="20"/>
              </w:rPr>
              <w:lastRenderedPageBreak/>
              <w:t>Directory Listings</w:t>
            </w:r>
            <w:r w:rsidRPr="000A4491">
              <w:rPr>
                <w:rFonts w:ascii="Verdana" w:hAnsi="Verdana"/>
                <w:sz w:val="20"/>
              </w:rPr>
              <w:fldChar w:fldCharType="begin"/>
            </w:r>
            <w:r w:rsidRPr="000A4491">
              <w:rPr>
                <w:rFonts w:ascii="Verdana" w:hAnsi="Verdana"/>
                <w:sz w:val="20"/>
              </w:rPr>
              <w:instrText>xe "Directory Listings"</w:instrText>
            </w:r>
            <w:r w:rsidRPr="000A4491">
              <w:rPr>
                <w:rFonts w:ascii="Verdana" w:hAnsi="Verdana"/>
                <w:sz w:val="20"/>
              </w:rPr>
              <w:fldChar w:fldCharType="end"/>
            </w:r>
          </w:p>
          <w:p w14:paraId="078EEC6A" w14:textId="77777777" w:rsidR="00F935B1" w:rsidRPr="000A4491" w:rsidRDefault="00F935B1" w:rsidP="0083602C">
            <w:pPr>
              <w:rPr>
                <w:rFonts w:ascii="Verdana" w:hAnsi="Verdana"/>
                <w:sz w:val="20"/>
              </w:rPr>
            </w:pPr>
            <w:r w:rsidRPr="000A4491">
              <w:rPr>
                <w:rFonts w:ascii="Verdana" w:hAnsi="Verdana"/>
                <w:sz w:val="20"/>
              </w:rPr>
              <w:t>(</w:t>
            </w:r>
            <w:hyperlink w:anchor="aattIneligibleServices" w:history="1">
              <w:r w:rsidRPr="000A4491">
                <w:rPr>
                  <w:rStyle w:val="Hyperlink"/>
                  <w:rFonts w:ascii="Verdana" w:hAnsi="Verdana"/>
                  <w:sz w:val="20"/>
                </w:rPr>
                <w:t>NOT Eligible for Funding as Telecommunications Services</w:t>
              </w:r>
              <w:r w:rsidRPr="000A4491">
                <w:rPr>
                  <w:rFonts w:ascii="Verdana" w:hAnsi="Verdana"/>
                  <w:sz w:val="20"/>
                </w:rPr>
                <w:fldChar w:fldCharType="begin"/>
              </w:r>
              <w:r w:rsidRPr="000A4491">
                <w:rPr>
                  <w:rFonts w:ascii="Verdana" w:hAnsi="Verdana"/>
                  <w:sz w:val="20"/>
                </w:rPr>
                <w:instrText>xe "</w:instrText>
              </w:r>
              <w:r w:rsidRPr="000A4491">
                <w:rPr>
                  <w:rStyle w:val="Hyperlink"/>
                  <w:rFonts w:ascii="Verdana" w:hAnsi="Verdana"/>
                  <w:sz w:val="20"/>
                </w:rPr>
                <w:instrText>Telecommunications</w:instrText>
              </w:r>
              <w:r w:rsidRPr="000A4491">
                <w:rPr>
                  <w:rFonts w:ascii="Verdana" w:hAnsi="Verdana"/>
                  <w:sz w:val="20"/>
                </w:rPr>
                <w:instrText>"</w:instrText>
              </w:r>
              <w:r w:rsidRPr="000A4491">
                <w:rPr>
                  <w:rFonts w:ascii="Verdana" w:hAnsi="Verdana"/>
                  <w:sz w:val="20"/>
                </w:rPr>
                <w:fldChar w:fldCharType="end"/>
              </w:r>
            </w:hyperlink>
            <w:r w:rsidRPr="000A4491">
              <w:rPr>
                <w:rFonts w:ascii="Verdana" w:hAnsi="Verdana"/>
                <w:sz w:val="20"/>
              </w:rPr>
              <w:t>)</w:t>
            </w:r>
          </w:p>
        </w:tc>
        <w:tc>
          <w:tcPr>
            <w:tcW w:w="5441" w:type="dxa"/>
          </w:tcPr>
          <w:p w14:paraId="11105A14" w14:textId="77777777" w:rsidR="00F935B1" w:rsidRPr="000A4491" w:rsidRDefault="00F935B1" w:rsidP="0083602C">
            <w:pPr>
              <w:rPr>
                <w:rFonts w:ascii="Verdana" w:hAnsi="Verdana"/>
                <w:sz w:val="20"/>
              </w:rPr>
            </w:pPr>
            <w:r w:rsidRPr="000A4491">
              <w:rPr>
                <w:rFonts w:ascii="Verdana" w:hAnsi="Verdana"/>
                <w:sz w:val="20"/>
              </w:rPr>
              <w:t>A telephone company directory contains an alphabetical listing, by name, of all telephone subscribers (except those requesting unlisted or non-published service).  Typically, the initial directory listing is provided free of charge to the subscriber, but extra-cost services are available, such as additional listings, unlisted or non-published numbers, and bolded entries.</w:t>
            </w:r>
          </w:p>
        </w:tc>
      </w:tr>
      <w:tr w:rsidR="00F935B1" w14:paraId="48FE7D49" w14:textId="77777777" w:rsidTr="0083602C">
        <w:trPr>
          <w:tblCellSpacing w:w="15" w:type="dxa"/>
        </w:trPr>
        <w:tc>
          <w:tcPr>
            <w:tcW w:w="3656" w:type="dxa"/>
          </w:tcPr>
          <w:p w14:paraId="64E4A3EC" w14:textId="77777777" w:rsidR="00F935B1" w:rsidRPr="000A4491" w:rsidRDefault="00F935B1" w:rsidP="0083602C">
            <w:pPr>
              <w:rPr>
                <w:rFonts w:ascii="Verdana" w:hAnsi="Verdana"/>
                <w:sz w:val="20"/>
              </w:rPr>
            </w:pPr>
            <w:r w:rsidRPr="000A4491">
              <w:rPr>
                <w:rFonts w:ascii="Verdana" w:hAnsi="Verdana"/>
                <w:sz w:val="20"/>
              </w:rPr>
              <w:t>Disaster Recovery</w:t>
            </w:r>
            <w:r w:rsidRPr="000A4491">
              <w:rPr>
                <w:rFonts w:ascii="Verdana" w:hAnsi="Verdana"/>
                <w:sz w:val="20"/>
              </w:rPr>
              <w:fldChar w:fldCharType="begin"/>
            </w:r>
            <w:r w:rsidRPr="000A4491">
              <w:rPr>
                <w:rFonts w:ascii="Verdana" w:hAnsi="Verdana"/>
                <w:sz w:val="20"/>
              </w:rPr>
              <w:instrText>xe "</w:instrText>
            </w:r>
            <w:r w:rsidRPr="000A4491">
              <w:rPr>
                <w:rStyle w:val="Hyperlink"/>
                <w:rFonts w:ascii="Verdana" w:hAnsi="Verdana"/>
                <w:bCs/>
                <w:sz w:val="20"/>
              </w:rPr>
              <w:instrText>Disaster Recovery</w:instrText>
            </w:r>
            <w:r w:rsidRPr="000A4491">
              <w:rPr>
                <w:rFonts w:ascii="Verdana" w:hAnsi="Verdana"/>
                <w:sz w:val="20"/>
              </w:rPr>
              <w:instrText>"</w:instrText>
            </w:r>
            <w:r w:rsidRPr="000A4491">
              <w:rPr>
                <w:rFonts w:ascii="Verdana" w:hAnsi="Verdana"/>
                <w:sz w:val="20"/>
              </w:rPr>
              <w:fldChar w:fldCharType="end"/>
            </w:r>
            <w:r w:rsidRPr="000A4491">
              <w:rPr>
                <w:rFonts w:ascii="Verdana" w:hAnsi="Verdana"/>
                <w:sz w:val="20"/>
              </w:rPr>
              <w:t xml:space="preserve"> </w:t>
            </w:r>
            <w:r w:rsidRPr="000A4491">
              <w:rPr>
                <w:rFonts w:ascii="Verdana" w:hAnsi="Verdana"/>
                <w:sz w:val="20"/>
              </w:rPr>
              <w:br/>
              <w:t>(</w:t>
            </w:r>
            <w:hyperlink w:anchor="aaDataProtection" w:history="1">
              <w:r w:rsidRPr="000A4491">
                <w:rPr>
                  <w:rStyle w:val="Hyperlink"/>
                  <w:rFonts w:ascii="Verdana" w:hAnsi="Verdana"/>
                  <w:sz w:val="20"/>
                </w:rPr>
                <w:t>Not Eligible for E-rate Funding as Internal Connections Components</w:t>
              </w:r>
              <w:r w:rsidRPr="000A4491">
                <w:rPr>
                  <w:rFonts w:ascii="Verdana" w:hAnsi="Verdana"/>
                  <w:sz w:val="20"/>
                </w:rPr>
                <w:fldChar w:fldCharType="begin"/>
              </w:r>
              <w:r w:rsidRPr="000A4491">
                <w:rPr>
                  <w:rFonts w:ascii="Verdana" w:hAnsi="Verdana"/>
                  <w:sz w:val="20"/>
                </w:rPr>
                <w:instrText>xe "Data Protection"</w:instrText>
              </w:r>
              <w:r w:rsidRPr="000A4491">
                <w:rPr>
                  <w:rFonts w:ascii="Verdana" w:hAnsi="Verdana"/>
                  <w:sz w:val="20"/>
                </w:rPr>
                <w:fldChar w:fldCharType="end"/>
              </w:r>
            </w:hyperlink>
            <w:r w:rsidRPr="000A4491">
              <w:rPr>
                <w:rFonts w:ascii="Verdana" w:hAnsi="Verdana"/>
                <w:sz w:val="20"/>
              </w:rPr>
              <w:t>)</w:t>
            </w:r>
          </w:p>
        </w:tc>
        <w:tc>
          <w:tcPr>
            <w:tcW w:w="5441" w:type="dxa"/>
          </w:tcPr>
          <w:p w14:paraId="32718B6C" w14:textId="77777777" w:rsidR="00F935B1" w:rsidRPr="000A4491" w:rsidRDefault="00F935B1" w:rsidP="0083602C">
            <w:pPr>
              <w:pStyle w:val="NormalWeb"/>
              <w:spacing w:before="0" w:beforeAutospacing="0" w:after="0"/>
              <w:rPr>
                <w:rFonts w:ascii="Verdana" w:hAnsi="Verdana"/>
                <w:sz w:val="20"/>
              </w:rPr>
            </w:pPr>
            <w:r w:rsidRPr="000A4491">
              <w:rPr>
                <w:rFonts w:ascii="Verdana" w:hAnsi="Verdana"/>
                <w:sz w:val="20"/>
              </w:rPr>
              <w:t>Disaster recovery</w:t>
            </w:r>
            <w:r w:rsidRPr="000A4491">
              <w:rPr>
                <w:rFonts w:ascii="Verdana" w:hAnsi="Verdana"/>
                <w:sz w:val="20"/>
              </w:rPr>
              <w:fldChar w:fldCharType="begin"/>
            </w:r>
            <w:r w:rsidRPr="000A4491">
              <w:rPr>
                <w:rFonts w:ascii="Verdana" w:hAnsi="Verdana"/>
                <w:sz w:val="20"/>
              </w:rPr>
              <w:instrText>xe "Disaster Recovery"</w:instrText>
            </w:r>
            <w:r w:rsidRPr="000A4491">
              <w:rPr>
                <w:rFonts w:ascii="Verdana" w:hAnsi="Verdana"/>
                <w:sz w:val="20"/>
              </w:rPr>
              <w:fldChar w:fldCharType="end"/>
            </w:r>
            <w:r w:rsidRPr="000A4491">
              <w:rPr>
                <w:rFonts w:ascii="Verdana" w:hAnsi="Verdana"/>
                <w:sz w:val="20"/>
              </w:rPr>
              <w:t xml:space="preserve"> describes a means of restoring service to a computer network that has suffered a disaster.  Such costs may include the rental of a site that houses links and equipment that is modeled after the damaged network.</w:t>
            </w:r>
          </w:p>
        </w:tc>
      </w:tr>
      <w:tr w:rsidR="00F935B1" w14:paraId="3A47E613" w14:textId="77777777" w:rsidTr="0083602C">
        <w:trPr>
          <w:tblCellSpacing w:w="15" w:type="dxa"/>
        </w:trPr>
        <w:tc>
          <w:tcPr>
            <w:tcW w:w="3656" w:type="dxa"/>
          </w:tcPr>
          <w:p w14:paraId="66192532" w14:textId="77777777" w:rsidR="00F935B1" w:rsidRPr="000A4491" w:rsidRDefault="00F935B1" w:rsidP="0083602C">
            <w:pPr>
              <w:rPr>
                <w:rFonts w:ascii="Verdana" w:hAnsi="Verdana"/>
                <w:sz w:val="20"/>
              </w:rPr>
            </w:pPr>
            <w:r w:rsidRPr="000A4491">
              <w:rPr>
                <w:rFonts w:ascii="Verdana" w:hAnsi="Verdana"/>
                <w:sz w:val="20"/>
              </w:rPr>
              <w:t>Distance Learning</w:t>
            </w:r>
            <w:r w:rsidRPr="000A4491">
              <w:rPr>
                <w:rFonts w:ascii="Verdana" w:hAnsi="Verdana"/>
                <w:sz w:val="20"/>
              </w:rPr>
              <w:fldChar w:fldCharType="begin"/>
            </w:r>
            <w:r w:rsidRPr="000A4491">
              <w:rPr>
                <w:rFonts w:ascii="Verdana" w:hAnsi="Verdana"/>
                <w:sz w:val="20"/>
              </w:rPr>
              <w:instrText>xe "Distance Learning"</w:instrText>
            </w:r>
            <w:r w:rsidRPr="000A4491">
              <w:rPr>
                <w:rFonts w:ascii="Verdana" w:hAnsi="Verdana"/>
                <w:sz w:val="20"/>
              </w:rPr>
              <w:fldChar w:fldCharType="end"/>
            </w:r>
          </w:p>
          <w:p w14:paraId="6DB4DA89" w14:textId="77777777" w:rsidR="00F935B1" w:rsidRPr="000A4491" w:rsidRDefault="00F935B1" w:rsidP="0083602C">
            <w:pPr>
              <w:rPr>
                <w:rFonts w:ascii="Verdana" w:hAnsi="Verdana"/>
                <w:sz w:val="20"/>
              </w:rPr>
            </w:pPr>
            <w:r w:rsidRPr="000A4491">
              <w:rPr>
                <w:rFonts w:ascii="Verdana" w:hAnsi="Verdana"/>
                <w:sz w:val="20"/>
              </w:rPr>
              <w:t>(</w:t>
            </w:r>
            <w:hyperlink w:anchor="aattDigitalTransmissionServices" w:history="1">
              <w:r w:rsidRPr="000A4491">
                <w:rPr>
                  <w:rStyle w:val="Hyperlink"/>
                  <w:rFonts w:ascii="Verdana" w:hAnsi="Verdana"/>
                  <w:sz w:val="20"/>
                </w:rPr>
                <w:t>Digital Transmission Services</w:t>
              </w:r>
            </w:hyperlink>
            <w:r w:rsidRPr="000A4491">
              <w:rPr>
                <w:rFonts w:ascii="Verdana" w:hAnsi="Verdana"/>
                <w:sz w:val="20"/>
              </w:rPr>
              <w:t>)</w:t>
            </w:r>
          </w:p>
        </w:tc>
        <w:tc>
          <w:tcPr>
            <w:tcW w:w="5441" w:type="dxa"/>
          </w:tcPr>
          <w:p w14:paraId="4E309EC6" w14:textId="77777777" w:rsidR="00F935B1" w:rsidRPr="000A4491" w:rsidRDefault="00F935B1" w:rsidP="0083602C">
            <w:pPr>
              <w:rPr>
                <w:rFonts w:ascii="Verdana" w:hAnsi="Verdana"/>
                <w:sz w:val="20"/>
              </w:rPr>
            </w:pPr>
            <w:r w:rsidRPr="000A4491">
              <w:rPr>
                <w:rFonts w:ascii="Verdana" w:hAnsi="Verdana"/>
                <w:sz w:val="20"/>
              </w:rPr>
              <w:t>Distance Learning</w:t>
            </w:r>
            <w:r w:rsidRPr="000A4491">
              <w:rPr>
                <w:rFonts w:ascii="Verdana" w:hAnsi="Verdana"/>
                <w:sz w:val="20"/>
              </w:rPr>
              <w:fldChar w:fldCharType="begin"/>
            </w:r>
            <w:r w:rsidRPr="000A4491">
              <w:rPr>
                <w:rFonts w:ascii="Verdana" w:hAnsi="Verdana"/>
                <w:sz w:val="20"/>
              </w:rPr>
              <w:instrText>xe "Distance Learning"</w:instrText>
            </w:r>
            <w:r w:rsidRPr="000A4491">
              <w:rPr>
                <w:rFonts w:ascii="Verdana" w:hAnsi="Verdana"/>
                <w:sz w:val="20"/>
              </w:rPr>
              <w:fldChar w:fldCharType="end"/>
            </w:r>
            <w:r w:rsidRPr="000A4491">
              <w:rPr>
                <w:rFonts w:ascii="Verdana" w:hAnsi="Verdana"/>
                <w:sz w:val="20"/>
              </w:rPr>
              <w:t xml:space="preserve"> utilizes video</w:t>
            </w:r>
            <w:r w:rsidRPr="000A4491">
              <w:rPr>
                <w:rFonts w:ascii="Verdana" w:hAnsi="Verdana"/>
                <w:sz w:val="20"/>
              </w:rPr>
              <w:fldChar w:fldCharType="begin"/>
            </w:r>
            <w:r w:rsidRPr="000A4491">
              <w:rPr>
                <w:rFonts w:ascii="Verdana" w:hAnsi="Verdana"/>
                <w:sz w:val="20"/>
              </w:rPr>
              <w:instrText>xe "Video"</w:instrText>
            </w:r>
            <w:r w:rsidRPr="000A4491">
              <w:rPr>
                <w:rFonts w:ascii="Verdana" w:hAnsi="Verdana"/>
                <w:sz w:val="20"/>
              </w:rPr>
              <w:fldChar w:fldCharType="end"/>
            </w:r>
            <w:r w:rsidRPr="000A4491">
              <w:rPr>
                <w:rFonts w:ascii="Verdana" w:hAnsi="Verdana"/>
                <w:sz w:val="20"/>
              </w:rPr>
              <w:t xml:space="preserve"> and audio technologies to allow students who are remotely located from other students or the lecturer to participate interactively with the class.</w:t>
            </w:r>
          </w:p>
        </w:tc>
      </w:tr>
      <w:tr w:rsidR="00F935B1" w14:paraId="3E7DEF1D" w14:textId="77777777" w:rsidTr="0083602C">
        <w:trPr>
          <w:tblCellSpacing w:w="15" w:type="dxa"/>
        </w:trPr>
        <w:tc>
          <w:tcPr>
            <w:tcW w:w="3656" w:type="dxa"/>
          </w:tcPr>
          <w:p w14:paraId="73524010" w14:textId="77777777" w:rsidR="00F935B1" w:rsidRPr="000A4491" w:rsidRDefault="00F935B1" w:rsidP="0083602C">
            <w:pPr>
              <w:rPr>
                <w:rFonts w:ascii="Verdana" w:hAnsi="Verdana"/>
                <w:sz w:val="20"/>
                <w:lang w:val="fr-FR"/>
              </w:rPr>
            </w:pPr>
            <w:r w:rsidRPr="000A4491">
              <w:rPr>
                <w:rFonts w:ascii="Verdana" w:hAnsi="Verdana"/>
                <w:sz w:val="20"/>
                <w:lang w:val="fr-FR"/>
              </w:rPr>
              <w:t>Documentation</w:t>
            </w:r>
            <w:r w:rsidRPr="000A4491">
              <w:rPr>
                <w:rFonts w:ascii="Verdana" w:hAnsi="Verdana"/>
                <w:sz w:val="20"/>
                <w:lang w:val="fr-FR"/>
              </w:rPr>
              <w:fldChar w:fldCharType="begin"/>
            </w:r>
            <w:r w:rsidRPr="000A4491">
              <w:rPr>
                <w:rFonts w:ascii="Verdana" w:hAnsi="Verdana"/>
                <w:sz w:val="20"/>
                <w:lang w:val="fr-FR"/>
              </w:rPr>
              <w:instrText>xe "</w:instrText>
            </w:r>
            <w:r w:rsidRPr="000A4491">
              <w:rPr>
                <w:rStyle w:val="Hyperlink"/>
                <w:rFonts w:ascii="Verdana" w:hAnsi="Verdana"/>
                <w:bCs/>
                <w:sz w:val="20"/>
                <w:lang w:val="fr-FR"/>
              </w:rPr>
              <w:instrText>Documentation</w:instrText>
            </w:r>
            <w:r w:rsidRPr="000A4491">
              <w:rPr>
                <w:rFonts w:ascii="Verdana" w:hAnsi="Verdana"/>
                <w:sz w:val="20"/>
                <w:lang w:val="fr-FR"/>
              </w:rPr>
              <w:instrText>"</w:instrText>
            </w:r>
            <w:r w:rsidRPr="000A4491">
              <w:rPr>
                <w:rFonts w:ascii="Verdana" w:hAnsi="Verdana"/>
                <w:sz w:val="20"/>
                <w:lang w:val="fr-FR"/>
              </w:rPr>
              <w:fldChar w:fldCharType="end"/>
            </w:r>
            <w:r w:rsidRPr="000A4491">
              <w:rPr>
                <w:rFonts w:ascii="Verdana" w:hAnsi="Verdana"/>
                <w:sz w:val="20"/>
                <w:lang w:val="fr-FR"/>
              </w:rPr>
              <w:t xml:space="preserve"> </w:t>
            </w:r>
            <w:r w:rsidRPr="000A4491">
              <w:rPr>
                <w:rFonts w:ascii="Verdana" w:hAnsi="Verdana"/>
                <w:sz w:val="20"/>
                <w:lang w:val="fr-FR"/>
              </w:rPr>
              <w:br/>
              <w:t>(</w:t>
            </w:r>
            <w:hyperlink w:anchor="aaOtherEligibleComponents" w:history="1">
              <w:r w:rsidRPr="000A4491">
                <w:rPr>
                  <w:rStyle w:val="Hyperlink"/>
                  <w:rFonts w:ascii="Verdana" w:hAnsi="Verdana"/>
                  <w:sz w:val="20"/>
                  <w:lang w:val="fr-FR"/>
                </w:rPr>
                <w:t>Other Eligible Internal Connections Components</w:t>
              </w:r>
            </w:hyperlink>
            <w:r w:rsidRPr="000A4491">
              <w:rPr>
                <w:rFonts w:ascii="Verdana" w:hAnsi="Verdana"/>
                <w:sz w:val="20"/>
                <w:lang w:val="fr-FR"/>
              </w:rPr>
              <w:t>)</w:t>
            </w:r>
          </w:p>
        </w:tc>
        <w:tc>
          <w:tcPr>
            <w:tcW w:w="5441" w:type="dxa"/>
          </w:tcPr>
          <w:p w14:paraId="3570ABDC" w14:textId="77777777" w:rsidR="00F935B1" w:rsidRPr="000A4491" w:rsidRDefault="00F935B1" w:rsidP="0083602C">
            <w:pPr>
              <w:pStyle w:val="NormalWeb"/>
              <w:spacing w:before="0" w:beforeAutospacing="0" w:after="0"/>
              <w:rPr>
                <w:rFonts w:ascii="Verdana" w:hAnsi="Verdana"/>
                <w:sz w:val="20"/>
              </w:rPr>
            </w:pPr>
            <w:r w:rsidRPr="000A4491">
              <w:rPr>
                <w:rFonts w:ascii="Verdana" w:hAnsi="Verdana"/>
                <w:sz w:val="20"/>
              </w:rPr>
              <w:t>Documentation</w:t>
            </w:r>
            <w:r w:rsidRPr="000A4491">
              <w:rPr>
                <w:rFonts w:ascii="Verdana" w:hAnsi="Verdana"/>
                <w:sz w:val="20"/>
              </w:rPr>
              <w:fldChar w:fldCharType="begin"/>
            </w:r>
            <w:r w:rsidRPr="000A4491">
              <w:rPr>
                <w:rFonts w:ascii="Verdana" w:hAnsi="Verdana"/>
                <w:sz w:val="20"/>
              </w:rPr>
              <w:instrText>xe "</w:instrText>
            </w:r>
            <w:r w:rsidRPr="000A4491">
              <w:rPr>
                <w:rStyle w:val="Hyperlink"/>
                <w:rFonts w:ascii="Verdana" w:hAnsi="Verdana"/>
                <w:bCs/>
                <w:sz w:val="20"/>
              </w:rPr>
              <w:instrText>Documentation</w:instrText>
            </w:r>
            <w:r w:rsidRPr="000A4491">
              <w:rPr>
                <w:rFonts w:ascii="Verdana" w:hAnsi="Verdana"/>
                <w:sz w:val="20"/>
              </w:rPr>
              <w:instrText>"</w:instrText>
            </w:r>
            <w:r w:rsidRPr="000A4491">
              <w:rPr>
                <w:rFonts w:ascii="Verdana" w:hAnsi="Verdana"/>
                <w:sz w:val="20"/>
              </w:rPr>
              <w:fldChar w:fldCharType="end"/>
            </w:r>
            <w:r w:rsidRPr="000A4491">
              <w:rPr>
                <w:rFonts w:ascii="Verdana" w:hAnsi="Verdana"/>
                <w:sz w:val="20"/>
              </w:rPr>
              <w:t xml:space="preserve"> includes support material provided in the form of paper or electronic media.  It may include diagrams</w:t>
            </w:r>
            <w:r w:rsidRPr="000A4491">
              <w:rPr>
                <w:rFonts w:ascii="Verdana" w:hAnsi="Verdana"/>
                <w:sz w:val="20"/>
              </w:rPr>
              <w:fldChar w:fldCharType="begin"/>
            </w:r>
            <w:r w:rsidRPr="000A4491">
              <w:rPr>
                <w:rFonts w:ascii="Verdana" w:hAnsi="Verdana"/>
                <w:sz w:val="20"/>
              </w:rPr>
              <w:instrText>xe "Diagrams"</w:instrText>
            </w:r>
            <w:r w:rsidRPr="000A4491">
              <w:rPr>
                <w:rFonts w:ascii="Verdana" w:hAnsi="Verdana"/>
                <w:sz w:val="20"/>
              </w:rPr>
              <w:fldChar w:fldCharType="end"/>
            </w:r>
            <w:r w:rsidRPr="000A4491">
              <w:rPr>
                <w:rFonts w:ascii="Verdana" w:hAnsi="Verdana"/>
                <w:sz w:val="20"/>
              </w:rPr>
              <w:t>, blueprints</w:t>
            </w:r>
            <w:r w:rsidRPr="000A4491">
              <w:rPr>
                <w:rFonts w:ascii="Verdana" w:hAnsi="Verdana"/>
                <w:sz w:val="20"/>
              </w:rPr>
              <w:fldChar w:fldCharType="begin"/>
            </w:r>
            <w:r w:rsidRPr="000A4491">
              <w:rPr>
                <w:rFonts w:ascii="Verdana" w:hAnsi="Verdana"/>
                <w:sz w:val="20"/>
              </w:rPr>
              <w:instrText>xe "Blueprints"</w:instrText>
            </w:r>
            <w:r w:rsidRPr="000A4491">
              <w:rPr>
                <w:rFonts w:ascii="Verdana" w:hAnsi="Verdana"/>
                <w:sz w:val="20"/>
              </w:rPr>
              <w:fldChar w:fldCharType="end"/>
            </w:r>
            <w:r w:rsidRPr="000A4491">
              <w:rPr>
                <w:rFonts w:ascii="Verdana" w:hAnsi="Verdana"/>
                <w:sz w:val="20"/>
              </w:rPr>
              <w:t>, equipment specifications, or instruction</w:t>
            </w:r>
            <w:r w:rsidRPr="000A4491">
              <w:rPr>
                <w:rFonts w:ascii="Verdana" w:hAnsi="Verdana"/>
                <w:sz w:val="20"/>
              </w:rPr>
              <w:fldChar w:fldCharType="begin"/>
            </w:r>
            <w:r w:rsidRPr="000A4491">
              <w:rPr>
                <w:rFonts w:ascii="Verdana" w:hAnsi="Verdana"/>
                <w:sz w:val="20"/>
              </w:rPr>
              <w:instrText>xe "Instruction"</w:instrText>
            </w:r>
            <w:r w:rsidRPr="000A4491">
              <w:rPr>
                <w:rFonts w:ascii="Verdana" w:hAnsi="Verdana"/>
                <w:sz w:val="20"/>
              </w:rPr>
              <w:fldChar w:fldCharType="end"/>
            </w:r>
            <w:r w:rsidRPr="000A4491">
              <w:rPr>
                <w:rFonts w:ascii="Verdana" w:hAnsi="Verdana"/>
                <w:sz w:val="20"/>
              </w:rPr>
              <w:t xml:space="preserve"> manuals for services and products.</w:t>
            </w:r>
          </w:p>
        </w:tc>
      </w:tr>
      <w:tr w:rsidR="00F935B1" w14:paraId="0111DF2B" w14:textId="77777777" w:rsidTr="0083602C">
        <w:trPr>
          <w:tblCellSpacing w:w="15" w:type="dxa"/>
        </w:trPr>
        <w:tc>
          <w:tcPr>
            <w:tcW w:w="3656" w:type="dxa"/>
          </w:tcPr>
          <w:p w14:paraId="004AFD5C" w14:textId="77777777" w:rsidR="00F935B1" w:rsidRPr="000A4491" w:rsidRDefault="00F935B1" w:rsidP="0083602C">
            <w:pPr>
              <w:rPr>
                <w:rFonts w:ascii="Verdana" w:hAnsi="Verdana"/>
                <w:sz w:val="20"/>
              </w:rPr>
            </w:pPr>
            <w:r w:rsidRPr="000A4491">
              <w:rPr>
                <w:rFonts w:ascii="Verdana" w:hAnsi="Verdana"/>
                <w:sz w:val="20"/>
              </w:rPr>
              <w:t>Domain Name</w:t>
            </w:r>
            <w:r w:rsidRPr="000A4491">
              <w:rPr>
                <w:rFonts w:ascii="Verdana" w:hAnsi="Verdana"/>
                <w:sz w:val="20"/>
              </w:rPr>
              <w:fldChar w:fldCharType="begin"/>
            </w:r>
            <w:r w:rsidRPr="000A4491">
              <w:rPr>
                <w:rFonts w:ascii="Verdana" w:hAnsi="Verdana"/>
                <w:sz w:val="20"/>
              </w:rPr>
              <w:instrText>xe "Domain Name"</w:instrText>
            </w:r>
            <w:r w:rsidRPr="000A4491">
              <w:rPr>
                <w:rFonts w:ascii="Verdana" w:hAnsi="Verdana"/>
                <w:sz w:val="20"/>
              </w:rPr>
              <w:fldChar w:fldCharType="end"/>
            </w:r>
            <w:r w:rsidRPr="000A4491">
              <w:rPr>
                <w:rFonts w:ascii="Verdana" w:hAnsi="Verdana"/>
                <w:sz w:val="20"/>
              </w:rPr>
              <w:t xml:space="preserve"> Registration</w:t>
            </w:r>
          </w:p>
          <w:p w14:paraId="57E67362" w14:textId="77777777" w:rsidR="00F935B1" w:rsidRPr="000A4491" w:rsidRDefault="00F935B1" w:rsidP="0083602C">
            <w:pPr>
              <w:rPr>
                <w:rFonts w:ascii="Verdana" w:hAnsi="Verdana"/>
                <w:sz w:val="20"/>
              </w:rPr>
            </w:pPr>
            <w:r w:rsidRPr="000A4491">
              <w:rPr>
                <w:rFonts w:ascii="Verdana" w:hAnsi="Verdana"/>
                <w:sz w:val="20"/>
              </w:rPr>
              <w:t>(</w:t>
            </w:r>
            <w:hyperlink w:anchor="IAWebHostingEligible" w:history="1">
              <w:r w:rsidRPr="000A4491">
                <w:rPr>
                  <w:rStyle w:val="Hyperlink"/>
                  <w:rFonts w:ascii="Verdana" w:hAnsi="Verdana"/>
                  <w:sz w:val="20"/>
                </w:rPr>
                <w:t>Internet - Related Services</w:t>
              </w:r>
            </w:hyperlink>
            <w:r w:rsidRPr="000A4491">
              <w:rPr>
                <w:rFonts w:ascii="Verdana" w:hAnsi="Verdana"/>
                <w:sz w:val="20"/>
              </w:rPr>
              <w:t>)</w:t>
            </w:r>
          </w:p>
        </w:tc>
        <w:tc>
          <w:tcPr>
            <w:tcW w:w="5441" w:type="dxa"/>
          </w:tcPr>
          <w:p w14:paraId="3EE562F3" w14:textId="77777777" w:rsidR="00F935B1" w:rsidRPr="000A4491" w:rsidRDefault="00F935B1" w:rsidP="0083602C">
            <w:pPr>
              <w:pStyle w:val="NormalWeb"/>
              <w:spacing w:before="0" w:beforeAutospacing="0" w:after="0"/>
              <w:rPr>
                <w:rFonts w:ascii="Verdana" w:hAnsi="Verdana"/>
                <w:sz w:val="20"/>
              </w:rPr>
            </w:pPr>
            <w:r w:rsidRPr="000A4491">
              <w:rPr>
                <w:rFonts w:ascii="Verdana" w:hAnsi="Verdana"/>
                <w:sz w:val="20"/>
              </w:rPr>
              <w:t>A Domain Name</w:t>
            </w:r>
            <w:r w:rsidRPr="000A4491">
              <w:rPr>
                <w:rFonts w:ascii="Verdana" w:hAnsi="Verdana"/>
                <w:sz w:val="20"/>
              </w:rPr>
              <w:fldChar w:fldCharType="begin"/>
            </w:r>
            <w:r w:rsidRPr="000A4491">
              <w:rPr>
                <w:rFonts w:ascii="Verdana" w:hAnsi="Verdana"/>
                <w:sz w:val="20"/>
              </w:rPr>
              <w:instrText>xe "Domain Name"</w:instrText>
            </w:r>
            <w:r w:rsidRPr="000A4491">
              <w:rPr>
                <w:rFonts w:ascii="Verdana" w:hAnsi="Verdana"/>
                <w:sz w:val="20"/>
              </w:rPr>
              <w:fldChar w:fldCharType="end"/>
            </w:r>
            <w:r w:rsidRPr="000A4491">
              <w:rPr>
                <w:rFonts w:ascii="Verdana" w:hAnsi="Verdana"/>
                <w:sz w:val="20"/>
              </w:rPr>
              <w:t xml:space="preserve"> indicates an address of location on the Internet</w:t>
            </w:r>
            <w:r w:rsidRPr="000A4491">
              <w:rPr>
                <w:rFonts w:ascii="Verdana" w:hAnsi="Verdana"/>
                <w:sz w:val="20"/>
              </w:rPr>
              <w:fldChar w:fldCharType="begin"/>
            </w:r>
            <w:r w:rsidRPr="000A4491">
              <w:rPr>
                <w:rFonts w:ascii="Verdana" w:hAnsi="Verdana"/>
                <w:sz w:val="20"/>
              </w:rPr>
              <w:instrText>xe "Internet"</w:instrText>
            </w:r>
            <w:r w:rsidRPr="000A4491">
              <w:rPr>
                <w:rFonts w:ascii="Verdana" w:hAnsi="Verdana"/>
                <w:sz w:val="20"/>
              </w:rPr>
              <w:fldChar w:fldCharType="end"/>
            </w:r>
            <w:r w:rsidRPr="000A4491">
              <w:rPr>
                <w:rFonts w:ascii="Verdana" w:hAnsi="Verdana"/>
                <w:sz w:val="20"/>
              </w:rPr>
              <w:t>.  For the e-mail</w:t>
            </w:r>
            <w:r w:rsidRPr="000A4491">
              <w:rPr>
                <w:rFonts w:ascii="Verdana" w:hAnsi="Verdana"/>
                <w:sz w:val="20"/>
              </w:rPr>
              <w:fldChar w:fldCharType="begin"/>
            </w:r>
            <w:r w:rsidRPr="000A4491">
              <w:rPr>
                <w:rFonts w:ascii="Verdana" w:hAnsi="Verdana"/>
                <w:sz w:val="20"/>
              </w:rPr>
              <w:instrText>xe "E-Mail"</w:instrText>
            </w:r>
            <w:r w:rsidRPr="000A4491">
              <w:rPr>
                <w:rFonts w:ascii="Verdana" w:hAnsi="Verdana"/>
                <w:sz w:val="20"/>
              </w:rPr>
              <w:fldChar w:fldCharType="end"/>
            </w:r>
            <w:r w:rsidRPr="000A4491">
              <w:rPr>
                <w:rFonts w:ascii="Verdana" w:hAnsi="Verdana"/>
                <w:sz w:val="20"/>
              </w:rPr>
              <w:t xml:space="preserve"> address portion of a symbolic abc@xyz.org, the domain name is xyz.org.  Domain Name Registration is the registering of the name and the charge associated with the registration process.</w:t>
            </w:r>
          </w:p>
        </w:tc>
      </w:tr>
      <w:tr w:rsidR="00F935B1" w14:paraId="318DBA81" w14:textId="77777777" w:rsidTr="0083602C">
        <w:trPr>
          <w:tblCellSpacing w:w="15" w:type="dxa"/>
        </w:trPr>
        <w:tc>
          <w:tcPr>
            <w:tcW w:w="3656" w:type="dxa"/>
          </w:tcPr>
          <w:p w14:paraId="25AB34C3" w14:textId="77777777" w:rsidR="00F935B1" w:rsidRPr="000A4491" w:rsidRDefault="00F935B1" w:rsidP="0083602C">
            <w:pPr>
              <w:rPr>
                <w:rFonts w:ascii="Verdana" w:hAnsi="Verdana"/>
                <w:sz w:val="20"/>
                <w:lang w:val="fr-FR"/>
              </w:rPr>
            </w:pPr>
            <w:r w:rsidRPr="000A4491">
              <w:rPr>
                <w:rFonts w:ascii="Verdana" w:hAnsi="Verdana"/>
                <w:sz w:val="20"/>
                <w:lang w:val="fr-FR"/>
              </w:rPr>
              <w:t xml:space="preserve">Domain Name Service (DNS) </w:t>
            </w:r>
          </w:p>
          <w:p w14:paraId="3413E2E6" w14:textId="77777777" w:rsidR="00F935B1" w:rsidRPr="000A4491" w:rsidRDefault="00F935B1" w:rsidP="0083602C">
            <w:pPr>
              <w:rPr>
                <w:rFonts w:ascii="Verdana" w:hAnsi="Verdana"/>
                <w:sz w:val="20"/>
                <w:lang w:val="fr-FR"/>
              </w:rPr>
            </w:pPr>
            <w:r w:rsidRPr="000A4491">
              <w:rPr>
                <w:rFonts w:ascii="Verdana" w:hAnsi="Verdana"/>
                <w:sz w:val="20"/>
                <w:lang w:val="fr-FR"/>
              </w:rPr>
              <w:t>(</w:t>
            </w:r>
            <w:hyperlink w:anchor="InternetInternetAccess" w:history="1">
              <w:r w:rsidRPr="000A4491">
                <w:rPr>
                  <w:rStyle w:val="Hyperlink"/>
                  <w:rFonts w:ascii="Verdana" w:hAnsi="Verdana"/>
                  <w:sz w:val="20"/>
                  <w:lang w:val="fr-FR"/>
                </w:rPr>
                <w:t>Internet Access</w:t>
              </w:r>
              <w:r w:rsidRPr="000A4491">
                <w:rPr>
                  <w:rFonts w:ascii="Verdana" w:hAnsi="Verdana"/>
                  <w:sz w:val="20"/>
                  <w:lang w:val="fr-FR"/>
                </w:rPr>
                <w:fldChar w:fldCharType="begin"/>
              </w:r>
              <w:r w:rsidRPr="000A4491">
                <w:rPr>
                  <w:rFonts w:ascii="Verdana" w:hAnsi="Verdana"/>
                  <w:sz w:val="20"/>
                  <w:lang w:val="fr-FR"/>
                </w:rPr>
                <w:instrText>xe "Internet"</w:instrText>
              </w:r>
              <w:r w:rsidRPr="000A4491">
                <w:rPr>
                  <w:rFonts w:ascii="Verdana" w:hAnsi="Verdana"/>
                  <w:sz w:val="20"/>
                  <w:lang w:val="fr-FR"/>
                </w:rPr>
                <w:fldChar w:fldCharType="end"/>
              </w:r>
            </w:hyperlink>
            <w:r w:rsidRPr="000A4491">
              <w:rPr>
                <w:rFonts w:ascii="Verdana" w:hAnsi="Verdana"/>
                <w:sz w:val="20"/>
                <w:lang w:val="fr-FR"/>
              </w:rPr>
              <w:t>) (</w:t>
            </w:r>
            <w:hyperlink w:anchor="aaServers" w:history="1">
              <w:r w:rsidRPr="000A4491">
                <w:rPr>
                  <w:rStyle w:val="Hyperlink"/>
                  <w:rFonts w:ascii="Verdana" w:hAnsi="Verdana"/>
                  <w:sz w:val="20"/>
                  <w:lang w:val="fr-FR"/>
                </w:rPr>
                <w:t>Servers</w:t>
              </w:r>
              <w:r w:rsidRPr="000A4491">
                <w:rPr>
                  <w:rFonts w:ascii="Verdana" w:hAnsi="Verdana"/>
                  <w:sz w:val="20"/>
                  <w:lang w:val="fr-FR"/>
                </w:rPr>
                <w:fldChar w:fldCharType="begin"/>
              </w:r>
              <w:r w:rsidRPr="000A4491">
                <w:rPr>
                  <w:rFonts w:ascii="Verdana" w:hAnsi="Verdana"/>
                  <w:sz w:val="20"/>
                  <w:lang w:val="fr-FR"/>
                </w:rPr>
                <w:instrText>xe "Servers"</w:instrText>
              </w:r>
              <w:r w:rsidRPr="000A4491">
                <w:rPr>
                  <w:rFonts w:ascii="Verdana" w:hAnsi="Verdana"/>
                  <w:sz w:val="20"/>
                  <w:lang w:val="fr-FR"/>
                </w:rPr>
                <w:fldChar w:fldCharType="end"/>
              </w:r>
            </w:hyperlink>
            <w:r w:rsidRPr="000A4491">
              <w:rPr>
                <w:rFonts w:ascii="Verdana" w:hAnsi="Verdana"/>
                <w:sz w:val="20"/>
                <w:lang w:val="fr-FR"/>
              </w:rPr>
              <w:t>)</w:t>
            </w:r>
          </w:p>
        </w:tc>
        <w:tc>
          <w:tcPr>
            <w:tcW w:w="5441" w:type="dxa"/>
          </w:tcPr>
          <w:p w14:paraId="79F47086" w14:textId="6407C0A6" w:rsidR="00F935B1" w:rsidRPr="000A4491" w:rsidRDefault="00F935B1" w:rsidP="0083602C">
            <w:pPr>
              <w:pStyle w:val="NormalWeb"/>
              <w:spacing w:before="0" w:beforeAutospacing="0" w:after="0"/>
              <w:rPr>
                <w:rFonts w:ascii="Verdana" w:hAnsi="Verdana"/>
                <w:sz w:val="20"/>
              </w:rPr>
            </w:pPr>
            <w:r w:rsidRPr="000A4491">
              <w:rPr>
                <w:rFonts w:ascii="Verdana" w:hAnsi="Verdana" w:cs="Arial"/>
                <w:sz w:val="20"/>
              </w:rPr>
              <w:t xml:space="preserve">Domain names, such as </w:t>
            </w:r>
            <w:hyperlink r:id="rId47" w:history="1">
              <w:r w:rsidRPr="000A4491">
                <w:rPr>
                  <w:rStyle w:val="Hyperlink"/>
                  <w:rFonts w:ascii="Verdana" w:hAnsi="Verdana" w:cs="Arial"/>
                  <w:sz w:val="20"/>
                </w:rPr>
                <w:t>www.fcc.gov</w:t>
              </w:r>
            </w:hyperlink>
            <w:r w:rsidRPr="000A4491">
              <w:rPr>
                <w:rFonts w:ascii="Verdana" w:hAnsi="Verdana" w:cs="Arial"/>
                <w:sz w:val="20"/>
              </w:rPr>
              <w:t>, are alphabetic, so they are easier to remember than the IP addresses on which the Internet</w:t>
            </w:r>
            <w:r w:rsidRPr="000A4491">
              <w:rPr>
                <w:rFonts w:ascii="Verdana" w:hAnsi="Verdana"/>
                <w:sz w:val="20"/>
              </w:rPr>
              <w:fldChar w:fldCharType="begin"/>
            </w:r>
            <w:r w:rsidRPr="000A4491">
              <w:rPr>
                <w:rFonts w:ascii="Verdana" w:hAnsi="Verdana"/>
                <w:sz w:val="20"/>
              </w:rPr>
              <w:instrText>xe "Internet"</w:instrText>
            </w:r>
            <w:r w:rsidRPr="000A4491">
              <w:rPr>
                <w:rFonts w:ascii="Verdana" w:hAnsi="Verdana"/>
                <w:sz w:val="20"/>
              </w:rPr>
              <w:fldChar w:fldCharType="end"/>
            </w:r>
            <w:r w:rsidRPr="000A4491">
              <w:rPr>
                <w:rFonts w:ascii="Verdana" w:hAnsi="Verdana" w:cs="Arial"/>
                <w:sz w:val="20"/>
              </w:rPr>
              <w:t xml:space="preserve"> is based.  A Domain Name</w:t>
            </w:r>
            <w:r w:rsidRPr="000A4491">
              <w:rPr>
                <w:rFonts w:ascii="Verdana" w:hAnsi="Verdana"/>
                <w:sz w:val="20"/>
              </w:rPr>
              <w:fldChar w:fldCharType="begin"/>
            </w:r>
            <w:r w:rsidRPr="000A4491">
              <w:rPr>
                <w:rFonts w:ascii="Verdana" w:hAnsi="Verdana"/>
                <w:sz w:val="20"/>
              </w:rPr>
              <w:instrText>xe "Domain Name"</w:instrText>
            </w:r>
            <w:r w:rsidRPr="000A4491">
              <w:rPr>
                <w:rFonts w:ascii="Verdana" w:hAnsi="Verdana"/>
                <w:sz w:val="20"/>
              </w:rPr>
              <w:fldChar w:fldCharType="end"/>
            </w:r>
            <w:r w:rsidRPr="000A4491">
              <w:rPr>
                <w:rFonts w:ascii="Verdana" w:hAnsi="Verdana" w:cs="Arial"/>
                <w:sz w:val="20"/>
              </w:rPr>
              <w:t xml:space="preserve"> Service translates the alphabetical names input by users into the IP addresses used by Internet devices.</w:t>
            </w:r>
          </w:p>
        </w:tc>
      </w:tr>
      <w:tr w:rsidR="00F935B1" w14:paraId="04DE4C81" w14:textId="77777777" w:rsidTr="0083602C">
        <w:trPr>
          <w:tblCellSpacing w:w="15" w:type="dxa"/>
        </w:trPr>
        <w:tc>
          <w:tcPr>
            <w:tcW w:w="3656" w:type="dxa"/>
          </w:tcPr>
          <w:p w14:paraId="2538C5A6" w14:textId="77777777" w:rsidR="00F935B1" w:rsidRPr="000A4491" w:rsidRDefault="00F935B1" w:rsidP="0083602C">
            <w:pPr>
              <w:rPr>
                <w:rFonts w:ascii="Verdana" w:hAnsi="Verdana"/>
                <w:sz w:val="20"/>
              </w:rPr>
            </w:pPr>
            <w:r w:rsidRPr="000A4491">
              <w:rPr>
                <w:rFonts w:ascii="Verdana" w:hAnsi="Verdana"/>
                <w:sz w:val="20"/>
              </w:rPr>
              <w:t>DS-1</w:t>
            </w:r>
            <w:r w:rsidRPr="000A4491">
              <w:rPr>
                <w:rFonts w:ascii="Verdana" w:hAnsi="Verdana"/>
                <w:sz w:val="20"/>
              </w:rPr>
              <w:fldChar w:fldCharType="begin"/>
            </w:r>
            <w:r w:rsidRPr="000A4491">
              <w:rPr>
                <w:rFonts w:ascii="Verdana" w:hAnsi="Verdana"/>
                <w:sz w:val="20"/>
              </w:rPr>
              <w:instrText>xe "</w:instrText>
            </w:r>
            <w:r w:rsidRPr="000A4491">
              <w:rPr>
                <w:rStyle w:val="Hyperlink"/>
                <w:rFonts w:ascii="Verdana" w:hAnsi="Verdana"/>
                <w:sz w:val="20"/>
              </w:rPr>
              <w:instrText>DS-1</w:instrText>
            </w:r>
            <w:r w:rsidRPr="000A4491">
              <w:rPr>
                <w:rFonts w:ascii="Verdana" w:hAnsi="Verdana"/>
                <w:sz w:val="20"/>
              </w:rPr>
              <w:instrText>"</w:instrText>
            </w:r>
            <w:r w:rsidRPr="000A4491">
              <w:rPr>
                <w:rFonts w:ascii="Verdana" w:hAnsi="Verdana"/>
                <w:sz w:val="20"/>
              </w:rPr>
              <w:fldChar w:fldCharType="end"/>
            </w:r>
          </w:p>
          <w:p w14:paraId="0E034288" w14:textId="77777777" w:rsidR="00F935B1" w:rsidRPr="000A4491" w:rsidRDefault="00F935B1" w:rsidP="0083602C">
            <w:pPr>
              <w:rPr>
                <w:rFonts w:ascii="Verdana" w:hAnsi="Verdana"/>
                <w:sz w:val="20"/>
              </w:rPr>
            </w:pPr>
            <w:r w:rsidRPr="000A4491">
              <w:rPr>
                <w:rFonts w:ascii="Verdana" w:hAnsi="Verdana"/>
                <w:sz w:val="20"/>
              </w:rPr>
              <w:t>(</w:t>
            </w:r>
            <w:hyperlink w:anchor="aattDigitalTransmissionServices" w:history="1">
              <w:r w:rsidRPr="000A4491">
                <w:rPr>
                  <w:rStyle w:val="Hyperlink"/>
                  <w:rFonts w:ascii="Verdana" w:hAnsi="Verdana"/>
                  <w:sz w:val="20"/>
                </w:rPr>
                <w:t>Digital Transmission Services</w:t>
              </w:r>
            </w:hyperlink>
            <w:r w:rsidRPr="000A4491">
              <w:rPr>
                <w:rFonts w:ascii="Verdana" w:hAnsi="Verdana"/>
                <w:sz w:val="20"/>
              </w:rPr>
              <w:t>)</w:t>
            </w:r>
          </w:p>
        </w:tc>
        <w:tc>
          <w:tcPr>
            <w:tcW w:w="5441" w:type="dxa"/>
          </w:tcPr>
          <w:p w14:paraId="2E1C0AFD" w14:textId="77777777" w:rsidR="00F935B1" w:rsidRPr="000A4491" w:rsidRDefault="00F935B1" w:rsidP="0083602C">
            <w:pPr>
              <w:rPr>
                <w:rFonts w:ascii="Verdana" w:hAnsi="Verdana"/>
                <w:sz w:val="20"/>
              </w:rPr>
            </w:pPr>
            <w:r w:rsidRPr="000A4491">
              <w:rPr>
                <w:rFonts w:ascii="Verdana" w:hAnsi="Verdana"/>
                <w:sz w:val="20"/>
              </w:rPr>
              <w:t>DS-1</w:t>
            </w:r>
            <w:r w:rsidRPr="000A4491">
              <w:rPr>
                <w:rFonts w:ascii="Verdana" w:hAnsi="Verdana"/>
                <w:sz w:val="20"/>
              </w:rPr>
              <w:fldChar w:fldCharType="begin"/>
            </w:r>
            <w:r w:rsidRPr="000A4491">
              <w:rPr>
                <w:rFonts w:ascii="Verdana" w:hAnsi="Verdana"/>
                <w:sz w:val="20"/>
              </w:rPr>
              <w:instrText>xe "</w:instrText>
            </w:r>
            <w:r w:rsidRPr="000A4491">
              <w:rPr>
                <w:rStyle w:val="Hyperlink"/>
                <w:rFonts w:ascii="Verdana" w:hAnsi="Verdana"/>
                <w:sz w:val="20"/>
              </w:rPr>
              <w:instrText>DS-1</w:instrText>
            </w:r>
            <w:r w:rsidRPr="000A4491">
              <w:rPr>
                <w:rFonts w:ascii="Verdana" w:hAnsi="Verdana"/>
                <w:sz w:val="20"/>
              </w:rPr>
              <w:instrText>"</w:instrText>
            </w:r>
            <w:r w:rsidRPr="000A4491">
              <w:rPr>
                <w:rFonts w:ascii="Verdana" w:hAnsi="Verdana"/>
                <w:sz w:val="20"/>
              </w:rPr>
              <w:fldChar w:fldCharType="end"/>
            </w:r>
            <w:r w:rsidRPr="000A4491">
              <w:rPr>
                <w:rFonts w:ascii="Verdana" w:hAnsi="Verdana"/>
                <w:sz w:val="20"/>
              </w:rPr>
              <w:t xml:space="preserve"> is a type of Digital Transmission Service, and stands for “Digital Signal, level 1.”  It operates at a bandwidth of 1.544 megabits per second.  Other DS levels—DS-2, DS-3</w:t>
            </w:r>
            <w:r w:rsidRPr="000A4491">
              <w:rPr>
                <w:rFonts w:ascii="Verdana" w:hAnsi="Verdana"/>
                <w:sz w:val="20"/>
              </w:rPr>
              <w:fldChar w:fldCharType="begin"/>
            </w:r>
            <w:r w:rsidRPr="000A4491">
              <w:rPr>
                <w:rFonts w:ascii="Verdana" w:hAnsi="Verdana"/>
                <w:sz w:val="20"/>
              </w:rPr>
              <w:instrText>xe "DS-3"</w:instrText>
            </w:r>
            <w:r w:rsidRPr="000A4491">
              <w:rPr>
                <w:rFonts w:ascii="Verdana" w:hAnsi="Verdana"/>
                <w:sz w:val="20"/>
              </w:rPr>
              <w:fldChar w:fldCharType="end"/>
            </w:r>
            <w:r w:rsidRPr="000A4491">
              <w:rPr>
                <w:rFonts w:ascii="Verdana" w:hAnsi="Verdana"/>
                <w:sz w:val="20"/>
              </w:rPr>
              <w:t>, and DS-4—operate at higher bandwidths.</w:t>
            </w:r>
          </w:p>
        </w:tc>
      </w:tr>
      <w:tr w:rsidR="00F935B1" w14:paraId="4BDB1449" w14:textId="77777777" w:rsidTr="0083602C">
        <w:trPr>
          <w:tblCellSpacing w:w="15" w:type="dxa"/>
        </w:trPr>
        <w:tc>
          <w:tcPr>
            <w:tcW w:w="3656" w:type="dxa"/>
          </w:tcPr>
          <w:p w14:paraId="5F299401" w14:textId="77777777" w:rsidR="00F935B1" w:rsidRPr="000A4491" w:rsidRDefault="00F935B1" w:rsidP="0083602C">
            <w:pPr>
              <w:rPr>
                <w:rFonts w:ascii="Verdana" w:hAnsi="Verdana"/>
                <w:sz w:val="20"/>
              </w:rPr>
            </w:pPr>
            <w:r w:rsidRPr="000A4491">
              <w:rPr>
                <w:rFonts w:ascii="Verdana" w:hAnsi="Verdana"/>
                <w:sz w:val="20"/>
              </w:rPr>
              <w:t>Duplicative Services</w:t>
            </w:r>
          </w:p>
          <w:p w14:paraId="591FCB78" w14:textId="77777777" w:rsidR="00F935B1" w:rsidRPr="000A4491" w:rsidRDefault="00F935B1" w:rsidP="0083602C">
            <w:pPr>
              <w:rPr>
                <w:rFonts w:ascii="Verdana" w:hAnsi="Verdana"/>
                <w:sz w:val="20"/>
              </w:rPr>
            </w:pPr>
            <w:r w:rsidRPr="000A4491">
              <w:rPr>
                <w:rFonts w:ascii="Verdana" w:hAnsi="Verdana"/>
                <w:sz w:val="20"/>
              </w:rPr>
              <w:t>(</w:t>
            </w:r>
            <w:hyperlink w:anchor="OtherMiscellaneousIneligibleComponents" w:history="1">
              <w:r w:rsidRPr="000A4491">
                <w:rPr>
                  <w:rStyle w:val="Hyperlink"/>
                  <w:rFonts w:ascii="Verdana" w:hAnsi="Verdana"/>
                  <w:sz w:val="20"/>
                </w:rPr>
                <w:t>Other Miscellaneous Ineligible Components</w:t>
              </w:r>
            </w:hyperlink>
            <w:r w:rsidRPr="000A4491">
              <w:rPr>
                <w:rFonts w:ascii="Verdana" w:hAnsi="Verdana"/>
                <w:sz w:val="20"/>
              </w:rPr>
              <w:fldChar w:fldCharType="begin"/>
            </w:r>
            <w:r w:rsidRPr="000A4491">
              <w:rPr>
                <w:rFonts w:ascii="Verdana" w:hAnsi="Verdana"/>
                <w:sz w:val="20"/>
              </w:rPr>
              <w:instrText>xe "Ineligible Components"</w:instrText>
            </w:r>
            <w:r w:rsidRPr="000A4491">
              <w:rPr>
                <w:rFonts w:ascii="Verdana" w:hAnsi="Verdana"/>
                <w:sz w:val="20"/>
              </w:rPr>
              <w:fldChar w:fldCharType="end"/>
            </w:r>
            <w:r w:rsidRPr="000A4491">
              <w:rPr>
                <w:rFonts w:ascii="Verdana" w:hAnsi="Verdana"/>
                <w:sz w:val="20"/>
              </w:rPr>
              <w:t>)</w:t>
            </w:r>
          </w:p>
          <w:p w14:paraId="33CDA405" w14:textId="77777777" w:rsidR="00F935B1" w:rsidRPr="000A4491" w:rsidRDefault="00F935B1" w:rsidP="0083602C">
            <w:pPr>
              <w:rPr>
                <w:rFonts w:ascii="Verdana" w:hAnsi="Verdana"/>
                <w:sz w:val="20"/>
              </w:rPr>
            </w:pPr>
            <w:r w:rsidRPr="000A4491">
              <w:rPr>
                <w:rFonts w:ascii="Verdana" w:hAnsi="Verdana"/>
                <w:sz w:val="20"/>
              </w:rPr>
              <w:lastRenderedPageBreak/>
              <w:fldChar w:fldCharType="begin"/>
            </w:r>
            <w:r w:rsidRPr="000A4491">
              <w:rPr>
                <w:rFonts w:ascii="Verdana" w:hAnsi="Verdana"/>
                <w:sz w:val="20"/>
              </w:rPr>
              <w:instrText>xe "Duplicative Services"</w:instrText>
            </w:r>
            <w:r w:rsidRPr="000A4491">
              <w:rPr>
                <w:rFonts w:ascii="Verdana" w:hAnsi="Verdana"/>
                <w:sz w:val="20"/>
              </w:rPr>
              <w:fldChar w:fldCharType="end"/>
            </w:r>
          </w:p>
        </w:tc>
        <w:tc>
          <w:tcPr>
            <w:tcW w:w="5441" w:type="dxa"/>
          </w:tcPr>
          <w:p w14:paraId="731A1D18" w14:textId="77777777" w:rsidR="00F935B1" w:rsidRPr="000A4491" w:rsidRDefault="00F935B1" w:rsidP="0083602C">
            <w:pPr>
              <w:rPr>
                <w:rFonts w:ascii="Verdana" w:hAnsi="Verdana"/>
                <w:sz w:val="20"/>
              </w:rPr>
            </w:pPr>
            <w:r w:rsidRPr="000A4491">
              <w:rPr>
                <w:rFonts w:ascii="Verdana" w:hAnsi="Verdana"/>
                <w:bCs/>
                <w:sz w:val="20"/>
              </w:rPr>
              <w:lastRenderedPageBreak/>
              <w:t>Duplicative services</w:t>
            </w:r>
            <w:r w:rsidRPr="000A4491">
              <w:rPr>
                <w:rFonts w:ascii="Verdana" w:hAnsi="Verdana"/>
                <w:sz w:val="20"/>
              </w:rPr>
              <w:fldChar w:fldCharType="begin"/>
            </w:r>
            <w:r w:rsidRPr="000A4491">
              <w:rPr>
                <w:rFonts w:ascii="Verdana" w:hAnsi="Verdana"/>
                <w:sz w:val="20"/>
              </w:rPr>
              <w:instrText>xe "</w:instrText>
            </w:r>
            <w:r w:rsidRPr="000A4491">
              <w:rPr>
                <w:rFonts w:ascii="Verdana" w:hAnsi="Verdana"/>
                <w:bCs/>
                <w:sz w:val="20"/>
              </w:rPr>
              <w:instrText>Duplicative Services</w:instrText>
            </w:r>
            <w:r w:rsidRPr="000A4491">
              <w:rPr>
                <w:rFonts w:ascii="Verdana" w:hAnsi="Verdana"/>
                <w:sz w:val="20"/>
              </w:rPr>
              <w:instrText>"</w:instrText>
            </w:r>
            <w:r w:rsidRPr="000A4491">
              <w:rPr>
                <w:rFonts w:ascii="Verdana" w:hAnsi="Verdana"/>
                <w:sz w:val="20"/>
              </w:rPr>
              <w:fldChar w:fldCharType="end"/>
            </w:r>
            <w:r w:rsidRPr="000A4491">
              <w:rPr>
                <w:rFonts w:ascii="Verdana" w:hAnsi="Verdana"/>
                <w:bCs/>
                <w:sz w:val="20"/>
              </w:rPr>
              <w:t xml:space="preserve"> are those that deliver the same functionality, to the same population, in the same location, during the same period of </w:t>
            </w:r>
            <w:r w:rsidRPr="000A4491">
              <w:rPr>
                <w:rFonts w:ascii="Verdana" w:hAnsi="Verdana"/>
                <w:bCs/>
                <w:sz w:val="20"/>
              </w:rPr>
              <w:lastRenderedPageBreak/>
              <w:t>time.</w:t>
            </w:r>
          </w:p>
        </w:tc>
      </w:tr>
      <w:tr w:rsidR="00F935B1" w14:paraId="0C78F2E4" w14:textId="77777777" w:rsidTr="0083602C">
        <w:trPr>
          <w:tblCellSpacing w:w="15" w:type="dxa"/>
        </w:trPr>
        <w:tc>
          <w:tcPr>
            <w:tcW w:w="3656" w:type="dxa"/>
          </w:tcPr>
          <w:p w14:paraId="2EA60405" w14:textId="77777777" w:rsidR="00F935B1" w:rsidRPr="000A4491" w:rsidRDefault="00F935B1" w:rsidP="0083602C">
            <w:pPr>
              <w:rPr>
                <w:rFonts w:ascii="Verdana" w:hAnsi="Verdana"/>
                <w:sz w:val="20"/>
              </w:rPr>
            </w:pPr>
            <w:r w:rsidRPr="000A4491">
              <w:rPr>
                <w:rFonts w:ascii="Verdana" w:hAnsi="Verdana"/>
                <w:sz w:val="20"/>
              </w:rPr>
              <w:lastRenderedPageBreak/>
              <w:t>Dynamic Host Configuration</w:t>
            </w:r>
            <w:r w:rsidRPr="000A4491">
              <w:rPr>
                <w:rFonts w:ascii="Verdana" w:hAnsi="Verdana"/>
                <w:sz w:val="20"/>
              </w:rPr>
              <w:fldChar w:fldCharType="begin"/>
            </w:r>
            <w:r w:rsidRPr="000A4491">
              <w:rPr>
                <w:rFonts w:ascii="Verdana" w:hAnsi="Verdana"/>
                <w:sz w:val="20"/>
              </w:rPr>
              <w:instrText>xe "Configuration"</w:instrText>
            </w:r>
            <w:r w:rsidRPr="000A4491">
              <w:rPr>
                <w:rFonts w:ascii="Verdana" w:hAnsi="Verdana"/>
                <w:sz w:val="20"/>
              </w:rPr>
              <w:fldChar w:fldCharType="end"/>
            </w:r>
            <w:r w:rsidRPr="000A4491">
              <w:rPr>
                <w:rFonts w:ascii="Verdana" w:hAnsi="Verdana"/>
                <w:sz w:val="20"/>
              </w:rPr>
              <w:t xml:space="preserve"> Protocol (DHCP</w:t>
            </w:r>
            <w:r w:rsidRPr="000A4491">
              <w:rPr>
                <w:rFonts w:ascii="Verdana" w:hAnsi="Verdana"/>
                <w:sz w:val="20"/>
              </w:rPr>
              <w:fldChar w:fldCharType="begin"/>
            </w:r>
            <w:r w:rsidRPr="000A4491">
              <w:rPr>
                <w:rFonts w:ascii="Verdana" w:hAnsi="Verdana"/>
                <w:sz w:val="20"/>
              </w:rPr>
              <w:instrText>xe "DHCP(Dynamic Host Configuration Protocol)"</w:instrText>
            </w:r>
            <w:r w:rsidRPr="000A4491">
              <w:rPr>
                <w:rFonts w:ascii="Verdana" w:hAnsi="Verdana"/>
                <w:sz w:val="20"/>
              </w:rPr>
              <w:fldChar w:fldCharType="end"/>
            </w:r>
            <w:r w:rsidRPr="000A4491">
              <w:rPr>
                <w:rFonts w:ascii="Verdana" w:hAnsi="Verdana"/>
                <w:sz w:val="20"/>
              </w:rPr>
              <w:t>)</w:t>
            </w:r>
          </w:p>
          <w:p w14:paraId="31F502F1" w14:textId="77777777" w:rsidR="00F935B1" w:rsidRPr="000A4491" w:rsidRDefault="00F935B1" w:rsidP="0083602C">
            <w:pPr>
              <w:rPr>
                <w:rFonts w:ascii="Verdana" w:hAnsi="Verdana"/>
                <w:sz w:val="20"/>
              </w:rPr>
            </w:pPr>
            <w:r w:rsidRPr="000A4491">
              <w:rPr>
                <w:rFonts w:ascii="Verdana" w:hAnsi="Verdana"/>
                <w:sz w:val="20"/>
              </w:rPr>
              <w:t>(</w:t>
            </w:r>
            <w:hyperlink w:anchor="InternetInternetAccess" w:history="1">
              <w:r w:rsidRPr="000A4491">
                <w:rPr>
                  <w:rStyle w:val="Hyperlink"/>
                  <w:rFonts w:ascii="Verdana" w:hAnsi="Verdana"/>
                  <w:sz w:val="20"/>
                </w:rPr>
                <w:t>Internet Access</w:t>
              </w:r>
              <w:r w:rsidRPr="000A4491">
                <w:rPr>
                  <w:rFonts w:ascii="Verdana" w:hAnsi="Verdana"/>
                  <w:sz w:val="20"/>
                </w:rPr>
                <w:fldChar w:fldCharType="begin"/>
              </w:r>
              <w:r w:rsidRPr="000A4491">
                <w:rPr>
                  <w:rFonts w:ascii="Verdana" w:hAnsi="Verdana"/>
                  <w:sz w:val="20"/>
                </w:rPr>
                <w:instrText>xe "Internet"</w:instrText>
              </w:r>
              <w:r w:rsidRPr="000A4491">
                <w:rPr>
                  <w:rFonts w:ascii="Verdana" w:hAnsi="Verdana"/>
                  <w:sz w:val="20"/>
                </w:rPr>
                <w:fldChar w:fldCharType="end"/>
              </w:r>
            </w:hyperlink>
            <w:r w:rsidRPr="000A4491">
              <w:rPr>
                <w:rFonts w:ascii="Verdana" w:hAnsi="Verdana"/>
                <w:sz w:val="20"/>
              </w:rPr>
              <w:t>)</w:t>
            </w:r>
          </w:p>
          <w:p w14:paraId="1F7EAA33" w14:textId="77777777" w:rsidR="00F935B1" w:rsidRPr="000A4491" w:rsidRDefault="00F935B1" w:rsidP="0083602C">
            <w:pPr>
              <w:rPr>
                <w:rFonts w:ascii="Verdana" w:hAnsi="Verdana"/>
                <w:sz w:val="20"/>
              </w:rPr>
            </w:pPr>
            <w:r w:rsidRPr="000A4491">
              <w:rPr>
                <w:rFonts w:ascii="Verdana" w:hAnsi="Verdana"/>
                <w:sz w:val="20"/>
              </w:rPr>
              <w:t>(</w:t>
            </w:r>
            <w:hyperlink w:anchor="aaServers" w:history="1">
              <w:r w:rsidRPr="000A4491">
                <w:rPr>
                  <w:rStyle w:val="Hyperlink"/>
                  <w:rFonts w:ascii="Verdana" w:hAnsi="Verdana"/>
                  <w:sz w:val="20"/>
                </w:rPr>
                <w:t>Servers</w:t>
              </w:r>
              <w:r w:rsidRPr="000A4491">
                <w:rPr>
                  <w:rFonts w:ascii="Verdana" w:hAnsi="Verdana"/>
                  <w:sz w:val="20"/>
                </w:rPr>
                <w:fldChar w:fldCharType="begin"/>
              </w:r>
              <w:r w:rsidRPr="000A4491">
                <w:rPr>
                  <w:rFonts w:ascii="Verdana" w:hAnsi="Verdana"/>
                  <w:sz w:val="20"/>
                </w:rPr>
                <w:instrText>xe "Servers"</w:instrText>
              </w:r>
              <w:r w:rsidRPr="000A4491">
                <w:rPr>
                  <w:rFonts w:ascii="Verdana" w:hAnsi="Verdana"/>
                  <w:sz w:val="20"/>
                </w:rPr>
                <w:fldChar w:fldCharType="end"/>
              </w:r>
            </w:hyperlink>
            <w:r w:rsidRPr="000A4491">
              <w:rPr>
                <w:rFonts w:ascii="Verdana" w:hAnsi="Verdana"/>
                <w:sz w:val="20"/>
              </w:rPr>
              <w:t>)</w:t>
            </w:r>
          </w:p>
        </w:tc>
        <w:tc>
          <w:tcPr>
            <w:tcW w:w="5441" w:type="dxa"/>
          </w:tcPr>
          <w:p w14:paraId="5954276A" w14:textId="77777777" w:rsidR="00F935B1" w:rsidRPr="000A4491" w:rsidRDefault="00F935B1" w:rsidP="0083602C">
            <w:pPr>
              <w:pStyle w:val="NormalWeb"/>
              <w:spacing w:before="0" w:beforeAutospacing="0" w:after="0"/>
              <w:rPr>
                <w:rFonts w:ascii="Verdana" w:hAnsi="Verdana"/>
                <w:sz w:val="20"/>
              </w:rPr>
            </w:pPr>
            <w:r w:rsidRPr="000A4491">
              <w:rPr>
                <w:rFonts w:ascii="Verdana" w:hAnsi="Verdana"/>
                <w:sz w:val="20"/>
              </w:rPr>
              <w:t>Standard networks need each computer to have a unique address for communication to occur.  Dynamic Host Configuration</w:t>
            </w:r>
            <w:r w:rsidRPr="000A4491">
              <w:rPr>
                <w:rFonts w:ascii="Verdana" w:hAnsi="Verdana"/>
                <w:sz w:val="20"/>
              </w:rPr>
              <w:fldChar w:fldCharType="begin"/>
            </w:r>
            <w:r w:rsidRPr="000A4491">
              <w:rPr>
                <w:rFonts w:ascii="Verdana" w:hAnsi="Verdana"/>
                <w:sz w:val="20"/>
              </w:rPr>
              <w:instrText>xe "Configuration"</w:instrText>
            </w:r>
            <w:r w:rsidRPr="000A4491">
              <w:rPr>
                <w:rFonts w:ascii="Verdana" w:hAnsi="Verdana"/>
                <w:sz w:val="20"/>
              </w:rPr>
              <w:fldChar w:fldCharType="end"/>
            </w:r>
            <w:r w:rsidRPr="000A4491">
              <w:rPr>
                <w:rFonts w:ascii="Verdana" w:hAnsi="Verdana"/>
                <w:sz w:val="20"/>
              </w:rPr>
              <w:t xml:space="preserve"> Protocol (DHCP) is a system that provides this unique address from a central computer so that each individual computer does not need to be separately configured.</w:t>
            </w:r>
          </w:p>
        </w:tc>
      </w:tr>
      <w:tr w:rsidR="00F935B1" w14:paraId="5F8A8790" w14:textId="77777777" w:rsidTr="0083602C">
        <w:trPr>
          <w:tblCellSpacing w:w="15" w:type="dxa"/>
        </w:trPr>
        <w:tc>
          <w:tcPr>
            <w:tcW w:w="3656" w:type="dxa"/>
          </w:tcPr>
          <w:p w14:paraId="170ABF17" w14:textId="77777777" w:rsidR="00F935B1" w:rsidRPr="000A4491" w:rsidRDefault="00F935B1" w:rsidP="0083602C">
            <w:pPr>
              <w:rPr>
                <w:rFonts w:ascii="Verdana" w:hAnsi="Verdana"/>
                <w:sz w:val="20"/>
              </w:rPr>
            </w:pPr>
            <w:r w:rsidRPr="000A4491">
              <w:rPr>
                <w:rFonts w:ascii="Verdana" w:hAnsi="Verdana"/>
                <w:sz w:val="20"/>
              </w:rPr>
              <w:t>E911</w:t>
            </w:r>
            <w:r w:rsidRPr="000A4491">
              <w:rPr>
                <w:rFonts w:ascii="Verdana" w:hAnsi="Verdana"/>
                <w:sz w:val="20"/>
              </w:rPr>
              <w:fldChar w:fldCharType="begin"/>
            </w:r>
            <w:r w:rsidRPr="000A4491">
              <w:rPr>
                <w:rFonts w:ascii="Verdana" w:hAnsi="Verdana"/>
                <w:sz w:val="20"/>
              </w:rPr>
              <w:instrText>xe "</w:instrText>
            </w:r>
            <w:r w:rsidRPr="000A4491">
              <w:rPr>
                <w:rFonts w:ascii="Verdana" w:hAnsi="Verdana"/>
                <w:bCs/>
                <w:sz w:val="20"/>
              </w:rPr>
              <w:instrText>E911</w:instrText>
            </w:r>
            <w:r w:rsidRPr="000A4491">
              <w:rPr>
                <w:rFonts w:ascii="Verdana" w:hAnsi="Verdana"/>
                <w:sz w:val="20"/>
              </w:rPr>
              <w:instrText>"</w:instrText>
            </w:r>
            <w:r w:rsidRPr="000A4491">
              <w:rPr>
                <w:rFonts w:ascii="Verdana" w:hAnsi="Verdana"/>
                <w:sz w:val="20"/>
              </w:rPr>
              <w:fldChar w:fldCharType="end"/>
            </w:r>
            <w:r w:rsidRPr="000A4491">
              <w:rPr>
                <w:rFonts w:ascii="Verdana" w:hAnsi="Verdana"/>
                <w:sz w:val="20"/>
              </w:rPr>
              <w:t xml:space="preserve"> Reader Board </w:t>
            </w:r>
            <w:r w:rsidRPr="000A4491">
              <w:rPr>
                <w:rFonts w:ascii="Verdana" w:hAnsi="Verdana"/>
                <w:sz w:val="20"/>
              </w:rPr>
              <w:br/>
              <w:t>(</w:t>
            </w:r>
            <w:hyperlink w:anchor="aaTelephoneComponents" w:history="1">
              <w:r w:rsidRPr="000A4491">
                <w:rPr>
                  <w:rStyle w:val="Hyperlink"/>
                  <w:rFonts w:ascii="Verdana" w:hAnsi="Verdana"/>
                  <w:sz w:val="20"/>
                </w:rPr>
                <w:t>Telephone</w:t>
              </w:r>
              <w:r w:rsidRPr="000A4491">
                <w:rPr>
                  <w:rFonts w:ascii="Verdana" w:hAnsi="Verdana"/>
                  <w:sz w:val="20"/>
                </w:rPr>
                <w:fldChar w:fldCharType="begin"/>
              </w:r>
              <w:r w:rsidRPr="000A4491">
                <w:rPr>
                  <w:rFonts w:ascii="Verdana" w:hAnsi="Verdana"/>
                  <w:sz w:val="20"/>
                </w:rPr>
                <w:instrText>xe "Telephone Components"</w:instrText>
              </w:r>
              <w:r w:rsidRPr="000A4491">
                <w:rPr>
                  <w:rFonts w:ascii="Verdana" w:hAnsi="Verdana"/>
                  <w:sz w:val="20"/>
                </w:rPr>
                <w:fldChar w:fldCharType="end"/>
              </w:r>
            </w:hyperlink>
            <w:r w:rsidRPr="000A4491">
              <w:rPr>
                <w:rFonts w:ascii="Verdana" w:hAnsi="Verdana"/>
                <w:sz w:val="20"/>
              </w:rPr>
              <w:t>)</w:t>
            </w:r>
          </w:p>
        </w:tc>
        <w:tc>
          <w:tcPr>
            <w:tcW w:w="5441" w:type="dxa"/>
          </w:tcPr>
          <w:p w14:paraId="125199EB" w14:textId="77777777" w:rsidR="00F935B1" w:rsidRPr="000A4491" w:rsidRDefault="00F935B1" w:rsidP="0083602C">
            <w:pPr>
              <w:pStyle w:val="NormalWeb"/>
              <w:spacing w:before="0" w:beforeAutospacing="0" w:after="0"/>
              <w:rPr>
                <w:rFonts w:ascii="Verdana" w:hAnsi="Verdana"/>
                <w:sz w:val="20"/>
              </w:rPr>
            </w:pPr>
            <w:r w:rsidRPr="000A4491">
              <w:rPr>
                <w:rFonts w:ascii="Verdana" w:hAnsi="Verdana"/>
                <w:sz w:val="20"/>
              </w:rPr>
              <w:t>The E911</w:t>
            </w:r>
            <w:r w:rsidRPr="000A4491">
              <w:rPr>
                <w:rFonts w:ascii="Verdana" w:hAnsi="Verdana"/>
                <w:sz w:val="20"/>
              </w:rPr>
              <w:fldChar w:fldCharType="begin"/>
            </w:r>
            <w:r w:rsidRPr="000A4491">
              <w:rPr>
                <w:rFonts w:ascii="Verdana" w:hAnsi="Verdana"/>
                <w:sz w:val="20"/>
              </w:rPr>
              <w:instrText>xe "</w:instrText>
            </w:r>
            <w:r w:rsidRPr="000A4491">
              <w:rPr>
                <w:rFonts w:ascii="Verdana" w:hAnsi="Verdana"/>
                <w:bCs/>
                <w:sz w:val="20"/>
              </w:rPr>
              <w:instrText>E911</w:instrText>
            </w:r>
            <w:r w:rsidRPr="000A4491">
              <w:rPr>
                <w:rFonts w:ascii="Verdana" w:hAnsi="Verdana"/>
                <w:sz w:val="20"/>
              </w:rPr>
              <w:instrText>"</w:instrText>
            </w:r>
            <w:r w:rsidRPr="000A4491">
              <w:rPr>
                <w:rFonts w:ascii="Verdana" w:hAnsi="Verdana"/>
                <w:sz w:val="20"/>
              </w:rPr>
              <w:fldChar w:fldCharType="end"/>
            </w:r>
            <w:r w:rsidRPr="000A4491">
              <w:rPr>
                <w:rFonts w:ascii="Verdana" w:hAnsi="Verdana"/>
                <w:sz w:val="20"/>
              </w:rPr>
              <w:t xml:space="preserve"> Reader Board is adjunct hardware for a PBX</w:t>
            </w:r>
            <w:r w:rsidRPr="000A4491">
              <w:rPr>
                <w:rFonts w:ascii="Verdana" w:hAnsi="Verdana"/>
                <w:sz w:val="20"/>
              </w:rPr>
              <w:fldChar w:fldCharType="begin"/>
            </w:r>
            <w:r w:rsidRPr="000A4491">
              <w:rPr>
                <w:rFonts w:ascii="Verdana" w:hAnsi="Verdana"/>
                <w:sz w:val="20"/>
              </w:rPr>
              <w:instrText>xe "</w:instrText>
            </w:r>
            <w:r w:rsidRPr="000A4491">
              <w:rPr>
                <w:rFonts w:ascii="Verdana" w:hAnsi="Verdana"/>
                <w:bCs/>
                <w:sz w:val="20"/>
              </w:rPr>
              <w:instrText>PBX</w:instrText>
            </w:r>
            <w:r w:rsidRPr="000A4491">
              <w:rPr>
                <w:rFonts w:ascii="Verdana" w:hAnsi="Verdana"/>
                <w:sz w:val="20"/>
              </w:rPr>
              <w:instrText>"</w:instrText>
            </w:r>
            <w:r w:rsidRPr="000A4491">
              <w:rPr>
                <w:rFonts w:ascii="Verdana" w:hAnsi="Verdana"/>
                <w:sz w:val="20"/>
              </w:rPr>
              <w:fldChar w:fldCharType="end"/>
            </w:r>
            <w:r w:rsidRPr="000A4491">
              <w:rPr>
                <w:rFonts w:ascii="Verdana" w:hAnsi="Verdana"/>
                <w:sz w:val="20"/>
              </w:rPr>
              <w:t xml:space="preserve"> and is used to access E911 Emergency service.</w:t>
            </w:r>
          </w:p>
        </w:tc>
      </w:tr>
      <w:tr w:rsidR="00F935B1" w14:paraId="475287B9" w14:textId="77777777" w:rsidTr="0083602C">
        <w:trPr>
          <w:tblCellSpacing w:w="15" w:type="dxa"/>
        </w:trPr>
        <w:tc>
          <w:tcPr>
            <w:tcW w:w="3656" w:type="dxa"/>
          </w:tcPr>
          <w:p w14:paraId="607F8C2F" w14:textId="77777777" w:rsidR="00F935B1" w:rsidRPr="000A4491" w:rsidRDefault="00F935B1" w:rsidP="0083602C">
            <w:pPr>
              <w:rPr>
                <w:rFonts w:ascii="Verdana" w:hAnsi="Verdana"/>
                <w:sz w:val="20"/>
              </w:rPr>
            </w:pPr>
            <w:r w:rsidRPr="000A4491">
              <w:rPr>
                <w:rFonts w:ascii="Verdana" w:hAnsi="Verdana"/>
                <w:sz w:val="20"/>
              </w:rPr>
              <w:t>Electrical System Upgrades</w:t>
            </w:r>
            <w:r w:rsidRPr="000A4491">
              <w:rPr>
                <w:rFonts w:ascii="Verdana" w:hAnsi="Verdana"/>
                <w:sz w:val="20"/>
              </w:rPr>
              <w:fldChar w:fldCharType="begin"/>
            </w:r>
            <w:r w:rsidRPr="000A4491">
              <w:rPr>
                <w:rFonts w:ascii="Verdana" w:hAnsi="Verdana"/>
                <w:sz w:val="20"/>
              </w:rPr>
              <w:instrText>xe "Electrical System Upgrades"</w:instrText>
            </w:r>
            <w:r w:rsidRPr="000A4491">
              <w:rPr>
                <w:rFonts w:ascii="Verdana" w:hAnsi="Verdana"/>
                <w:sz w:val="20"/>
              </w:rPr>
              <w:fldChar w:fldCharType="end"/>
            </w:r>
            <w:r w:rsidRPr="000A4491">
              <w:rPr>
                <w:rFonts w:ascii="Verdana" w:hAnsi="Verdana"/>
                <w:sz w:val="20"/>
              </w:rPr>
              <w:t xml:space="preserve"> </w:t>
            </w:r>
            <w:r w:rsidRPr="000A4491">
              <w:rPr>
                <w:rFonts w:ascii="Verdana" w:hAnsi="Verdana"/>
                <w:sz w:val="20"/>
              </w:rPr>
              <w:br/>
              <w:t>(</w:t>
            </w:r>
            <w:hyperlink w:anchor="aaIneligibleComponents" w:history="1">
              <w:r w:rsidRPr="000A4491">
                <w:rPr>
                  <w:rStyle w:val="Hyperlink"/>
                  <w:rFonts w:ascii="Verdana" w:hAnsi="Verdana"/>
                  <w:sz w:val="20"/>
                </w:rPr>
                <w:t>Not Eligible for E-rate Funding as Internal Connections Components</w:t>
              </w:r>
            </w:hyperlink>
            <w:r w:rsidRPr="000A4491">
              <w:rPr>
                <w:rFonts w:ascii="Verdana" w:hAnsi="Verdana"/>
                <w:sz w:val="20"/>
              </w:rPr>
              <w:t>)</w:t>
            </w:r>
          </w:p>
        </w:tc>
        <w:tc>
          <w:tcPr>
            <w:tcW w:w="5441" w:type="dxa"/>
          </w:tcPr>
          <w:p w14:paraId="1831BDFE" w14:textId="77777777" w:rsidR="00F935B1" w:rsidRPr="000A4491" w:rsidRDefault="00F935B1" w:rsidP="0083602C">
            <w:pPr>
              <w:pStyle w:val="NormalWeb"/>
              <w:spacing w:before="0" w:beforeAutospacing="0" w:after="0"/>
              <w:rPr>
                <w:rFonts w:ascii="Verdana" w:hAnsi="Verdana"/>
                <w:sz w:val="20"/>
              </w:rPr>
            </w:pPr>
            <w:r w:rsidRPr="000A4491">
              <w:rPr>
                <w:rFonts w:ascii="Verdana" w:hAnsi="Verdana"/>
                <w:sz w:val="20"/>
              </w:rPr>
              <w:t>Electrical system upgrades</w:t>
            </w:r>
            <w:r w:rsidRPr="000A4491">
              <w:rPr>
                <w:rFonts w:ascii="Verdana" w:hAnsi="Verdana"/>
                <w:sz w:val="20"/>
              </w:rPr>
              <w:fldChar w:fldCharType="begin"/>
            </w:r>
            <w:r w:rsidRPr="000A4491">
              <w:rPr>
                <w:rFonts w:ascii="Verdana" w:hAnsi="Verdana"/>
                <w:sz w:val="20"/>
              </w:rPr>
              <w:instrText>xe "</w:instrText>
            </w:r>
            <w:r w:rsidRPr="000A4491">
              <w:rPr>
                <w:rStyle w:val="Hyperlink"/>
                <w:rFonts w:ascii="Verdana" w:hAnsi="Verdana"/>
                <w:bCs/>
                <w:sz w:val="20"/>
              </w:rPr>
              <w:instrText>Electrical System Upgrades</w:instrText>
            </w:r>
            <w:r w:rsidRPr="000A4491">
              <w:rPr>
                <w:rFonts w:ascii="Verdana" w:hAnsi="Verdana"/>
                <w:sz w:val="20"/>
              </w:rPr>
              <w:instrText>"</w:instrText>
            </w:r>
            <w:r w:rsidRPr="000A4491">
              <w:rPr>
                <w:rFonts w:ascii="Verdana" w:hAnsi="Verdana"/>
                <w:sz w:val="20"/>
              </w:rPr>
              <w:fldChar w:fldCharType="end"/>
            </w:r>
            <w:r w:rsidRPr="000A4491">
              <w:rPr>
                <w:rFonts w:ascii="Verdana" w:hAnsi="Verdana"/>
                <w:sz w:val="20"/>
              </w:rPr>
              <w:t xml:space="preserve"> refer to products and services that provide, upgrade</w:t>
            </w:r>
            <w:r w:rsidRPr="000A4491">
              <w:rPr>
                <w:rFonts w:ascii="Verdana" w:hAnsi="Verdana"/>
                <w:sz w:val="20"/>
              </w:rPr>
              <w:fldChar w:fldCharType="begin"/>
            </w:r>
            <w:r w:rsidRPr="000A4491">
              <w:rPr>
                <w:rFonts w:ascii="Verdana" w:hAnsi="Verdana"/>
                <w:sz w:val="20"/>
              </w:rPr>
              <w:instrText>xe "Upgrade"</w:instrText>
            </w:r>
            <w:r w:rsidRPr="000A4491">
              <w:rPr>
                <w:rFonts w:ascii="Verdana" w:hAnsi="Verdana"/>
                <w:sz w:val="20"/>
              </w:rPr>
              <w:fldChar w:fldCharType="end"/>
            </w:r>
            <w:r w:rsidRPr="000A4491">
              <w:rPr>
                <w:rFonts w:ascii="Verdana" w:hAnsi="Verdana"/>
                <w:sz w:val="20"/>
              </w:rPr>
              <w:t>, or enhance the provision of electrical</w:t>
            </w:r>
            <w:r w:rsidRPr="000A4491">
              <w:rPr>
                <w:rFonts w:ascii="Verdana" w:hAnsi="Verdana"/>
                <w:sz w:val="20"/>
              </w:rPr>
              <w:fldChar w:fldCharType="begin"/>
            </w:r>
            <w:r w:rsidRPr="000A4491">
              <w:rPr>
                <w:rFonts w:ascii="Verdana" w:hAnsi="Verdana"/>
                <w:sz w:val="20"/>
              </w:rPr>
              <w:instrText>xe "</w:instrText>
            </w:r>
            <w:r w:rsidRPr="000A4491">
              <w:rPr>
                <w:rFonts w:ascii="Verdana" w:hAnsi="Verdana"/>
                <w:bCs/>
                <w:sz w:val="20"/>
              </w:rPr>
              <w:instrText>Electrical Power</w:instrText>
            </w:r>
            <w:r w:rsidRPr="000A4491">
              <w:rPr>
                <w:rFonts w:ascii="Verdana" w:hAnsi="Verdana"/>
                <w:sz w:val="20"/>
              </w:rPr>
              <w:instrText>"</w:instrText>
            </w:r>
            <w:r w:rsidRPr="000A4491">
              <w:rPr>
                <w:rFonts w:ascii="Verdana" w:hAnsi="Verdana"/>
                <w:sz w:val="20"/>
              </w:rPr>
              <w:fldChar w:fldCharType="end"/>
            </w:r>
            <w:r w:rsidRPr="000A4491">
              <w:rPr>
                <w:rFonts w:ascii="Verdana" w:hAnsi="Verdana"/>
                <w:sz w:val="20"/>
              </w:rPr>
              <w:t xml:space="preserve"> power.</w:t>
            </w:r>
          </w:p>
        </w:tc>
      </w:tr>
      <w:tr w:rsidR="00F935B1" w14:paraId="4E8F3449" w14:textId="77777777" w:rsidTr="0083602C">
        <w:trPr>
          <w:tblCellSpacing w:w="15" w:type="dxa"/>
        </w:trPr>
        <w:tc>
          <w:tcPr>
            <w:tcW w:w="3656" w:type="dxa"/>
          </w:tcPr>
          <w:p w14:paraId="442DA4DD" w14:textId="77777777" w:rsidR="00F935B1" w:rsidRPr="000A4491" w:rsidRDefault="00F935B1" w:rsidP="0083602C">
            <w:pPr>
              <w:rPr>
                <w:rFonts w:ascii="Verdana" w:hAnsi="Verdana"/>
                <w:sz w:val="20"/>
              </w:rPr>
            </w:pPr>
            <w:r w:rsidRPr="000A4491">
              <w:rPr>
                <w:rFonts w:ascii="Verdana" w:hAnsi="Verdana"/>
                <w:sz w:val="20"/>
              </w:rPr>
              <w:t>E-mail</w:t>
            </w:r>
            <w:r w:rsidRPr="000A4491">
              <w:rPr>
                <w:rFonts w:ascii="Verdana" w:hAnsi="Verdana"/>
                <w:sz w:val="20"/>
              </w:rPr>
              <w:fldChar w:fldCharType="begin"/>
            </w:r>
            <w:r w:rsidRPr="000A4491">
              <w:rPr>
                <w:rFonts w:ascii="Verdana" w:hAnsi="Verdana"/>
                <w:sz w:val="20"/>
              </w:rPr>
              <w:instrText>xe "E-Mail"</w:instrText>
            </w:r>
            <w:r w:rsidRPr="000A4491">
              <w:rPr>
                <w:rFonts w:ascii="Verdana" w:hAnsi="Verdana"/>
                <w:sz w:val="20"/>
              </w:rPr>
              <w:fldChar w:fldCharType="end"/>
            </w:r>
            <w:r w:rsidRPr="000A4491">
              <w:rPr>
                <w:rFonts w:ascii="Verdana" w:hAnsi="Verdana"/>
                <w:sz w:val="20"/>
              </w:rPr>
              <w:t xml:space="preserve">  </w:t>
            </w:r>
            <w:r w:rsidRPr="000A4491">
              <w:rPr>
                <w:rFonts w:ascii="Verdana" w:hAnsi="Verdana"/>
                <w:sz w:val="20"/>
              </w:rPr>
              <w:br/>
              <w:t>(</w:t>
            </w:r>
            <w:hyperlink w:anchor="aaSoftware" w:history="1">
              <w:r w:rsidRPr="000A4491">
                <w:rPr>
                  <w:rStyle w:val="Hyperlink"/>
                  <w:rFonts w:ascii="Verdana" w:hAnsi="Verdana"/>
                  <w:sz w:val="20"/>
                </w:rPr>
                <w:t>Software</w:t>
              </w:r>
            </w:hyperlink>
            <w:r w:rsidRPr="000A4491">
              <w:rPr>
                <w:rFonts w:ascii="Verdana" w:hAnsi="Verdana"/>
                <w:sz w:val="20"/>
              </w:rPr>
              <w:t>)</w:t>
            </w:r>
          </w:p>
          <w:p w14:paraId="261A9844" w14:textId="77777777" w:rsidR="00F935B1" w:rsidRPr="000A4491" w:rsidRDefault="00F935B1" w:rsidP="0083602C">
            <w:pPr>
              <w:rPr>
                <w:rFonts w:ascii="Verdana" w:hAnsi="Verdana"/>
                <w:sz w:val="20"/>
              </w:rPr>
            </w:pPr>
            <w:r w:rsidRPr="000A4491">
              <w:rPr>
                <w:rFonts w:ascii="Verdana" w:hAnsi="Verdana"/>
                <w:sz w:val="20"/>
              </w:rPr>
              <w:t>(</w:t>
            </w:r>
            <w:hyperlink w:anchor="aaServers" w:history="1">
              <w:r w:rsidRPr="000A4491">
                <w:rPr>
                  <w:rStyle w:val="Hyperlink"/>
                  <w:rFonts w:ascii="Verdana" w:hAnsi="Verdana"/>
                  <w:sz w:val="20"/>
                </w:rPr>
                <w:t>Servers</w:t>
              </w:r>
              <w:r w:rsidRPr="000A4491">
                <w:rPr>
                  <w:rFonts w:ascii="Verdana" w:hAnsi="Verdana"/>
                  <w:sz w:val="20"/>
                </w:rPr>
                <w:fldChar w:fldCharType="begin"/>
              </w:r>
              <w:r w:rsidRPr="000A4491">
                <w:rPr>
                  <w:rFonts w:ascii="Verdana" w:hAnsi="Verdana"/>
                  <w:sz w:val="20"/>
                </w:rPr>
                <w:instrText>xe "Servers"</w:instrText>
              </w:r>
              <w:r w:rsidRPr="000A4491">
                <w:rPr>
                  <w:rFonts w:ascii="Verdana" w:hAnsi="Verdana"/>
                  <w:sz w:val="20"/>
                </w:rPr>
                <w:fldChar w:fldCharType="end"/>
              </w:r>
            </w:hyperlink>
            <w:r w:rsidRPr="000A4491">
              <w:rPr>
                <w:rFonts w:ascii="Verdana" w:hAnsi="Verdana"/>
                <w:sz w:val="20"/>
              </w:rPr>
              <w:t>)</w:t>
            </w:r>
          </w:p>
        </w:tc>
        <w:tc>
          <w:tcPr>
            <w:tcW w:w="5441" w:type="dxa"/>
          </w:tcPr>
          <w:p w14:paraId="65502458" w14:textId="77777777" w:rsidR="00F935B1" w:rsidRPr="000A4491" w:rsidRDefault="00F935B1" w:rsidP="0083602C">
            <w:pPr>
              <w:pStyle w:val="NormalWeb"/>
              <w:spacing w:before="0" w:beforeAutospacing="0" w:after="0"/>
              <w:rPr>
                <w:rFonts w:ascii="Verdana" w:hAnsi="Verdana"/>
                <w:sz w:val="20"/>
              </w:rPr>
            </w:pPr>
            <w:r w:rsidRPr="000A4491">
              <w:rPr>
                <w:rFonts w:ascii="Verdana" w:hAnsi="Verdana"/>
                <w:sz w:val="20"/>
              </w:rPr>
              <w:t>E-mail stands for “electronic mail.”  E-mail or electronic mail, is a system for sending text</w:t>
            </w:r>
            <w:r w:rsidRPr="000A4491">
              <w:rPr>
                <w:rFonts w:ascii="Verdana" w:hAnsi="Verdana"/>
                <w:sz w:val="20"/>
              </w:rPr>
              <w:fldChar w:fldCharType="begin"/>
            </w:r>
            <w:r w:rsidRPr="000A4491">
              <w:rPr>
                <w:rFonts w:ascii="Verdana" w:hAnsi="Verdana"/>
                <w:sz w:val="20"/>
              </w:rPr>
              <w:instrText>xe "Text Messages"</w:instrText>
            </w:r>
            <w:r w:rsidRPr="000A4491">
              <w:rPr>
                <w:rFonts w:ascii="Verdana" w:hAnsi="Verdana"/>
                <w:sz w:val="20"/>
              </w:rPr>
              <w:fldChar w:fldCharType="end"/>
            </w:r>
            <w:r w:rsidRPr="000A4491">
              <w:rPr>
                <w:rFonts w:ascii="Verdana" w:hAnsi="Verdana"/>
                <w:sz w:val="20"/>
              </w:rPr>
              <w:t xml:space="preserve"> messages and other information across a network. </w:t>
            </w:r>
          </w:p>
        </w:tc>
      </w:tr>
      <w:tr w:rsidR="00F935B1" w14:paraId="4CE14FCC" w14:textId="77777777" w:rsidTr="0083602C">
        <w:trPr>
          <w:tblCellSpacing w:w="15" w:type="dxa"/>
        </w:trPr>
        <w:tc>
          <w:tcPr>
            <w:tcW w:w="3656" w:type="dxa"/>
          </w:tcPr>
          <w:p w14:paraId="66D5B912" w14:textId="77777777" w:rsidR="00F935B1" w:rsidRPr="000A4491" w:rsidRDefault="00F935B1" w:rsidP="0083602C">
            <w:pPr>
              <w:rPr>
                <w:rFonts w:ascii="Verdana" w:hAnsi="Verdana"/>
                <w:sz w:val="20"/>
                <w:lang w:val="fr-FR"/>
              </w:rPr>
            </w:pPr>
            <w:r w:rsidRPr="000A4491">
              <w:rPr>
                <w:rFonts w:ascii="Verdana" w:hAnsi="Verdana"/>
                <w:sz w:val="20"/>
                <w:lang w:val="fr-FR"/>
              </w:rPr>
              <w:t>E-mail Archiving</w:t>
            </w:r>
          </w:p>
          <w:p w14:paraId="3029DE9A" w14:textId="77777777" w:rsidR="00F935B1" w:rsidRPr="000A4491" w:rsidRDefault="00F935B1" w:rsidP="0083602C">
            <w:pPr>
              <w:rPr>
                <w:rFonts w:ascii="Verdana" w:hAnsi="Verdana"/>
                <w:sz w:val="20"/>
                <w:lang w:val="pt-PT"/>
              </w:rPr>
            </w:pPr>
            <w:r w:rsidRPr="000A4491">
              <w:rPr>
                <w:rFonts w:ascii="Verdana" w:hAnsi="Verdana"/>
                <w:sz w:val="20"/>
                <w:lang w:val="pt-PT"/>
              </w:rPr>
              <w:t>(</w:t>
            </w:r>
            <w:hyperlink w:anchor="InternetEmailServices" w:history="1">
              <w:r w:rsidRPr="000A4491">
                <w:rPr>
                  <w:rStyle w:val="Hyperlink"/>
                  <w:rFonts w:ascii="Verdana" w:hAnsi="Verdana"/>
                  <w:sz w:val="20"/>
                  <w:lang w:val="pt-PT"/>
                </w:rPr>
                <w:t>E-mail</w:t>
              </w:r>
              <w:r w:rsidRPr="000A4491">
                <w:rPr>
                  <w:rFonts w:ascii="Verdana" w:hAnsi="Verdana"/>
                  <w:sz w:val="20"/>
                  <w:lang w:val="pt-PT"/>
                </w:rPr>
                <w:fldChar w:fldCharType="begin"/>
              </w:r>
              <w:r w:rsidRPr="000A4491">
                <w:rPr>
                  <w:rFonts w:ascii="Verdana" w:hAnsi="Verdana"/>
                  <w:sz w:val="20"/>
                  <w:lang w:val="pt-PT"/>
                </w:rPr>
                <w:instrText>xe "E-Mail"</w:instrText>
              </w:r>
              <w:r w:rsidRPr="000A4491">
                <w:rPr>
                  <w:rFonts w:ascii="Verdana" w:hAnsi="Verdana"/>
                  <w:sz w:val="20"/>
                  <w:lang w:val="pt-PT"/>
                </w:rPr>
                <w:fldChar w:fldCharType="end"/>
              </w:r>
            </w:hyperlink>
            <w:r w:rsidRPr="000A4491">
              <w:rPr>
                <w:rFonts w:ascii="Verdana" w:hAnsi="Verdana"/>
                <w:sz w:val="20"/>
                <w:lang w:val="pt-PT"/>
              </w:rPr>
              <w:t>)</w:t>
            </w:r>
          </w:p>
          <w:p w14:paraId="514D8579" w14:textId="77777777" w:rsidR="00F935B1" w:rsidRPr="000A4491" w:rsidRDefault="00F935B1" w:rsidP="0083602C">
            <w:pPr>
              <w:rPr>
                <w:rFonts w:ascii="Verdana" w:hAnsi="Verdana"/>
                <w:sz w:val="20"/>
                <w:lang w:val="fr-FR"/>
              </w:rPr>
            </w:pPr>
            <w:r w:rsidRPr="000A4491">
              <w:rPr>
                <w:rFonts w:ascii="Verdana" w:hAnsi="Verdana"/>
                <w:sz w:val="20"/>
                <w:lang w:val="fr-FR"/>
              </w:rPr>
              <w:t>(</w:t>
            </w:r>
            <w:hyperlink w:anchor="aaServers" w:history="1">
              <w:r w:rsidRPr="000A4491">
                <w:rPr>
                  <w:rStyle w:val="Hyperlink"/>
                  <w:rFonts w:ascii="Verdana" w:hAnsi="Verdana"/>
                  <w:sz w:val="20"/>
                  <w:lang w:val="fr-FR"/>
                </w:rPr>
                <w:t>Servers</w:t>
              </w:r>
              <w:r w:rsidRPr="000A4491">
                <w:rPr>
                  <w:rFonts w:ascii="Verdana" w:hAnsi="Verdana"/>
                  <w:sz w:val="20"/>
                  <w:lang w:val="fr-FR"/>
                </w:rPr>
                <w:fldChar w:fldCharType="begin"/>
              </w:r>
              <w:r w:rsidRPr="000A4491">
                <w:rPr>
                  <w:rFonts w:ascii="Verdana" w:hAnsi="Verdana"/>
                  <w:sz w:val="20"/>
                  <w:lang w:val="fr-FR"/>
                </w:rPr>
                <w:instrText>xe "Servers"</w:instrText>
              </w:r>
              <w:r w:rsidRPr="000A4491">
                <w:rPr>
                  <w:rFonts w:ascii="Verdana" w:hAnsi="Verdana"/>
                  <w:sz w:val="20"/>
                  <w:lang w:val="fr-FR"/>
                </w:rPr>
                <w:fldChar w:fldCharType="end"/>
              </w:r>
            </w:hyperlink>
            <w:r w:rsidRPr="000A4491">
              <w:rPr>
                <w:rFonts w:ascii="Verdana" w:hAnsi="Verdana"/>
                <w:sz w:val="20"/>
                <w:lang w:val="fr-FR"/>
              </w:rPr>
              <w:t>)</w:t>
            </w:r>
          </w:p>
          <w:p w14:paraId="26065065" w14:textId="77777777" w:rsidR="00F935B1" w:rsidRPr="000A4491" w:rsidRDefault="00F935B1" w:rsidP="0083602C">
            <w:pPr>
              <w:rPr>
                <w:rFonts w:ascii="Verdana" w:hAnsi="Verdana"/>
                <w:sz w:val="20"/>
                <w:lang w:val="fr-FR"/>
              </w:rPr>
            </w:pPr>
            <w:r w:rsidRPr="000A4491">
              <w:rPr>
                <w:rFonts w:ascii="Verdana" w:hAnsi="Verdana"/>
                <w:sz w:val="20"/>
                <w:lang w:val="fr-FR"/>
              </w:rPr>
              <w:t>(</w:t>
            </w:r>
            <w:hyperlink w:anchor="aaStorageDevices" w:history="1">
              <w:r w:rsidRPr="000A4491">
                <w:rPr>
                  <w:rStyle w:val="Hyperlink"/>
                  <w:rFonts w:ascii="Verdana" w:hAnsi="Verdana"/>
                  <w:sz w:val="20"/>
                  <w:lang w:val="fr-FR"/>
                </w:rPr>
                <w:t>Storage Devices</w:t>
              </w:r>
            </w:hyperlink>
            <w:r w:rsidRPr="000A4491">
              <w:rPr>
                <w:rFonts w:ascii="Verdana" w:hAnsi="Verdana"/>
                <w:sz w:val="20"/>
                <w:lang w:val="fr-FR"/>
              </w:rPr>
              <w:t>)</w:t>
            </w:r>
          </w:p>
        </w:tc>
        <w:tc>
          <w:tcPr>
            <w:tcW w:w="5441" w:type="dxa"/>
          </w:tcPr>
          <w:p w14:paraId="5B46F992" w14:textId="77777777" w:rsidR="00F935B1" w:rsidRPr="000A4491" w:rsidRDefault="00F935B1" w:rsidP="0083602C">
            <w:pPr>
              <w:pStyle w:val="NormalWeb"/>
              <w:spacing w:before="0" w:beforeAutospacing="0" w:after="0"/>
              <w:rPr>
                <w:rFonts w:ascii="Verdana" w:hAnsi="Verdana"/>
                <w:sz w:val="20"/>
              </w:rPr>
            </w:pPr>
            <w:r w:rsidRPr="000A4491">
              <w:rPr>
                <w:rFonts w:ascii="Verdana" w:hAnsi="Verdana"/>
                <w:sz w:val="20"/>
              </w:rPr>
              <w:t>E-mail archiving</w:t>
            </w:r>
            <w:r w:rsidRPr="000A4491">
              <w:rPr>
                <w:rFonts w:ascii="Verdana" w:hAnsi="Verdana"/>
                <w:sz w:val="20"/>
              </w:rPr>
              <w:fldChar w:fldCharType="begin"/>
            </w:r>
            <w:r w:rsidRPr="000A4491">
              <w:rPr>
                <w:rFonts w:ascii="Verdana" w:hAnsi="Verdana"/>
                <w:sz w:val="20"/>
              </w:rPr>
              <w:instrText>xe "</w:instrText>
            </w:r>
            <w:r w:rsidRPr="000A4491">
              <w:rPr>
                <w:rFonts w:ascii="Verdana" w:hAnsi="Verdana"/>
                <w:bCs/>
                <w:sz w:val="20"/>
              </w:rPr>
              <w:instrText>Archiving</w:instrText>
            </w:r>
            <w:r w:rsidRPr="000A4491">
              <w:rPr>
                <w:rFonts w:ascii="Verdana" w:hAnsi="Verdana"/>
                <w:sz w:val="20"/>
              </w:rPr>
              <w:instrText>"</w:instrText>
            </w:r>
            <w:r w:rsidRPr="000A4491">
              <w:rPr>
                <w:rFonts w:ascii="Verdana" w:hAnsi="Verdana"/>
                <w:sz w:val="20"/>
              </w:rPr>
              <w:fldChar w:fldCharType="end"/>
            </w:r>
            <w:r w:rsidRPr="000A4491">
              <w:rPr>
                <w:rFonts w:ascii="Verdana" w:hAnsi="Verdana"/>
                <w:sz w:val="20"/>
              </w:rPr>
              <w:t xml:space="preserve"> is a form of electronic recordkeeping that often includes compressing e-mail files to make greater inbox space available.  </w:t>
            </w:r>
          </w:p>
        </w:tc>
      </w:tr>
      <w:tr w:rsidR="00F935B1" w14:paraId="7D5E4456" w14:textId="77777777" w:rsidTr="0083602C">
        <w:trPr>
          <w:tblCellSpacing w:w="15" w:type="dxa"/>
        </w:trPr>
        <w:tc>
          <w:tcPr>
            <w:tcW w:w="3656" w:type="dxa"/>
          </w:tcPr>
          <w:p w14:paraId="7ABF2550" w14:textId="77777777" w:rsidR="00F935B1" w:rsidRPr="000A4491" w:rsidRDefault="00F935B1" w:rsidP="0083602C">
            <w:pPr>
              <w:rPr>
                <w:rFonts w:ascii="Verdana" w:hAnsi="Verdana"/>
                <w:sz w:val="20"/>
                <w:lang w:val="pt-PT"/>
              </w:rPr>
            </w:pPr>
            <w:r w:rsidRPr="000A4491">
              <w:rPr>
                <w:rFonts w:ascii="Verdana" w:hAnsi="Verdana"/>
                <w:sz w:val="20"/>
                <w:lang w:val="pt-PT"/>
              </w:rPr>
              <w:t>E-mail</w:t>
            </w:r>
            <w:r w:rsidRPr="000A4491">
              <w:rPr>
                <w:rFonts w:ascii="Verdana" w:hAnsi="Verdana"/>
                <w:sz w:val="20"/>
                <w:lang w:val="pt-PT"/>
              </w:rPr>
              <w:fldChar w:fldCharType="begin"/>
            </w:r>
            <w:r w:rsidRPr="000A4491">
              <w:rPr>
                <w:rFonts w:ascii="Verdana" w:hAnsi="Verdana"/>
                <w:sz w:val="20"/>
                <w:lang w:val="pt-PT"/>
              </w:rPr>
              <w:instrText>xe "E-Mail"</w:instrText>
            </w:r>
            <w:r w:rsidRPr="000A4491">
              <w:rPr>
                <w:rFonts w:ascii="Verdana" w:hAnsi="Verdana"/>
                <w:sz w:val="20"/>
                <w:lang w:val="pt-PT"/>
              </w:rPr>
              <w:fldChar w:fldCharType="end"/>
            </w:r>
            <w:r w:rsidRPr="000A4491">
              <w:rPr>
                <w:rFonts w:ascii="Verdana" w:hAnsi="Verdana"/>
                <w:sz w:val="20"/>
                <w:lang w:val="pt-PT"/>
              </w:rPr>
              <w:t xml:space="preserve"> Service</w:t>
            </w:r>
          </w:p>
          <w:p w14:paraId="120776F6" w14:textId="77777777" w:rsidR="00F935B1" w:rsidRPr="000A4491" w:rsidRDefault="00F935B1" w:rsidP="0083602C">
            <w:pPr>
              <w:rPr>
                <w:rFonts w:ascii="Verdana" w:hAnsi="Verdana"/>
                <w:sz w:val="20"/>
                <w:lang w:val="pt-PT"/>
              </w:rPr>
            </w:pPr>
            <w:r w:rsidRPr="000A4491">
              <w:rPr>
                <w:rFonts w:ascii="Verdana" w:hAnsi="Verdana"/>
                <w:sz w:val="20"/>
                <w:lang w:val="pt-PT"/>
              </w:rPr>
              <w:t>(</w:t>
            </w:r>
            <w:hyperlink w:anchor="InternetEmailServices" w:history="1">
              <w:r w:rsidRPr="000A4491">
                <w:rPr>
                  <w:rStyle w:val="Hyperlink"/>
                  <w:rFonts w:ascii="Verdana" w:hAnsi="Verdana"/>
                  <w:sz w:val="20"/>
                  <w:lang w:val="pt-PT"/>
                </w:rPr>
                <w:t>E-mail</w:t>
              </w:r>
            </w:hyperlink>
            <w:r w:rsidRPr="000A4491">
              <w:rPr>
                <w:rFonts w:ascii="Verdana" w:hAnsi="Verdana"/>
                <w:sz w:val="20"/>
                <w:lang w:val="pt-PT"/>
              </w:rPr>
              <w:t>)</w:t>
            </w:r>
          </w:p>
          <w:p w14:paraId="436B6973" w14:textId="77777777" w:rsidR="00F935B1" w:rsidRPr="000A4491" w:rsidRDefault="00F935B1" w:rsidP="0083602C">
            <w:pPr>
              <w:rPr>
                <w:rFonts w:ascii="Verdana" w:hAnsi="Verdana"/>
                <w:sz w:val="20"/>
                <w:lang w:val="pt-PT"/>
              </w:rPr>
            </w:pPr>
          </w:p>
        </w:tc>
        <w:tc>
          <w:tcPr>
            <w:tcW w:w="5441" w:type="dxa"/>
          </w:tcPr>
          <w:p w14:paraId="0AB92F75" w14:textId="77777777" w:rsidR="00F935B1" w:rsidRPr="000A4491" w:rsidRDefault="00F935B1" w:rsidP="0083602C">
            <w:pPr>
              <w:pStyle w:val="NormalWeb"/>
              <w:spacing w:before="0" w:beforeAutospacing="0" w:after="0"/>
              <w:rPr>
                <w:rFonts w:ascii="Verdana" w:hAnsi="Verdana"/>
                <w:sz w:val="20"/>
              </w:rPr>
            </w:pPr>
            <w:r w:rsidRPr="000A4491">
              <w:rPr>
                <w:rFonts w:ascii="Verdana" w:hAnsi="Verdana"/>
                <w:sz w:val="20"/>
              </w:rPr>
              <w:t>An e-mail</w:t>
            </w:r>
            <w:r w:rsidRPr="000A4491">
              <w:rPr>
                <w:rFonts w:ascii="Verdana" w:hAnsi="Verdana"/>
                <w:sz w:val="20"/>
              </w:rPr>
              <w:fldChar w:fldCharType="begin"/>
            </w:r>
            <w:r w:rsidRPr="000A4491">
              <w:rPr>
                <w:rFonts w:ascii="Verdana" w:hAnsi="Verdana"/>
                <w:sz w:val="20"/>
              </w:rPr>
              <w:instrText>xe "E-Mail"</w:instrText>
            </w:r>
            <w:r w:rsidRPr="000A4491">
              <w:rPr>
                <w:rFonts w:ascii="Verdana" w:hAnsi="Verdana"/>
                <w:sz w:val="20"/>
              </w:rPr>
              <w:fldChar w:fldCharType="end"/>
            </w:r>
            <w:r w:rsidRPr="000A4491">
              <w:rPr>
                <w:rFonts w:ascii="Verdana" w:hAnsi="Verdana"/>
                <w:sz w:val="20"/>
              </w:rPr>
              <w:t xml:space="preserve"> service </w:t>
            </w:r>
            <w:r w:rsidRPr="000A4491">
              <w:rPr>
                <w:rFonts w:ascii="Verdana" w:hAnsi="Verdana"/>
                <w:bCs/>
                <w:sz w:val="20"/>
              </w:rPr>
              <w:t>provides for the transmission of text</w:t>
            </w:r>
            <w:r w:rsidRPr="000A4491">
              <w:rPr>
                <w:rFonts w:ascii="Verdana" w:hAnsi="Verdana"/>
                <w:sz w:val="20"/>
              </w:rPr>
              <w:fldChar w:fldCharType="begin"/>
            </w:r>
            <w:r w:rsidRPr="000A4491">
              <w:rPr>
                <w:rFonts w:ascii="Verdana" w:hAnsi="Verdana"/>
                <w:sz w:val="20"/>
              </w:rPr>
              <w:instrText>xe "Text Messages"</w:instrText>
            </w:r>
            <w:r w:rsidRPr="000A4491">
              <w:rPr>
                <w:rFonts w:ascii="Verdana" w:hAnsi="Verdana"/>
                <w:sz w:val="20"/>
              </w:rPr>
              <w:fldChar w:fldCharType="end"/>
            </w:r>
            <w:r w:rsidRPr="000A4491">
              <w:rPr>
                <w:rFonts w:ascii="Verdana" w:hAnsi="Verdana"/>
                <w:bCs/>
                <w:sz w:val="20"/>
              </w:rPr>
              <w:t xml:space="preserve"> messages and other embedded data such as file attachments.  It also </w:t>
            </w:r>
            <w:r w:rsidRPr="000A4491">
              <w:rPr>
                <w:rFonts w:ascii="Verdana" w:hAnsi="Verdana"/>
                <w:sz w:val="20"/>
              </w:rPr>
              <w:t>enables the transmission of messages over a local network or the Internet.</w:t>
            </w:r>
          </w:p>
        </w:tc>
      </w:tr>
      <w:tr w:rsidR="00F935B1" w14:paraId="0ACE5919" w14:textId="77777777" w:rsidTr="0083602C">
        <w:trPr>
          <w:tblCellSpacing w:w="15" w:type="dxa"/>
        </w:trPr>
        <w:tc>
          <w:tcPr>
            <w:tcW w:w="3656" w:type="dxa"/>
          </w:tcPr>
          <w:p w14:paraId="24709739" w14:textId="77777777" w:rsidR="00F935B1" w:rsidRPr="000A4491" w:rsidRDefault="00F935B1" w:rsidP="0083602C">
            <w:pPr>
              <w:rPr>
                <w:rFonts w:ascii="Verdana" w:hAnsi="Verdana"/>
                <w:sz w:val="20"/>
                <w:lang w:val="pt-PT"/>
              </w:rPr>
            </w:pPr>
            <w:r w:rsidRPr="000A4491">
              <w:rPr>
                <w:rFonts w:ascii="Verdana" w:hAnsi="Verdana"/>
                <w:sz w:val="20"/>
                <w:lang w:val="pt-PT"/>
              </w:rPr>
              <w:t>Enhanced Multimedia Interface (EMMI)</w:t>
            </w:r>
          </w:p>
          <w:p w14:paraId="0E66227A" w14:textId="77777777" w:rsidR="00F935B1" w:rsidRPr="000A4491" w:rsidRDefault="00F935B1" w:rsidP="0083602C">
            <w:pPr>
              <w:rPr>
                <w:rFonts w:ascii="Verdana" w:hAnsi="Verdana"/>
                <w:sz w:val="20"/>
                <w:lang w:val="pt-PT"/>
              </w:rPr>
            </w:pPr>
            <w:r w:rsidRPr="000A4491">
              <w:rPr>
                <w:rFonts w:ascii="Verdana" w:hAnsi="Verdana"/>
                <w:sz w:val="20"/>
                <w:lang w:val="es-ES_tradnl"/>
              </w:rPr>
              <w:t>(</w:t>
            </w:r>
            <w:hyperlink w:anchor="aaVideo" w:history="1">
              <w:r w:rsidRPr="000A4491">
                <w:rPr>
                  <w:rStyle w:val="Hyperlink"/>
                  <w:rFonts w:ascii="Verdana" w:hAnsi="Verdana"/>
                  <w:sz w:val="20"/>
                  <w:lang w:val="es-ES_tradnl"/>
                </w:rPr>
                <w:t>Video Components</w:t>
              </w:r>
              <w:r w:rsidRPr="000A4491">
                <w:rPr>
                  <w:rFonts w:ascii="Verdana" w:hAnsi="Verdana"/>
                  <w:sz w:val="20"/>
                  <w:lang w:val="es-ES_tradnl"/>
                </w:rPr>
                <w:fldChar w:fldCharType="begin"/>
              </w:r>
              <w:r w:rsidRPr="000A4491">
                <w:rPr>
                  <w:rFonts w:ascii="Verdana" w:hAnsi="Verdana"/>
                  <w:sz w:val="20"/>
                  <w:lang w:val="es-ES_tradnl"/>
                </w:rPr>
                <w:instrText>xe "Video Components"</w:instrText>
              </w:r>
              <w:r w:rsidRPr="000A4491">
                <w:rPr>
                  <w:rFonts w:ascii="Verdana" w:hAnsi="Verdana"/>
                  <w:sz w:val="20"/>
                  <w:lang w:val="es-ES_tradnl"/>
                </w:rPr>
                <w:fldChar w:fldCharType="end"/>
              </w:r>
            </w:hyperlink>
            <w:r w:rsidRPr="000A4491">
              <w:rPr>
                <w:rFonts w:ascii="Verdana" w:hAnsi="Verdana"/>
                <w:sz w:val="20"/>
                <w:lang w:val="es-ES_tradnl"/>
              </w:rPr>
              <w:t>)</w:t>
            </w:r>
          </w:p>
          <w:p w14:paraId="7F4561B5" w14:textId="77777777" w:rsidR="00F935B1" w:rsidRPr="000A4491" w:rsidRDefault="00F935B1" w:rsidP="0083602C">
            <w:pPr>
              <w:rPr>
                <w:rFonts w:ascii="Verdana" w:hAnsi="Verdana"/>
                <w:sz w:val="20"/>
                <w:lang w:val="pt-PT"/>
              </w:rPr>
            </w:pPr>
          </w:p>
        </w:tc>
        <w:tc>
          <w:tcPr>
            <w:tcW w:w="5441" w:type="dxa"/>
          </w:tcPr>
          <w:p w14:paraId="23C25038" w14:textId="77777777" w:rsidR="00F935B1" w:rsidRPr="000A4491" w:rsidRDefault="00F935B1" w:rsidP="0083602C">
            <w:pPr>
              <w:autoSpaceDE w:val="0"/>
              <w:autoSpaceDN w:val="0"/>
              <w:adjustRightInd w:val="0"/>
              <w:rPr>
                <w:rFonts w:ascii="Verdana" w:hAnsi="Verdana" w:cs="Arial"/>
                <w:sz w:val="20"/>
              </w:rPr>
            </w:pPr>
            <w:r w:rsidRPr="000A4491">
              <w:rPr>
                <w:rFonts w:ascii="Verdana" w:hAnsi="Verdana" w:cs="Arial"/>
                <w:sz w:val="20"/>
              </w:rPr>
              <w:t>The EMMI is an interface that gives PC and workstation users on ATM</w:t>
            </w:r>
          </w:p>
          <w:p w14:paraId="708C4ABC" w14:textId="77777777" w:rsidR="00F935B1" w:rsidRPr="000A4491" w:rsidRDefault="00F935B1" w:rsidP="0083602C">
            <w:pPr>
              <w:autoSpaceDE w:val="0"/>
              <w:autoSpaceDN w:val="0"/>
              <w:adjustRightInd w:val="0"/>
              <w:rPr>
                <w:rFonts w:ascii="Verdana" w:hAnsi="Verdana" w:cs="Arial"/>
                <w:sz w:val="20"/>
              </w:rPr>
            </w:pPr>
            <w:r w:rsidRPr="000A4491">
              <w:rPr>
                <w:rFonts w:ascii="Verdana" w:hAnsi="Verdana" w:cs="Arial"/>
                <w:sz w:val="20"/>
              </w:rPr>
              <w:t>networks the ability to send and receive full-motion, high quality video, CD quality</w:t>
            </w:r>
          </w:p>
          <w:p w14:paraId="511BF8B2" w14:textId="77777777" w:rsidR="00F935B1" w:rsidRPr="000A4491" w:rsidRDefault="00F935B1" w:rsidP="0083602C">
            <w:pPr>
              <w:autoSpaceDE w:val="0"/>
              <w:autoSpaceDN w:val="0"/>
              <w:adjustRightInd w:val="0"/>
              <w:rPr>
                <w:rFonts w:ascii="Verdana" w:hAnsi="Verdana" w:cs="Arial"/>
                <w:sz w:val="20"/>
              </w:rPr>
            </w:pPr>
            <w:r w:rsidRPr="000A4491">
              <w:rPr>
                <w:rFonts w:ascii="Verdana" w:hAnsi="Verdana" w:cs="Arial"/>
                <w:sz w:val="20"/>
              </w:rPr>
              <w:t>stereo and high speed data. Signals are transformed into ATM cells</w:t>
            </w:r>
          </w:p>
          <w:p w14:paraId="39209BCE" w14:textId="77777777" w:rsidR="00F935B1" w:rsidRPr="000A4491" w:rsidRDefault="00F935B1" w:rsidP="0083602C">
            <w:pPr>
              <w:autoSpaceDE w:val="0"/>
              <w:autoSpaceDN w:val="0"/>
              <w:adjustRightInd w:val="0"/>
              <w:rPr>
                <w:rFonts w:ascii="Verdana" w:hAnsi="Verdana" w:cs="Arial"/>
                <w:sz w:val="20"/>
              </w:rPr>
            </w:pPr>
            <w:r w:rsidRPr="000A4491">
              <w:rPr>
                <w:rFonts w:ascii="Verdana" w:hAnsi="Verdana" w:cs="Arial"/>
                <w:sz w:val="20"/>
              </w:rPr>
              <w:t>and transported optically, using the Synchronous Optical Network (SONET)</w:t>
            </w:r>
          </w:p>
          <w:p w14:paraId="33061131" w14:textId="77777777" w:rsidR="00F935B1" w:rsidRPr="000A4491" w:rsidRDefault="00F935B1" w:rsidP="0083602C">
            <w:pPr>
              <w:pStyle w:val="NormalWeb"/>
              <w:spacing w:before="0" w:beforeAutospacing="0" w:after="0"/>
              <w:rPr>
                <w:rFonts w:ascii="Verdana" w:hAnsi="Verdana"/>
                <w:sz w:val="20"/>
              </w:rPr>
            </w:pPr>
            <w:r w:rsidRPr="000A4491">
              <w:rPr>
                <w:rFonts w:ascii="Verdana" w:hAnsi="Verdana" w:cs="Arial"/>
                <w:sz w:val="20"/>
              </w:rPr>
              <w:t>standard.</w:t>
            </w:r>
          </w:p>
        </w:tc>
      </w:tr>
      <w:tr w:rsidR="00F935B1" w14:paraId="034205CD" w14:textId="77777777" w:rsidTr="0083602C">
        <w:trPr>
          <w:tblCellSpacing w:w="15" w:type="dxa"/>
        </w:trPr>
        <w:tc>
          <w:tcPr>
            <w:tcW w:w="3656" w:type="dxa"/>
          </w:tcPr>
          <w:p w14:paraId="293CD4D2" w14:textId="77777777" w:rsidR="00F935B1" w:rsidRPr="000A4491" w:rsidRDefault="00F935B1" w:rsidP="0083602C">
            <w:pPr>
              <w:rPr>
                <w:rFonts w:ascii="Verdana" w:hAnsi="Verdana"/>
                <w:sz w:val="20"/>
              </w:rPr>
            </w:pPr>
            <w:r w:rsidRPr="000A4491">
              <w:rPr>
                <w:rFonts w:ascii="Verdana" w:hAnsi="Verdana"/>
                <w:sz w:val="20"/>
              </w:rPr>
              <w:t>Environmental Monitoring</w:t>
            </w:r>
            <w:r w:rsidRPr="000A4491">
              <w:rPr>
                <w:rFonts w:ascii="Verdana" w:hAnsi="Verdana"/>
                <w:sz w:val="20"/>
              </w:rPr>
              <w:fldChar w:fldCharType="begin"/>
            </w:r>
            <w:r w:rsidRPr="000A4491">
              <w:rPr>
                <w:rFonts w:ascii="Verdana" w:hAnsi="Verdana"/>
                <w:sz w:val="20"/>
              </w:rPr>
              <w:instrText>xe "Environmental Monitoring"</w:instrText>
            </w:r>
            <w:r w:rsidRPr="000A4491">
              <w:rPr>
                <w:rFonts w:ascii="Verdana" w:hAnsi="Verdana"/>
                <w:sz w:val="20"/>
              </w:rPr>
              <w:fldChar w:fldCharType="end"/>
            </w:r>
            <w:r w:rsidRPr="000A4491">
              <w:rPr>
                <w:rFonts w:ascii="Verdana" w:hAnsi="Verdana"/>
                <w:sz w:val="20"/>
              </w:rPr>
              <w:t xml:space="preserve"> Components </w:t>
            </w:r>
            <w:r w:rsidRPr="000A4491">
              <w:rPr>
                <w:rFonts w:ascii="Verdana" w:hAnsi="Verdana"/>
                <w:sz w:val="20"/>
              </w:rPr>
              <w:br/>
              <w:t>(</w:t>
            </w:r>
            <w:hyperlink w:anchor="aaDataProtection" w:history="1">
              <w:r w:rsidRPr="000A4491">
                <w:rPr>
                  <w:rStyle w:val="Hyperlink"/>
                  <w:rFonts w:ascii="Verdana" w:hAnsi="Verdana"/>
                  <w:sz w:val="20"/>
                </w:rPr>
                <w:t>Not Eligible for E-rate Funding as Internal Connections Components</w:t>
              </w:r>
              <w:r w:rsidRPr="000A4491">
                <w:rPr>
                  <w:rFonts w:ascii="Verdana" w:hAnsi="Verdana"/>
                  <w:sz w:val="20"/>
                </w:rPr>
                <w:fldChar w:fldCharType="begin"/>
              </w:r>
              <w:r w:rsidRPr="000A4491">
                <w:rPr>
                  <w:rFonts w:ascii="Verdana" w:hAnsi="Verdana"/>
                  <w:sz w:val="20"/>
                </w:rPr>
                <w:instrText>xe "Data Protection"</w:instrText>
              </w:r>
              <w:r w:rsidRPr="000A4491">
                <w:rPr>
                  <w:rFonts w:ascii="Verdana" w:hAnsi="Verdana"/>
                  <w:sz w:val="20"/>
                </w:rPr>
                <w:fldChar w:fldCharType="end"/>
              </w:r>
            </w:hyperlink>
            <w:r w:rsidRPr="000A4491">
              <w:rPr>
                <w:rFonts w:ascii="Verdana" w:hAnsi="Verdana"/>
                <w:sz w:val="20"/>
              </w:rPr>
              <w:t>)</w:t>
            </w:r>
          </w:p>
        </w:tc>
        <w:tc>
          <w:tcPr>
            <w:tcW w:w="5441" w:type="dxa"/>
          </w:tcPr>
          <w:p w14:paraId="1DBD53BC" w14:textId="77777777" w:rsidR="00F935B1" w:rsidRPr="000A4491" w:rsidRDefault="00F935B1" w:rsidP="0083602C">
            <w:pPr>
              <w:pStyle w:val="NormalWeb"/>
              <w:spacing w:before="0" w:beforeAutospacing="0" w:after="0"/>
              <w:rPr>
                <w:rFonts w:ascii="Verdana" w:hAnsi="Verdana"/>
                <w:sz w:val="20"/>
              </w:rPr>
            </w:pPr>
            <w:r w:rsidRPr="000A4491">
              <w:rPr>
                <w:rFonts w:ascii="Verdana" w:hAnsi="Verdana"/>
                <w:sz w:val="20"/>
              </w:rPr>
              <w:t>Environmental monitoring</w:t>
            </w:r>
            <w:r w:rsidRPr="000A4491">
              <w:rPr>
                <w:rFonts w:ascii="Verdana" w:hAnsi="Verdana"/>
                <w:sz w:val="20"/>
              </w:rPr>
              <w:fldChar w:fldCharType="begin"/>
            </w:r>
            <w:r w:rsidRPr="000A4491">
              <w:rPr>
                <w:rFonts w:ascii="Verdana" w:hAnsi="Verdana"/>
                <w:sz w:val="20"/>
              </w:rPr>
              <w:instrText xml:space="preserve">xe "Environmental </w:instrText>
            </w:r>
            <w:r w:rsidRPr="000A4491">
              <w:rPr>
                <w:rFonts w:ascii="Verdana" w:hAnsi="Verdana"/>
                <w:bCs/>
                <w:sz w:val="20"/>
              </w:rPr>
              <w:instrText>Monitoring</w:instrText>
            </w:r>
            <w:r w:rsidRPr="000A4491">
              <w:rPr>
                <w:rFonts w:ascii="Verdana" w:hAnsi="Verdana"/>
                <w:sz w:val="20"/>
              </w:rPr>
              <w:instrText>"</w:instrText>
            </w:r>
            <w:r w:rsidRPr="000A4491">
              <w:rPr>
                <w:rFonts w:ascii="Verdana" w:hAnsi="Verdana"/>
                <w:sz w:val="20"/>
              </w:rPr>
              <w:fldChar w:fldCharType="end"/>
            </w:r>
            <w:r w:rsidRPr="000A4491">
              <w:rPr>
                <w:rFonts w:ascii="Verdana" w:hAnsi="Verdana"/>
                <w:sz w:val="20"/>
              </w:rPr>
              <w:t xml:space="preserve"> components provide information about heat, humidity, or other factors in order to provide a warning system for conditions that may affect the correct operation of equipment.  For example, an environmental monitoring card is sometimes available as an optional feature of an uninterruptible power supply and is used to monitor the environmental conditions of a rack</w:t>
            </w:r>
            <w:r w:rsidRPr="000A4491">
              <w:rPr>
                <w:rFonts w:ascii="Verdana" w:hAnsi="Verdana"/>
                <w:sz w:val="20"/>
              </w:rPr>
              <w:fldChar w:fldCharType="begin"/>
            </w:r>
            <w:r w:rsidRPr="000A4491">
              <w:rPr>
                <w:rFonts w:ascii="Verdana" w:hAnsi="Verdana"/>
                <w:sz w:val="20"/>
              </w:rPr>
              <w:instrText>xe "R</w:instrText>
            </w:r>
            <w:r w:rsidRPr="000A4491">
              <w:rPr>
                <w:rFonts w:ascii="Verdana" w:hAnsi="Verdana"/>
                <w:bCs/>
                <w:sz w:val="20"/>
              </w:rPr>
              <w:instrText>acks</w:instrText>
            </w:r>
            <w:r w:rsidRPr="000A4491">
              <w:rPr>
                <w:rFonts w:ascii="Verdana" w:hAnsi="Verdana"/>
                <w:sz w:val="20"/>
              </w:rPr>
              <w:instrText>"</w:instrText>
            </w:r>
            <w:r w:rsidRPr="000A4491">
              <w:rPr>
                <w:rFonts w:ascii="Verdana" w:hAnsi="Verdana"/>
                <w:sz w:val="20"/>
              </w:rPr>
              <w:fldChar w:fldCharType="end"/>
            </w:r>
            <w:r w:rsidRPr="000A4491">
              <w:rPr>
                <w:rFonts w:ascii="Verdana" w:hAnsi="Verdana"/>
                <w:sz w:val="20"/>
              </w:rPr>
              <w:t>, computer room, or data center.</w:t>
            </w:r>
          </w:p>
        </w:tc>
      </w:tr>
      <w:tr w:rsidR="00F935B1" w14:paraId="52FD08D8" w14:textId="77777777" w:rsidTr="0083602C">
        <w:trPr>
          <w:tblCellSpacing w:w="15" w:type="dxa"/>
        </w:trPr>
        <w:tc>
          <w:tcPr>
            <w:tcW w:w="3656" w:type="dxa"/>
          </w:tcPr>
          <w:p w14:paraId="16E54D49" w14:textId="77777777" w:rsidR="00F935B1" w:rsidRPr="000A4491" w:rsidRDefault="00F935B1" w:rsidP="0083602C">
            <w:pPr>
              <w:rPr>
                <w:rFonts w:ascii="Verdana" w:hAnsi="Verdana"/>
                <w:sz w:val="20"/>
              </w:rPr>
            </w:pPr>
            <w:r w:rsidRPr="000A4491">
              <w:rPr>
                <w:rFonts w:ascii="Verdana" w:hAnsi="Verdana"/>
                <w:sz w:val="20"/>
              </w:rPr>
              <w:lastRenderedPageBreak/>
              <w:t>Ethernet</w:t>
            </w:r>
          </w:p>
          <w:p w14:paraId="75D2ABC1" w14:textId="77777777" w:rsidR="00F935B1" w:rsidRPr="000A4491" w:rsidRDefault="00F935B1" w:rsidP="0083602C">
            <w:pPr>
              <w:rPr>
                <w:rFonts w:ascii="Verdana" w:hAnsi="Verdana"/>
                <w:sz w:val="20"/>
              </w:rPr>
            </w:pPr>
            <w:r w:rsidRPr="000A4491">
              <w:rPr>
                <w:rFonts w:ascii="Verdana" w:hAnsi="Verdana"/>
                <w:sz w:val="20"/>
              </w:rPr>
              <w:t>(</w:t>
            </w:r>
            <w:hyperlink w:anchor="aattDigitalTransmissionServices" w:history="1">
              <w:r w:rsidRPr="000A4491">
                <w:rPr>
                  <w:rStyle w:val="Hyperlink"/>
                  <w:rFonts w:ascii="Verdana" w:hAnsi="Verdana"/>
                  <w:sz w:val="20"/>
                </w:rPr>
                <w:t>Digital Transmission Services</w:t>
              </w:r>
            </w:hyperlink>
            <w:r w:rsidRPr="000A4491">
              <w:rPr>
                <w:rFonts w:ascii="Verdana" w:hAnsi="Verdana"/>
                <w:sz w:val="20"/>
              </w:rPr>
              <w:t>)</w:t>
            </w:r>
          </w:p>
        </w:tc>
        <w:tc>
          <w:tcPr>
            <w:tcW w:w="5441" w:type="dxa"/>
          </w:tcPr>
          <w:p w14:paraId="2E1411D6" w14:textId="77777777" w:rsidR="00F935B1" w:rsidRPr="000A4491" w:rsidRDefault="00F935B1" w:rsidP="0083602C">
            <w:pPr>
              <w:pStyle w:val="NormalWeb"/>
              <w:rPr>
                <w:rFonts w:ascii="Verdana" w:hAnsi="Verdana"/>
                <w:sz w:val="20"/>
              </w:rPr>
            </w:pPr>
            <w:r w:rsidRPr="000A4491">
              <w:rPr>
                <w:rFonts w:ascii="Verdana" w:hAnsi="Verdana"/>
                <w:color w:val="000000"/>
                <w:sz w:val="20"/>
              </w:rPr>
              <w:t xml:space="preserve">Ethernet is a type of Digital Transmission Service.  Traditionally, Ethernet operates at a bandwidth commonly known as 10Base-T which is equivalent to 10 megabits per second (Mb/s).  100Base-T at 100 Mb/s and Gigabit (1,000Mb/s) are also available.  </w:t>
            </w:r>
          </w:p>
        </w:tc>
      </w:tr>
      <w:tr w:rsidR="00F935B1" w14:paraId="3A8853EE" w14:textId="77777777" w:rsidTr="0083602C">
        <w:trPr>
          <w:tblCellSpacing w:w="15" w:type="dxa"/>
        </w:trPr>
        <w:tc>
          <w:tcPr>
            <w:tcW w:w="3656" w:type="dxa"/>
          </w:tcPr>
          <w:p w14:paraId="504938F5" w14:textId="77777777" w:rsidR="00F935B1" w:rsidRPr="000A4491" w:rsidRDefault="00F935B1" w:rsidP="0083602C">
            <w:pPr>
              <w:rPr>
                <w:rFonts w:ascii="Verdana" w:hAnsi="Verdana"/>
                <w:sz w:val="20"/>
              </w:rPr>
            </w:pPr>
            <w:r w:rsidRPr="000A4491">
              <w:rPr>
                <w:rFonts w:ascii="Verdana" w:hAnsi="Verdana"/>
                <w:sz w:val="20"/>
              </w:rPr>
              <w:t xml:space="preserve">Faceplates </w:t>
            </w:r>
            <w:r w:rsidRPr="000A4491">
              <w:rPr>
                <w:rFonts w:ascii="Verdana" w:hAnsi="Verdana"/>
                <w:sz w:val="20"/>
              </w:rPr>
              <w:br/>
              <w:t>(</w:t>
            </w:r>
            <w:hyperlink w:anchor="aaCablingConnectors" w:history="1">
              <w:r w:rsidRPr="000A4491">
                <w:rPr>
                  <w:rStyle w:val="Hyperlink"/>
                  <w:rFonts w:ascii="Verdana" w:hAnsi="Verdana"/>
                  <w:sz w:val="20"/>
                </w:rPr>
                <w:t>Cabling</w:t>
              </w:r>
              <w:r w:rsidRPr="000A4491">
                <w:rPr>
                  <w:rFonts w:ascii="Verdana" w:hAnsi="Verdana"/>
                  <w:sz w:val="20"/>
                </w:rPr>
                <w:fldChar w:fldCharType="begin"/>
              </w:r>
              <w:r w:rsidRPr="000A4491">
                <w:rPr>
                  <w:rFonts w:ascii="Verdana" w:hAnsi="Verdana"/>
                  <w:sz w:val="20"/>
                </w:rPr>
                <w:instrText>xe "</w:instrText>
              </w:r>
              <w:r w:rsidRPr="000A4491">
                <w:rPr>
                  <w:rStyle w:val="Hyperlink"/>
                  <w:rFonts w:ascii="Verdana" w:hAnsi="Verdana"/>
                  <w:bCs/>
                  <w:sz w:val="20"/>
                </w:rPr>
                <w:instrText>Cabling</w:instrText>
              </w:r>
              <w:r w:rsidRPr="000A4491">
                <w:rPr>
                  <w:rFonts w:ascii="Verdana" w:hAnsi="Verdana"/>
                  <w:sz w:val="20"/>
                </w:rPr>
                <w:instrText>"</w:instrText>
              </w:r>
              <w:r w:rsidRPr="000A4491">
                <w:rPr>
                  <w:rFonts w:ascii="Verdana" w:hAnsi="Verdana"/>
                  <w:sz w:val="20"/>
                </w:rPr>
                <w:fldChar w:fldCharType="end"/>
              </w:r>
            </w:hyperlink>
            <w:r w:rsidRPr="000A4491">
              <w:rPr>
                <w:rFonts w:ascii="Verdana" w:hAnsi="Verdana"/>
                <w:sz w:val="20"/>
              </w:rPr>
              <w:t>)</w:t>
            </w:r>
          </w:p>
        </w:tc>
        <w:tc>
          <w:tcPr>
            <w:tcW w:w="5441" w:type="dxa"/>
          </w:tcPr>
          <w:p w14:paraId="241AFDD3" w14:textId="77777777" w:rsidR="00F935B1" w:rsidRPr="000A4491" w:rsidRDefault="00F935B1" w:rsidP="0083602C">
            <w:pPr>
              <w:pStyle w:val="NormalWeb"/>
              <w:spacing w:before="0" w:beforeAutospacing="0" w:after="0"/>
              <w:rPr>
                <w:rFonts w:ascii="Verdana" w:hAnsi="Verdana"/>
                <w:sz w:val="20"/>
              </w:rPr>
            </w:pPr>
            <w:r w:rsidRPr="000A4491">
              <w:rPr>
                <w:rFonts w:ascii="Verdana" w:hAnsi="Verdana"/>
                <w:sz w:val="20"/>
              </w:rPr>
              <w:t>Faceplates are</w:t>
            </w:r>
            <w:r w:rsidRPr="000A4491">
              <w:rPr>
                <w:rFonts w:ascii="Verdana" w:hAnsi="Verdana"/>
                <w:sz w:val="20"/>
              </w:rPr>
              <w:fldChar w:fldCharType="begin"/>
            </w:r>
            <w:r w:rsidRPr="000A4491">
              <w:rPr>
                <w:rFonts w:ascii="Verdana" w:hAnsi="Verdana"/>
                <w:sz w:val="20"/>
              </w:rPr>
              <w:instrText>xe "Faceplate Cover"</w:instrText>
            </w:r>
            <w:r w:rsidRPr="000A4491">
              <w:rPr>
                <w:rFonts w:ascii="Verdana" w:hAnsi="Verdana"/>
                <w:sz w:val="20"/>
              </w:rPr>
              <w:fldChar w:fldCharType="end"/>
            </w:r>
            <w:r w:rsidRPr="000A4491">
              <w:rPr>
                <w:rFonts w:ascii="Verdana" w:hAnsi="Verdana"/>
                <w:sz w:val="20"/>
              </w:rPr>
              <w:t xml:space="preserve"> covers that fit over a jack, outlet, or dial.</w:t>
            </w:r>
          </w:p>
        </w:tc>
      </w:tr>
      <w:tr w:rsidR="00F935B1" w14:paraId="468D7096" w14:textId="77777777" w:rsidTr="0083602C">
        <w:trPr>
          <w:tblCellSpacing w:w="15" w:type="dxa"/>
        </w:trPr>
        <w:tc>
          <w:tcPr>
            <w:tcW w:w="3656" w:type="dxa"/>
          </w:tcPr>
          <w:p w14:paraId="1B08A7DB" w14:textId="77777777" w:rsidR="00F935B1" w:rsidRPr="000A4491" w:rsidRDefault="00F935B1" w:rsidP="0083602C">
            <w:pPr>
              <w:rPr>
                <w:rFonts w:ascii="Verdana" w:hAnsi="Verdana"/>
                <w:sz w:val="20"/>
              </w:rPr>
            </w:pPr>
            <w:r w:rsidRPr="000A4491">
              <w:rPr>
                <w:rFonts w:ascii="Verdana" w:hAnsi="Verdana"/>
                <w:sz w:val="20"/>
              </w:rPr>
              <w:t>Failover</w:t>
            </w:r>
          </w:p>
          <w:p w14:paraId="361C4098" w14:textId="77777777" w:rsidR="00F935B1" w:rsidRPr="000A4491" w:rsidRDefault="00F935B1" w:rsidP="0083602C">
            <w:pPr>
              <w:rPr>
                <w:rFonts w:ascii="Verdana" w:hAnsi="Verdana"/>
                <w:sz w:val="20"/>
              </w:rPr>
            </w:pPr>
            <w:r w:rsidRPr="000A4491">
              <w:rPr>
                <w:rFonts w:ascii="Verdana" w:hAnsi="Verdana"/>
                <w:sz w:val="20"/>
              </w:rPr>
              <w:t>(</w:t>
            </w:r>
            <w:hyperlink w:anchor="OtherMiscellaneousIneligibleComponents" w:history="1">
              <w:r w:rsidRPr="000A4491">
                <w:rPr>
                  <w:rStyle w:val="Hyperlink"/>
                  <w:rFonts w:ascii="Verdana" w:hAnsi="Verdana"/>
                  <w:sz w:val="20"/>
                </w:rPr>
                <w:t>Other Miscellaneous Ineligible Components</w:t>
              </w:r>
            </w:hyperlink>
            <w:r w:rsidRPr="000A4491">
              <w:rPr>
                <w:rFonts w:ascii="Verdana" w:hAnsi="Verdana"/>
                <w:sz w:val="20"/>
              </w:rPr>
              <w:fldChar w:fldCharType="begin"/>
            </w:r>
            <w:r w:rsidRPr="000A4491">
              <w:rPr>
                <w:rFonts w:ascii="Verdana" w:hAnsi="Verdana"/>
                <w:sz w:val="20"/>
              </w:rPr>
              <w:instrText>xe "Ineligible Components"</w:instrText>
            </w:r>
            <w:r w:rsidRPr="000A4491">
              <w:rPr>
                <w:rFonts w:ascii="Verdana" w:hAnsi="Verdana"/>
                <w:sz w:val="20"/>
              </w:rPr>
              <w:fldChar w:fldCharType="end"/>
            </w:r>
            <w:r w:rsidRPr="000A4491">
              <w:rPr>
                <w:rFonts w:ascii="Verdana" w:hAnsi="Verdana"/>
                <w:sz w:val="20"/>
              </w:rPr>
              <w:t>)</w:t>
            </w:r>
          </w:p>
          <w:p w14:paraId="74E6DE5C" w14:textId="77777777" w:rsidR="00F935B1" w:rsidRPr="000A4491" w:rsidRDefault="00F935B1" w:rsidP="0083602C">
            <w:pPr>
              <w:rPr>
                <w:rFonts w:ascii="Verdana" w:hAnsi="Verdana"/>
                <w:sz w:val="20"/>
              </w:rPr>
            </w:pPr>
          </w:p>
        </w:tc>
        <w:tc>
          <w:tcPr>
            <w:tcW w:w="5441" w:type="dxa"/>
          </w:tcPr>
          <w:p w14:paraId="57ED52C7" w14:textId="77777777" w:rsidR="00F935B1" w:rsidRPr="000A4491" w:rsidRDefault="00F935B1" w:rsidP="0083602C">
            <w:pPr>
              <w:pStyle w:val="NormalWeb"/>
              <w:spacing w:before="0" w:beforeAutospacing="0" w:after="0"/>
              <w:rPr>
                <w:rFonts w:ascii="Verdana" w:hAnsi="Verdana"/>
                <w:sz w:val="20"/>
              </w:rPr>
            </w:pPr>
            <w:r w:rsidRPr="000A4491">
              <w:rPr>
                <w:rFonts w:ascii="Verdana" w:hAnsi="Verdana"/>
                <w:sz w:val="20"/>
              </w:rPr>
              <w:t>Failover is generally a component or service which is activated if the primary component or service loses its capability to function.</w:t>
            </w:r>
          </w:p>
        </w:tc>
      </w:tr>
      <w:tr w:rsidR="00F935B1" w14:paraId="3D31EB43" w14:textId="77777777" w:rsidTr="0083602C">
        <w:trPr>
          <w:tblCellSpacing w:w="15" w:type="dxa"/>
        </w:trPr>
        <w:tc>
          <w:tcPr>
            <w:tcW w:w="3656" w:type="dxa"/>
          </w:tcPr>
          <w:p w14:paraId="3B251198" w14:textId="77777777" w:rsidR="00F935B1" w:rsidRPr="000A4491" w:rsidRDefault="00F935B1" w:rsidP="0083602C">
            <w:pPr>
              <w:rPr>
                <w:rFonts w:ascii="Verdana" w:hAnsi="Verdana"/>
                <w:sz w:val="20"/>
              </w:rPr>
            </w:pPr>
            <w:r w:rsidRPr="000A4491">
              <w:rPr>
                <w:rFonts w:ascii="Verdana" w:hAnsi="Verdana"/>
                <w:sz w:val="20"/>
              </w:rPr>
              <w:t xml:space="preserve">Fax Machine </w:t>
            </w:r>
            <w:r w:rsidRPr="000A4491">
              <w:rPr>
                <w:rFonts w:ascii="Verdana" w:hAnsi="Verdana"/>
                <w:sz w:val="20"/>
              </w:rPr>
              <w:br/>
              <w:t>(</w:t>
            </w:r>
            <w:hyperlink w:anchor="aaIneligibleComponents" w:history="1">
              <w:r w:rsidRPr="000A4491">
                <w:rPr>
                  <w:rStyle w:val="Hyperlink"/>
                  <w:rFonts w:ascii="Verdana" w:hAnsi="Verdana"/>
                  <w:sz w:val="20"/>
                </w:rPr>
                <w:t>Not Eligible for E-rate Funding as Internal Connections Components</w:t>
              </w:r>
            </w:hyperlink>
            <w:r w:rsidRPr="000A4491">
              <w:rPr>
                <w:rFonts w:ascii="Verdana" w:hAnsi="Verdana"/>
                <w:sz w:val="20"/>
              </w:rPr>
              <w:t>)</w:t>
            </w:r>
          </w:p>
        </w:tc>
        <w:tc>
          <w:tcPr>
            <w:tcW w:w="5441" w:type="dxa"/>
          </w:tcPr>
          <w:p w14:paraId="1820CBAA" w14:textId="77777777" w:rsidR="00F935B1" w:rsidRPr="000A4491" w:rsidRDefault="00F935B1" w:rsidP="0083602C">
            <w:pPr>
              <w:pStyle w:val="NormalWeb"/>
              <w:spacing w:before="0" w:beforeAutospacing="0" w:after="0"/>
              <w:rPr>
                <w:rFonts w:ascii="Verdana" w:hAnsi="Verdana"/>
                <w:sz w:val="20"/>
              </w:rPr>
            </w:pPr>
            <w:r w:rsidRPr="000A4491">
              <w:rPr>
                <w:rFonts w:ascii="Verdana" w:hAnsi="Verdana"/>
                <w:sz w:val="20"/>
              </w:rPr>
              <w:t>A facsimile</w:t>
            </w:r>
            <w:r w:rsidRPr="000A4491">
              <w:rPr>
                <w:rFonts w:ascii="Verdana" w:hAnsi="Verdana"/>
                <w:sz w:val="20"/>
              </w:rPr>
              <w:fldChar w:fldCharType="begin"/>
            </w:r>
            <w:r w:rsidRPr="000A4491">
              <w:rPr>
                <w:rFonts w:ascii="Verdana" w:hAnsi="Verdana"/>
                <w:sz w:val="20"/>
              </w:rPr>
              <w:instrText>xe "Fax Machines"</w:instrText>
            </w:r>
            <w:r w:rsidRPr="000A4491">
              <w:rPr>
                <w:rFonts w:ascii="Verdana" w:hAnsi="Verdana"/>
                <w:sz w:val="20"/>
              </w:rPr>
              <w:fldChar w:fldCharType="end"/>
            </w:r>
            <w:r w:rsidRPr="000A4491">
              <w:rPr>
                <w:rFonts w:ascii="Verdana" w:hAnsi="Verdana"/>
                <w:sz w:val="20"/>
              </w:rPr>
              <w:t>, or fax</w:t>
            </w:r>
            <w:r w:rsidRPr="000A4491">
              <w:rPr>
                <w:rFonts w:ascii="Verdana" w:hAnsi="Verdana"/>
                <w:sz w:val="20"/>
              </w:rPr>
              <w:fldChar w:fldCharType="begin"/>
            </w:r>
            <w:r w:rsidRPr="000A4491">
              <w:rPr>
                <w:rFonts w:ascii="Verdana" w:hAnsi="Verdana"/>
                <w:sz w:val="20"/>
              </w:rPr>
              <w:instrText>xe "Fax Machines"</w:instrText>
            </w:r>
            <w:r w:rsidRPr="000A4491">
              <w:rPr>
                <w:rFonts w:ascii="Verdana" w:hAnsi="Verdana"/>
                <w:sz w:val="20"/>
              </w:rPr>
              <w:fldChar w:fldCharType="end"/>
            </w:r>
            <w:r w:rsidRPr="000A4491">
              <w:rPr>
                <w:rFonts w:ascii="Verdana" w:hAnsi="Verdana"/>
                <w:sz w:val="20"/>
              </w:rPr>
              <w:t>, machine is a device in which the image of a document is electronically transferred over the telephone network and printed out elsewhere.</w:t>
            </w:r>
          </w:p>
        </w:tc>
      </w:tr>
      <w:tr w:rsidR="00F935B1" w14:paraId="1B775FE3" w14:textId="77777777" w:rsidTr="0083602C">
        <w:trPr>
          <w:tblCellSpacing w:w="15" w:type="dxa"/>
        </w:trPr>
        <w:tc>
          <w:tcPr>
            <w:tcW w:w="3656" w:type="dxa"/>
          </w:tcPr>
          <w:p w14:paraId="3F1B2D26" w14:textId="77777777" w:rsidR="00F935B1" w:rsidRPr="000A4491" w:rsidRDefault="00F935B1" w:rsidP="0083602C">
            <w:pPr>
              <w:rPr>
                <w:rFonts w:ascii="Verdana" w:hAnsi="Verdana"/>
                <w:sz w:val="20"/>
              </w:rPr>
            </w:pPr>
            <w:r w:rsidRPr="000A4491">
              <w:rPr>
                <w:rFonts w:ascii="Verdana" w:hAnsi="Verdana"/>
                <w:sz w:val="20"/>
              </w:rPr>
              <w:t>Fiber</w:t>
            </w:r>
            <w:r w:rsidRPr="000A4491">
              <w:rPr>
                <w:rFonts w:ascii="Verdana" w:hAnsi="Verdana"/>
                <w:sz w:val="20"/>
              </w:rPr>
              <w:fldChar w:fldCharType="begin"/>
            </w:r>
            <w:r w:rsidRPr="000A4491">
              <w:rPr>
                <w:rFonts w:ascii="Verdana" w:hAnsi="Verdana"/>
                <w:sz w:val="20"/>
              </w:rPr>
              <w:instrText>xe "</w:instrText>
            </w:r>
            <w:r w:rsidRPr="000A4491">
              <w:rPr>
                <w:rFonts w:ascii="Verdana" w:hAnsi="Verdana" w:cs="Verdana"/>
                <w:bCs/>
                <w:sz w:val="20"/>
              </w:rPr>
              <w:instrText>Fiber</w:instrText>
            </w:r>
            <w:r w:rsidRPr="000A4491">
              <w:rPr>
                <w:rFonts w:ascii="Verdana" w:hAnsi="Verdana"/>
                <w:sz w:val="20"/>
              </w:rPr>
              <w:instrText>"</w:instrText>
            </w:r>
            <w:r w:rsidRPr="000A4491">
              <w:rPr>
                <w:rFonts w:ascii="Verdana" w:hAnsi="Verdana"/>
                <w:sz w:val="20"/>
              </w:rPr>
              <w:fldChar w:fldCharType="end"/>
            </w:r>
            <w:r w:rsidRPr="000A4491">
              <w:rPr>
                <w:rFonts w:ascii="Verdana" w:hAnsi="Verdana"/>
                <w:sz w:val="20"/>
              </w:rPr>
              <w:t xml:space="preserve"> Optics or Fiber</w:t>
            </w:r>
          </w:p>
          <w:p w14:paraId="109FF368" w14:textId="77777777" w:rsidR="00F935B1" w:rsidRPr="000A4491" w:rsidRDefault="00F935B1" w:rsidP="0083602C">
            <w:pPr>
              <w:rPr>
                <w:rFonts w:ascii="Verdana" w:hAnsi="Verdana"/>
                <w:sz w:val="20"/>
              </w:rPr>
            </w:pPr>
            <w:r w:rsidRPr="000A4491">
              <w:rPr>
                <w:rFonts w:ascii="Verdana" w:hAnsi="Verdana"/>
                <w:sz w:val="20"/>
              </w:rPr>
              <w:t>(</w:t>
            </w:r>
            <w:hyperlink w:anchor="aattDigitalTransmissionServices" w:history="1">
              <w:r w:rsidRPr="000A4491">
                <w:rPr>
                  <w:rStyle w:val="Hyperlink"/>
                  <w:rFonts w:ascii="Verdana" w:hAnsi="Verdana"/>
                  <w:sz w:val="20"/>
                </w:rPr>
                <w:t>Digital Transmission Services</w:t>
              </w:r>
            </w:hyperlink>
            <w:r w:rsidRPr="000A4491">
              <w:rPr>
                <w:rFonts w:ascii="Verdana" w:hAnsi="Verdana"/>
                <w:sz w:val="20"/>
              </w:rPr>
              <w:t>)</w:t>
            </w:r>
          </w:p>
        </w:tc>
        <w:tc>
          <w:tcPr>
            <w:tcW w:w="5441" w:type="dxa"/>
          </w:tcPr>
          <w:p w14:paraId="6349A622" w14:textId="77777777" w:rsidR="00F935B1" w:rsidRPr="000A4491" w:rsidRDefault="00F935B1" w:rsidP="0083602C">
            <w:pPr>
              <w:rPr>
                <w:rFonts w:ascii="Verdana" w:hAnsi="Verdana"/>
                <w:sz w:val="20"/>
              </w:rPr>
            </w:pPr>
            <w:r w:rsidRPr="000A4491">
              <w:rPr>
                <w:rFonts w:ascii="Verdana" w:hAnsi="Verdana"/>
                <w:sz w:val="20"/>
              </w:rPr>
              <w:t>Fiber</w:t>
            </w:r>
            <w:r w:rsidRPr="000A4491">
              <w:rPr>
                <w:rFonts w:ascii="Verdana" w:hAnsi="Verdana"/>
                <w:sz w:val="20"/>
              </w:rPr>
              <w:fldChar w:fldCharType="begin"/>
            </w:r>
            <w:r w:rsidRPr="000A4491">
              <w:rPr>
                <w:rFonts w:ascii="Verdana" w:hAnsi="Verdana"/>
                <w:sz w:val="20"/>
              </w:rPr>
              <w:instrText>xe "</w:instrText>
            </w:r>
            <w:r w:rsidRPr="000A4491">
              <w:rPr>
                <w:rFonts w:ascii="Verdana" w:hAnsi="Verdana" w:cs="Verdana"/>
                <w:bCs/>
                <w:sz w:val="20"/>
              </w:rPr>
              <w:instrText>Fiber</w:instrText>
            </w:r>
            <w:r w:rsidRPr="000A4491">
              <w:rPr>
                <w:rFonts w:ascii="Verdana" w:hAnsi="Verdana"/>
                <w:sz w:val="20"/>
              </w:rPr>
              <w:instrText>"</w:instrText>
            </w:r>
            <w:r w:rsidRPr="000A4491">
              <w:rPr>
                <w:rFonts w:ascii="Verdana" w:hAnsi="Verdana"/>
                <w:sz w:val="20"/>
              </w:rPr>
              <w:fldChar w:fldCharType="end"/>
            </w:r>
            <w:r w:rsidRPr="000A4491">
              <w:rPr>
                <w:rFonts w:ascii="Verdana" w:hAnsi="Verdana"/>
                <w:sz w:val="20"/>
              </w:rPr>
              <w:t xml:space="preserve"> Optics</w:t>
            </w:r>
            <w:r w:rsidRPr="000A4491">
              <w:rPr>
                <w:rFonts w:ascii="Verdana" w:hAnsi="Verdana"/>
                <w:sz w:val="20"/>
              </w:rPr>
              <w:fldChar w:fldCharType="begin"/>
            </w:r>
            <w:r w:rsidRPr="000A4491">
              <w:rPr>
                <w:rFonts w:ascii="Verdana" w:hAnsi="Verdana"/>
                <w:sz w:val="20"/>
              </w:rPr>
              <w:instrText>xe "Fiber Optics"</w:instrText>
            </w:r>
            <w:r w:rsidRPr="000A4491">
              <w:rPr>
                <w:rFonts w:ascii="Verdana" w:hAnsi="Verdana"/>
                <w:sz w:val="20"/>
              </w:rPr>
              <w:fldChar w:fldCharType="end"/>
            </w:r>
            <w:r w:rsidRPr="000A4491">
              <w:rPr>
                <w:rFonts w:ascii="Verdana" w:hAnsi="Verdana"/>
                <w:sz w:val="20"/>
              </w:rPr>
              <w:t xml:space="preserve"> is a technology that uses light to transport information and can provide a Digital Transmission Service. </w:t>
            </w:r>
          </w:p>
        </w:tc>
      </w:tr>
      <w:tr w:rsidR="00F935B1" w14:paraId="112CF74C" w14:textId="77777777" w:rsidTr="0083602C">
        <w:trPr>
          <w:tblCellSpacing w:w="15" w:type="dxa"/>
        </w:trPr>
        <w:tc>
          <w:tcPr>
            <w:tcW w:w="3656" w:type="dxa"/>
          </w:tcPr>
          <w:p w14:paraId="4DA652C4" w14:textId="77777777" w:rsidR="00F935B1" w:rsidRPr="000A4491" w:rsidRDefault="00F935B1" w:rsidP="0083602C">
            <w:pPr>
              <w:rPr>
                <w:rFonts w:ascii="Verdana" w:hAnsi="Verdana"/>
                <w:sz w:val="20"/>
              </w:rPr>
            </w:pPr>
            <w:r w:rsidRPr="000A4491">
              <w:rPr>
                <w:rFonts w:ascii="Verdana" w:hAnsi="Verdana"/>
                <w:sz w:val="20"/>
              </w:rPr>
              <w:t>Filtering Service</w:t>
            </w:r>
            <w:r w:rsidRPr="000A4491">
              <w:rPr>
                <w:rFonts w:ascii="Verdana" w:hAnsi="Verdana"/>
                <w:sz w:val="20"/>
              </w:rPr>
              <w:fldChar w:fldCharType="begin"/>
            </w:r>
            <w:r w:rsidRPr="000A4491">
              <w:rPr>
                <w:rFonts w:ascii="Verdana" w:hAnsi="Verdana"/>
                <w:sz w:val="20"/>
              </w:rPr>
              <w:instrText>xe "Filtering Service"</w:instrText>
            </w:r>
            <w:r w:rsidRPr="000A4491">
              <w:rPr>
                <w:rFonts w:ascii="Verdana" w:hAnsi="Verdana"/>
                <w:sz w:val="20"/>
              </w:rPr>
              <w:fldChar w:fldCharType="end"/>
            </w:r>
          </w:p>
          <w:p w14:paraId="00C2181A" w14:textId="77777777" w:rsidR="00F935B1" w:rsidRPr="000A4491" w:rsidRDefault="00F935B1" w:rsidP="0083602C">
            <w:pPr>
              <w:rPr>
                <w:rFonts w:ascii="Verdana" w:hAnsi="Verdana"/>
                <w:sz w:val="20"/>
              </w:rPr>
            </w:pPr>
            <w:r w:rsidRPr="000A4491">
              <w:rPr>
                <w:rFonts w:ascii="Verdana" w:hAnsi="Verdana"/>
                <w:sz w:val="20"/>
              </w:rPr>
              <w:t>(</w:t>
            </w:r>
            <w:hyperlink w:anchor="InternetIneligibleServices" w:history="1">
              <w:r w:rsidRPr="000A4491">
                <w:rPr>
                  <w:rStyle w:val="Hyperlink"/>
                  <w:rFonts w:ascii="Verdana" w:hAnsi="Verdana"/>
                  <w:sz w:val="20"/>
                </w:rPr>
                <w:t>Not Eligible for E-rate Funding as Internet Access Services</w:t>
              </w:r>
              <w:r w:rsidRPr="000A4491">
                <w:rPr>
                  <w:rFonts w:ascii="Verdana" w:hAnsi="Verdana"/>
                  <w:sz w:val="20"/>
                </w:rPr>
                <w:fldChar w:fldCharType="begin"/>
              </w:r>
              <w:r w:rsidRPr="000A4491">
                <w:rPr>
                  <w:rFonts w:ascii="Verdana" w:hAnsi="Verdana"/>
                  <w:sz w:val="20"/>
                </w:rPr>
                <w:instrText>xe "</w:instrText>
              </w:r>
              <w:r w:rsidRPr="000A4491">
                <w:rPr>
                  <w:rStyle w:val="Hyperlink"/>
                  <w:rFonts w:ascii="Verdana" w:hAnsi="Verdana"/>
                  <w:sz w:val="20"/>
                </w:rPr>
                <w:instrText>Internet Access</w:instrText>
              </w:r>
              <w:r w:rsidRPr="000A4491">
                <w:rPr>
                  <w:rFonts w:ascii="Verdana" w:hAnsi="Verdana"/>
                  <w:sz w:val="20"/>
                </w:rPr>
                <w:instrText>"</w:instrText>
              </w:r>
              <w:r w:rsidRPr="000A4491">
                <w:rPr>
                  <w:rFonts w:ascii="Verdana" w:hAnsi="Verdana"/>
                  <w:sz w:val="20"/>
                </w:rPr>
                <w:fldChar w:fldCharType="end"/>
              </w:r>
            </w:hyperlink>
            <w:r w:rsidRPr="000A4491">
              <w:rPr>
                <w:rFonts w:ascii="Verdana" w:hAnsi="Verdana"/>
                <w:sz w:val="20"/>
              </w:rPr>
              <w:t>)</w:t>
            </w:r>
          </w:p>
          <w:p w14:paraId="31234A54" w14:textId="77777777" w:rsidR="00F935B1" w:rsidRPr="000A4491" w:rsidRDefault="00F935B1" w:rsidP="0083602C">
            <w:pPr>
              <w:rPr>
                <w:rFonts w:ascii="Verdana" w:hAnsi="Verdana"/>
                <w:sz w:val="20"/>
              </w:rPr>
            </w:pPr>
          </w:p>
        </w:tc>
        <w:tc>
          <w:tcPr>
            <w:tcW w:w="5441" w:type="dxa"/>
          </w:tcPr>
          <w:p w14:paraId="31E74ACA" w14:textId="77777777" w:rsidR="00F935B1" w:rsidRPr="000A4491" w:rsidRDefault="00F935B1" w:rsidP="0083602C">
            <w:pPr>
              <w:pStyle w:val="NormalWeb"/>
              <w:spacing w:before="0" w:beforeAutospacing="0" w:after="0"/>
              <w:rPr>
                <w:rFonts w:ascii="Verdana" w:hAnsi="Verdana"/>
                <w:sz w:val="20"/>
              </w:rPr>
            </w:pPr>
            <w:r w:rsidRPr="000A4491">
              <w:rPr>
                <w:rFonts w:ascii="Verdana" w:hAnsi="Verdana"/>
                <w:sz w:val="20"/>
              </w:rPr>
              <w:t>A filtering</w:t>
            </w:r>
            <w:r w:rsidRPr="000A4491">
              <w:rPr>
                <w:rFonts w:ascii="Verdana" w:hAnsi="Verdana"/>
                <w:sz w:val="20"/>
              </w:rPr>
              <w:fldChar w:fldCharType="begin"/>
            </w:r>
            <w:r w:rsidRPr="000A4491">
              <w:rPr>
                <w:rFonts w:ascii="Verdana" w:hAnsi="Verdana"/>
                <w:sz w:val="20"/>
              </w:rPr>
              <w:instrText>xe "Filtering Service"</w:instrText>
            </w:r>
            <w:r w:rsidRPr="000A4491">
              <w:rPr>
                <w:rFonts w:ascii="Verdana" w:hAnsi="Verdana"/>
                <w:sz w:val="20"/>
              </w:rPr>
              <w:fldChar w:fldCharType="end"/>
            </w:r>
            <w:r w:rsidRPr="000A4491">
              <w:rPr>
                <w:rFonts w:ascii="Verdana" w:hAnsi="Verdana"/>
                <w:sz w:val="20"/>
              </w:rPr>
              <w:t xml:space="preserve"> service protects users from dangerous or inappropriate content</w:t>
            </w:r>
            <w:r w:rsidRPr="000A4491">
              <w:rPr>
                <w:rFonts w:ascii="Verdana" w:hAnsi="Verdana"/>
                <w:sz w:val="20"/>
              </w:rPr>
              <w:fldChar w:fldCharType="begin"/>
            </w:r>
            <w:r w:rsidRPr="000A4491">
              <w:rPr>
                <w:rFonts w:ascii="Verdana" w:hAnsi="Verdana"/>
                <w:sz w:val="20"/>
              </w:rPr>
              <w:instrText>xe "Content"</w:instrText>
            </w:r>
            <w:r w:rsidRPr="000A4491">
              <w:rPr>
                <w:rFonts w:ascii="Verdana" w:hAnsi="Verdana"/>
                <w:sz w:val="20"/>
              </w:rPr>
              <w:fldChar w:fldCharType="end"/>
            </w:r>
            <w:r w:rsidRPr="000A4491">
              <w:rPr>
                <w:rFonts w:ascii="Verdana" w:hAnsi="Verdana"/>
                <w:sz w:val="20"/>
              </w:rPr>
              <w:t xml:space="preserve"> most often by selectively blocking certain words or certain Internet</w:t>
            </w:r>
            <w:r w:rsidRPr="000A4491">
              <w:rPr>
                <w:rFonts w:ascii="Verdana" w:hAnsi="Verdana"/>
                <w:sz w:val="20"/>
              </w:rPr>
              <w:fldChar w:fldCharType="begin"/>
            </w:r>
            <w:r w:rsidRPr="000A4491">
              <w:rPr>
                <w:rFonts w:ascii="Verdana" w:hAnsi="Verdana"/>
                <w:sz w:val="20"/>
              </w:rPr>
              <w:instrText>xe "Internet"</w:instrText>
            </w:r>
            <w:r w:rsidRPr="000A4491">
              <w:rPr>
                <w:rFonts w:ascii="Verdana" w:hAnsi="Verdana"/>
                <w:sz w:val="20"/>
              </w:rPr>
              <w:fldChar w:fldCharType="end"/>
            </w:r>
            <w:r w:rsidRPr="000A4491">
              <w:rPr>
                <w:rFonts w:ascii="Verdana" w:hAnsi="Verdana"/>
                <w:sz w:val="20"/>
              </w:rPr>
              <w:t xml:space="preserve"> sites.</w:t>
            </w:r>
          </w:p>
        </w:tc>
      </w:tr>
      <w:tr w:rsidR="00F935B1" w14:paraId="25BDC19C" w14:textId="77777777" w:rsidTr="0083602C">
        <w:trPr>
          <w:tblCellSpacing w:w="15" w:type="dxa"/>
        </w:trPr>
        <w:tc>
          <w:tcPr>
            <w:tcW w:w="3656" w:type="dxa"/>
          </w:tcPr>
          <w:p w14:paraId="0517DA85" w14:textId="77777777" w:rsidR="00F935B1" w:rsidRPr="000A4491" w:rsidRDefault="00F935B1" w:rsidP="0083602C">
            <w:pPr>
              <w:rPr>
                <w:rFonts w:ascii="Verdana" w:hAnsi="Verdana"/>
                <w:sz w:val="20"/>
              </w:rPr>
            </w:pPr>
            <w:r w:rsidRPr="000A4491">
              <w:rPr>
                <w:rFonts w:ascii="Verdana" w:hAnsi="Verdana"/>
                <w:sz w:val="20"/>
              </w:rPr>
              <w:t>Firewall</w:t>
            </w:r>
            <w:r w:rsidRPr="000A4491">
              <w:rPr>
                <w:rFonts w:ascii="Verdana" w:hAnsi="Verdana"/>
                <w:sz w:val="20"/>
              </w:rPr>
              <w:fldChar w:fldCharType="begin"/>
            </w:r>
            <w:r w:rsidRPr="000A4491">
              <w:rPr>
                <w:rFonts w:ascii="Verdana" w:hAnsi="Verdana"/>
                <w:sz w:val="20"/>
              </w:rPr>
              <w:instrText>xe "Firewall"</w:instrText>
            </w:r>
            <w:r w:rsidRPr="000A4491">
              <w:rPr>
                <w:rFonts w:ascii="Verdana" w:hAnsi="Verdana"/>
                <w:sz w:val="20"/>
              </w:rPr>
              <w:fldChar w:fldCharType="end"/>
            </w:r>
            <w:r w:rsidRPr="000A4491">
              <w:rPr>
                <w:rFonts w:ascii="Verdana" w:hAnsi="Verdana"/>
                <w:sz w:val="20"/>
              </w:rPr>
              <w:t xml:space="preserve"> </w:t>
            </w:r>
          </w:p>
          <w:p w14:paraId="7F26C91D" w14:textId="77777777" w:rsidR="00F935B1" w:rsidRPr="000A4491" w:rsidRDefault="00F935B1" w:rsidP="0083602C">
            <w:pPr>
              <w:rPr>
                <w:rFonts w:ascii="Verdana" w:hAnsi="Verdana"/>
                <w:sz w:val="20"/>
              </w:rPr>
            </w:pPr>
            <w:r w:rsidRPr="000A4491">
              <w:rPr>
                <w:rFonts w:ascii="Verdana" w:hAnsi="Verdana"/>
                <w:sz w:val="20"/>
              </w:rPr>
              <w:t>(</w:t>
            </w:r>
            <w:hyperlink w:anchor="InternetInternetAccess" w:history="1">
              <w:r w:rsidRPr="000A4491">
                <w:rPr>
                  <w:rStyle w:val="Hyperlink"/>
                  <w:rFonts w:ascii="Verdana" w:hAnsi="Verdana"/>
                  <w:sz w:val="20"/>
                </w:rPr>
                <w:t>Internet Access</w:t>
              </w:r>
              <w:r w:rsidRPr="000A4491">
                <w:rPr>
                  <w:rFonts w:ascii="Verdana" w:hAnsi="Verdana"/>
                  <w:sz w:val="20"/>
                </w:rPr>
                <w:fldChar w:fldCharType="begin"/>
              </w:r>
              <w:r w:rsidRPr="000A4491">
                <w:rPr>
                  <w:rFonts w:ascii="Verdana" w:hAnsi="Verdana"/>
                  <w:sz w:val="20"/>
                </w:rPr>
                <w:instrText>xe "Internet"</w:instrText>
              </w:r>
              <w:r w:rsidRPr="000A4491">
                <w:rPr>
                  <w:rFonts w:ascii="Verdana" w:hAnsi="Verdana"/>
                  <w:sz w:val="20"/>
                </w:rPr>
                <w:fldChar w:fldCharType="end"/>
              </w:r>
            </w:hyperlink>
            <w:r w:rsidRPr="000A4491">
              <w:rPr>
                <w:rFonts w:ascii="Verdana" w:hAnsi="Verdana"/>
                <w:sz w:val="20"/>
              </w:rPr>
              <w:t>)</w:t>
            </w:r>
            <w:r w:rsidRPr="000A4491">
              <w:rPr>
                <w:rFonts w:ascii="Verdana" w:hAnsi="Verdana"/>
                <w:sz w:val="20"/>
              </w:rPr>
              <w:br/>
              <w:t>(</w:t>
            </w:r>
            <w:hyperlink w:anchor="aaDataProtection" w:history="1">
              <w:r w:rsidRPr="000A4491">
                <w:rPr>
                  <w:rStyle w:val="Hyperlink"/>
                  <w:rFonts w:ascii="Verdana" w:hAnsi="Verdana"/>
                  <w:sz w:val="20"/>
                </w:rPr>
                <w:t>Data Protection</w:t>
              </w:r>
              <w:r w:rsidRPr="000A4491">
                <w:rPr>
                  <w:rFonts w:ascii="Verdana" w:hAnsi="Verdana"/>
                  <w:sz w:val="20"/>
                </w:rPr>
                <w:fldChar w:fldCharType="begin"/>
              </w:r>
              <w:r w:rsidRPr="000A4491">
                <w:rPr>
                  <w:rFonts w:ascii="Verdana" w:hAnsi="Verdana"/>
                  <w:sz w:val="20"/>
                </w:rPr>
                <w:instrText>xe "Data Protection"</w:instrText>
              </w:r>
              <w:r w:rsidRPr="000A4491">
                <w:rPr>
                  <w:rFonts w:ascii="Verdana" w:hAnsi="Verdana"/>
                  <w:sz w:val="20"/>
                </w:rPr>
                <w:fldChar w:fldCharType="end"/>
              </w:r>
            </w:hyperlink>
            <w:r w:rsidRPr="000A4491">
              <w:rPr>
                <w:rFonts w:ascii="Verdana" w:hAnsi="Verdana"/>
                <w:sz w:val="20"/>
              </w:rPr>
              <w:t>)</w:t>
            </w:r>
          </w:p>
          <w:p w14:paraId="0DFE46DA" w14:textId="77777777" w:rsidR="00F935B1" w:rsidRPr="000A4491" w:rsidRDefault="00F935B1" w:rsidP="0083602C">
            <w:pPr>
              <w:rPr>
                <w:rFonts w:ascii="Verdana" w:hAnsi="Verdana"/>
                <w:sz w:val="20"/>
              </w:rPr>
            </w:pPr>
            <w:r w:rsidRPr="000A4491">
              <w:rPr>
                <w:rFonts w:ascii="Verdana" w:hAnsi="Verdana"/>
                <w:sz w:val="20"/>
              </w:rPr>
              <w:t>(</w:t>
            </w:r>
            <w:hyperlink w:anchor="aaServers" w:history="1">
              <w:r w:rsidRPr="000A4491">
                <w:rPr>
                  <w:rStyle w:val="Hyperlink"/>
                  <w:rFonts w:ascii="Verdana" w:hAnsi="Verdana"/>
                  <w:sz w:val="20"/>
                </w:rPr>
                <w:t>Servers</w:t>
              </w:r>
              <w:r w:rsidRPr="000A4491">
                <w:rPr>
                  <w:rFonts w:ascii="Verdana" w:hAnsi="Verdana"/>
                  <w:sz w:val="20"/>
                </w:rPr>
                <w:fldChar w:fldCharType="begin"/>
              </w:r>
              <w:r w:rsidRPr="000A4491">
                <w:rPr>
                  <w:rFonts w:ascii="Verdana" w:hAnsi="Verdana"/>
                  <w:sz w:val="20"/>
                </w:rPr>
                <w:instrText>xe "Servers"</w:instrText>
              </w:r>
              <w:r w:rsidRPr="000A4491">
                <w:rPr>
                  <w:rFonts w:ascii="Verdana" w:hAnsi="Verdana"/>
                  <w:sz w:val="20"/>
                </w:rPr>
                <w:fldChar w:fldCharType="end"/>
              </w:r>
            </w:hyperlink>
            <w:r w:rsidRPr="000A4491">
              <w:rPr>
                <w:rFonts w:ascii="Verdana" w:hAnsi="Verdana"/>
                <w:sz w:val="20"/>
              </w:rPr>
              <w:t>)</w:t>
            </w:r>
          </w:p>
        </w:tc>
        <w:tc>
          <w:tcPr>
            <w:tcW w:w="5441" w:type="dxa"/>
          </w:tcPr>
          <w:p w14:paraId="6EF0C4E0" w14:textId="77777777" w:rsidR="00F935B1" w:rsidRPr="000A4491" w:rsidRDefault="00F935B1" w:rsidP="0083602C">
            <w:pPr>
              <w:pStyle w:val="NormalWeb"/>
              <w:spacing w:before="0" w:beforeAutospacing="0" w:after="0"/>
              <w:rPr>
                <w:rFonts w:ascii="Verdana" w:hAnsi="Verdana"/>
                <w:sz w:val="20"/>
              </w:rPr>
            </w:pPr>
            <w:r w:rsidRPr="000A4491">
              <w:rPr>
                <w:rFonts w:ascii="Verdana" w:hAnsi="Verdana"/>
                <w:sz w:val="20"/>
              </w:rPr>
              <w:t>A firewall</w:t>
            </w:r>
            <w:r w:rsidRPr="000A4491">
              <w:rPr>
                <w:rFonts w:ascii="Verdana" w:hAnsi="Verdana"/>
                <w:sz w:val="20"/>
              </w:rPr>
              <w:fldChar w:fldCharType="begin"/>
            </w:r>
            <w:r w:rsidRPr="000A4491">
              <w:rPr>
                <w:rFonts w:ascii="Verdana" w:hAnsi="Verdana"/>
                <w:sz w:val="20"/>
              </w:rPr>
              <w:instrText>xe "Firewall"</w:instrText>
            </w:r>
            <w:r w:rsidRPr="000A4491">
              <w:rPr>
                <w:rFonts w:ascii="Verdana" w:hAnsi="Verdana"/>
                <w:sz w:val="20"/>
              </w:rPr>
              <w:fldChar w:fldCharType="end"/>
            </w:r>
            <w:r w:rsidRPr="000A4491">
              <w:rPr>
                <w:rFonts w:ascii="Verdana" w:hAnsi="Verdana"/>
                <w:sz w:val="20"/>
              </w:rPr>
              <w:t xml:space="preserve"> is a hardware and software</w:t>
            </w:r>
            <w:r w:rsidRPr="000A4491">
              <w:rPr>
                <w:rFonts w:ascii="Verdana" w:hAnsi="Verdana"/>
                <w:sz w:val="20"/>
              </w:rPr>
              <w:fldChar w:fldCharType="begin"/>
            </w:r>
            <w:r w:rsidRPr="000A4491">
              <w:rPr>
                <w:rFonts w:ascii="Verdana" w:hAnsi="Verdana"/>
                <w:sz w:val="20"/>
              </w:rPr>
              <w:instrText>xe "Software"</w:instrText>
            </w:r>
            <w:r w:rsidRPr="000A4491">
              <w:rPr>
                <w:rFonts w:ascii="Verdana" w:hAnsi="Verdana"/>
                <w:sz w:val="20"/>
              </w:rPr>
              <w:fldChar w:fldCharType="end"/>
            </w:r>
            <w:r w:rsidRPr="000A4491">
              <w:rPr>
                <w:rFonts w:ascii="Verdana" w:hAnsi="Verdana"/>
                <w:sz w:val="20"/>
              </w:rPr>
              <w:t xml:space="preserve"> combination that sits at the boundary between an organization’s network and the outside world, and protects the network against unauthorized access or intrusions.</w:t>
            </w:r>
          </w:p>
        </w:tc>
      </w:tr>
      <w:tr w:rsidR="00F935B1" w14:paraId="47F491F8" w14:textId="77777777" w:rsidTr="0083602C">
        <w:trPr>
          <w:tblCellSpacing w:w="15" w:type="dxa"/>
        </w:trPr>
        <w:tc>
          <w:tcPr>
            <w:tcW w:w="3656" w:type="dxa"/>
          </w:tcPr>
          <w:p w14:paraId="7BB9374A" w14:textId="77777777" w:rsidR="00F935B1" w:rsidRPr="000A4491" w:rsidRDefault="00F935B1" w:rsidP="0083602C">
            <w:pPr>
              <w:rPr>
                <w:rFonts w:ascii="Verdana" w:hAnsi="Verdana"/>
                <w:sz w:val="20"/>
              </w:rPr>
            </w:pPr>
            <w:r w:rsidRPr="000A4491">
              <w:rPr>
                <w:rFonts w:ascii="Verdana" w:hAnsi="Verdana"/>
                <w:sz w:val="20"/>
              </w:rPr>
              <w:t>Flat Rate</w:t>
            </w:r>
            <w:r w:rsidRPr="000A4491">
              <w:rPr>
                <w:rFonts w:ascii="Verdana" w:hAnsi="Verdana"/>
                <w:sz w:val="20"/>
              </w:rPr>
              <w:fldChar w:fldCharType="begin"/>
            </w:r>
            <w:r w:rsidRPr="000A4491">
              <w:rPr>
                <w:rFonts w:ascii="Verdana" w:hAnsi="Verdana"/>
                <w:sz w:val="20"/>
              </w:rPr>
              <w:instrText>xe "Flat Rate"</w:instrText>
            </w:r>
            <w:r w:rsidRPr="000A4491">
              <w:rPr>
                <w:rFonts w:ascii="Verdana" w:hAnsi="Verdana"/>
                <w:sz w:val="20"/>
              </w:rPr>
              <w:fldChar w:fldCharType="end"/>
            </w:r>
          </w:p>
          <w:p w14:paraId="0B8B05E0" w14:textId="77777777" w:rsidR="00F935B1" w:rsidRPr="000A4491" w:rsidRDefault="00F935B1" w:rsidP="0083602C">
            <w:pPr>
              <w:rPr>
                <w:rFonts w:ascii="Verdana" w:hAnsi="Verdana"/>
                <w:sz w:val="20"/>
              </w:rPr>
            </w:pPr>
            <w:r w:rsidRPr="000A4491">
              <w:rPr>
                <w:rFonts w:ascii="Verdana" w:hAnsi="Verdana"/>
                <w:sz w:val="20"/>
              </w:rPr>
              <w:t>(</w:t>
            </w:r>
            <w:hyperlink w:anchor="aattTelephoneService" w:history="1">
              <w:r w:rsidRPr="000A4491">
                <w:rPr>
                  <w:rStyle w:val="Hyperlink"/>
                  <w:rFonts w:ascii="Verdana" w:hAnsi="Verdana"/>
                  <w:sz w:val="20"/>
                </w:rPr>
                <w:t>Telephone Service</w:t>
              </w:r>
              <w:r w:rsidRPr="000A4491">
                <w:rPr>
                  <w:rFonts w:ascii="Verdana" w:hAnsi="Verdana"/>
                  <w:sz w:val="20"/>
                </w:rPr>
                <w:fldChar w:fldCharType="begin"/>
              </w:r>
              <w:r w:rsidRPr="000A4491">
                <w:rPr>
                  <w:rFonts w:ascii="Verdana" w:hAnsi="Verdana"/>
                  <w:sz w:val="20"/>
                </w:rPr>
                <w:instrText>xe "Telephone Service"</w:instrText>
              </w:r>
              <w:r w:rsidRPr="000A4491">
                <w:rPr>
                  <w:rFonts w:ascii="Verdana" w:hAnsi="Verdana"/>
                  <w:sz w:val="20"/>
                </w:rPr>
                <w:fldChar w:fldCharType="end"/>
              </w:r>
            </w:hyperlink>
            <w:r w:rsidRPr="000A4491">
              <w:rPr>
                <w:rFonts w:ascii="Verdana" w:hAnsi="Verdana"/>
                <w:sz w:val="20"/>
              </w:rPr>
              <w:t>)</w:t>
            </w:r>
          </w:p>
        </w:tc>
        <w:tc>
          <w:tcPr>
            <w:tcW w:w="5441" w:type="dxa"/>
          </w:tcPr>
          <w:p w14:paraId="6F6D1CBE" w14:textId="77777777" w:rsidR="00F935B1" w:rsidRPr="000A4491" w:rsidRDefault="00F935B1" w:rsidP="0083602C">
            <w:pPr>
              <w:rPr>
                <w:rFonts w:ascii="Verdana" w:hAnsi="Verdana"/>
                <w:sz w:val="20"/>
              </w:rPr>
            </w:pPr>
            <w:r w:rsidRPr="000A4491">
              <w:rPr>
                <w:rFonts w:ascii="Verdana" w:hAnsi="Verdana"/>
                <w:sz w:val="20"/>
              </w:rPr>
              <w:t>Local telephone companies use several methods to bill customers for local phone</w:t>
            </w:r>
            <w:r w:rsidRPr="000A4491">
              <w:rPr>
                <w:rFonts w:ascii="Verdana" w:hAnsi="Verdana"/>
                <w:sz w:val="20"/>
              </w:rPr>
              <w:fldChar w:fldCharType="begin"/>
            </w:r>
            <w:r w:rsidRPr="000A4491">
              <w:rPr>
                <w:rFonts w:ascii="Verdana" w:hAnsi="Verdana"/>
                <w:sz w:val="20"/>
              </w:rPr>
              <w:instrText>xe "Local Phone Service"</w:instrText>
            </w:r>
            <w:r w:rsidRPr="000A4491">
              <w:rPr>
                <w:rFonts w:ascii="Verdana" w:hAnsi="Verdana"/>
                <w:sz w:val="20"/>
              </w:rPr>
              <w:fldChar w:fldCharType="end"/>
            </w:r>
            <w:r w:rsidRPr="000A4491">
              <w:rPr>
                <w:rFonts w:ascii="Verdana" w:hAnsi="Verdana"/>
                <w:sz w:val="20"/>
              </w:rPr>
              <w:t xml:space="preserve"> service, such as Flat Rate</w:t>
            </w:r>
            <w:r w:rsidRPr="000A4491">
              <w:rPr>
                <w:rFonts w:ascii="Verdana" w:hAnsi="Verdana"/>
                <w:sz w:val="20"/>
              </w:rPr>
              <w:fldChar w:fldCharType="begin"/>
            </w:r>
            <w:r w:rsidRPr="000A4491">
              <w:rPr>
                <w:rFonts w:ascii="Verdana" w:hAnsi="Verdana"/>
                <w:sz w:val="20"/>
              </w:rPr>
              <w:instrText>xe "Flat Rate"</w:instrText>
            </w:r>
            <w:r w:rsidRPr="000A4491">
              <w:rPr>
                <w:rFonts w:ascii="Verdana" w:hAnsi="Verdana"/>
                <w:sz w:val="20"/>
              </w:rPr>
              <w:fldChar w:fldCharType="end"/>
            </w:r>
            <w:r w:rsidRPr="000A4491">
              <w:rPr>
                <w:rFonts w:ascii="Verdana" w:hAnsi="Verdana"/>
                <w:sz w:val="20"/>
              </w:rPr>
              <w:t>, Message Rate, and Local Measured Service. Flat Rate</w:t>
            </w:r>
            <w:r w:rsidRPr="000A4491">
              <w:rPr>
                <w:rFonts w:ascii="Verdana" w:hAnsi="Verdana"/>
                <w:sz w:val="20"/>
              </w:rPr>
              <w:fldChar w:fldCharType="begin"/>
            </w:r>
            <w:r w:rsidRPr="000A4491">
              <w:rPr>
                <w:rFonts w:ascii="Verdana" w:hAnsi="Verdana"/>
                <w:sz w:val="20"/>
              </w:rPr>
              <w:instrText>xe "Flat Rate"</w:instrText>
            </w:r>
            <w:r w:rsidRPr="000A4491">
              <w:rPr>
                <w:rFonts w:ascii="Verdana" w:hAnsi="Verdana"/>
                <w:sz w:val="20"/>
              </w:rPr>
              <w:fldChar w:fldCharType="end"/>
            </w:r>
            <w:r w:rsidRPr="000A4491">
              <w:rPr>
                <w:rFonts w:ascii="Verdana" w:hAnsi="Verdana"/>
                <w:sz w:val="20"/>
              </w:rPr>
              <w:t xml:space="preserve"> is a billing method for telephone service</w:t>
            </w:r>
            <w:r w:rsidRPr="000A4491">
              <w:rPr>
                <w:rFonts w:ascii="Verdana" w:hAnsi="Verdana"/>
                <w:sz w:val="20"/>
              </w:rPr>
              <w:fldChar w:fldCharType="begin"/>
            </w:r>
            <w:r w:rsidRPr="000A4491">
              <w:rPr>
                <w:rFonts w:ascii="Verdana" w:hAnsi="Verdana"/>
                <w:sz w:val="20"/>
              </w:rPr>
              <w:instrText>xe "Telephone</w:instrText>
            </w:r>
            <w:r w:rsidRPr="000A4491">
              <w:rPr>
                <w:rFonts w:ascii="Verdana" w:hAnsi="Verdana"/>
                <w:bCs/>
                <w:sz w:val="20"/>
              </w:rPr>
              <w:instrText xml:space="preserve"> Service</w:instrText>
            </w:r>
            <w:r w:rsidRPr="000A4491">
              <w:rPr>
                <w:rFonts w:ascii="Verdana" w:hAnsi="Verdana"/>
                <w:sz w:val="20"/>
              </w:rPr>
              <w:instrText>"</w:instrText>
            </w:r>
            <w:r w:rsidRPr="000A4491">
              <w:rPr>
                <w:rFonts w:ascii="Verdana" w:hAnsi="Verdana"/>
                <w:sz w:val="20"/>
              </w:rPr>
              <w:fldChar w:fldCharType="end"/>
            </w:r>
            <w:r w:rsidRPr="000A4491">
              <w:rPr>
                <w:rFonts w:ascii="Verdana" w:hAnsi="Verdana"/>
                <w:sz w:val="20"/>
              </w:rPr>
              <w:t xml:space="preserve"> that, for a set price per month, provides a user an unlimited number of local calls.</w:t>
            </w:r>
          </w:p>
        </w:tc>
      </w:tr>
      <w:tr w:rsidR="00F935B1" w14:paraId="763B419E" w14:textId="77777777" w:rsidTr="0083602C">
        <w:trPr>
          <w:tblCellSpacing w:w="15" w:type="dxa"/>
        </w:trPr>
        <w:tc>
          <w:tcPr>
            <w:tcW w:w="3656" w:type="dxa"/>
          </w:tcPr>
          <w:p w14:paraId="0C90B4FB" w14:textId="77777777" w:rsidR="00F935B1" w:rsidRPr="000A4491" w:rsidRDefault="00F935B1" w:rsidP="0083602C">
            <w:pPr>
              <w:rPr>
                <w:rFonts w:ascii="Verdana" w:hAnsi="Verdana"/>
                <w:sz w:val="20"/>
              </w:rPr>
            </w:pPr>
            <w:r w:rsidRPr="000A4491">
              <w:rPr>
                <w:rFonts w:ascii="Verdana" w:hAnsi="Verdana"/>
                <w:sz w:val="20"/>
              </w:rPr>
              <w:t>FRAD</w:t>
            </w:r>
            <w:r w:rsidRPr="000A4491">
              <w:rPr>
                <w:rFonts w:ascii="Verdana" w:hAnsi="Verdana"/>
                <w:sz w:val="20"/>
              </w:rPr>
              <w:fldChar w:fldCharType="begin"/>
            </w:r>
            <w:r w:rsidRPr="000A4491">
              <w:rPr>
                <w:rFonts w:ascii="Verdana" w:hAnsi="Verdana"/>
                <w:sz w:val="20"/>
              </w:rPr>
              <w:instrText>xe "</w:instrText>
            </w:r>
            <w:r w:rsidRPr="000A4491">
              <w:rPr>
                <w:rStyle w:val="Hyperlink"/>
                <w:rFonts w:ascii="Verdana" w:hAnsi="Verdana"/>
                <w:bCs/>
                <w:sz w:val="20"/>
              </w:rPr>
              <w:instrText>FRAD</w:instrText>
            </w:r>
            <w:r w:rsidRPr="000A4491">
              <w:rPr>
                <w:rFonts w:ascii="Verdana" w:hAnsi="Verdana"/>
                <w:sz w:val="20"/>
              </w:rPr>
              <w:instrText>"</w:instrText>
            </w:r>
            <w:r w:rsidRPr="000A4491">
              <w:rPr>
                <w:rFonts w:ascii="Verdana" w:hAnsi="Verdana"/>
                <w:sz w:val="20"/>
              </w:rPr>
              <w:fldChar w:fldCharType="end"/>
            </w:r>
            <w:r w:rsidRPr="000A4491">
              <w:rPr>
                <w:rFonts w:ascii="Verdana" w:hAnsi="Verdana"/>
                <w:sz w:val="20"/>
              </w:rPr>
              <w:t xml:space="preserve"> </w:t>
            </w:r>
            <w:r w:rsidRPr="000A4491">
              <w:rPr>
                <w:rFonts w:ascii="Verdana" w:hAnsi="Verdana"/>
                <w:sz w:val="20"/>
              </w:rPr>
              <w:br/>
              <w:t>(</w:t>
            </w:r>
            <w:hyperlink w:anchor="aaInterfacesGatewaysAntennas" w:history="1">
              <w:r w:rsidRPr="000A4491">
                <w:rPr>
                  <w:rStyle w:val="Hyperlink"/>
                  <w:rFonts w:ascii="Verdana" w:hAnsi="Verdana"/>
                  <w:sz w:val="20"/>
                </w:rPr>
                <w:t>Interfaces</w:t>
              </w:r>
              <w:r w:rsidRPr="000A4491">
                <w:rPr>
                  <w:rFonts w:ascii="Verdana" w:hAnsi="Verdana"/>
                  <w:sz w:val="20"/>
                </w:rPr>
                <w:fldChar w:fldCharType="begin"/>
              </w:r>
              <w:r w:rsidRPr="000A4491">
                <w:rPr>
                  <w:rFonts w:ascii="Verdana" w:hAnsi="Verdana"/>
                  <w:sz w:val="20"/>
                </w:rPr>
                <w:instrText>xe "</w:instrText>
              </w:r>
              <w:r w:rsidRPr="000A4491">
                <w:rPr>
                  <w:rFonts w:ascii="Verdana" w:hAnsi="Verdana"/>
                  <w:bCs/>
                  <w:sz w:val="20"/>
                </w:rPr>
                <w:instrText>Interfaces</w:instrText>
              </w:r>
              <w:r w:rsidRPr="000A4491">
                <w:rPr>
                  <w:rFonts w:ascii="Verdana" w:hAnsi="Verdana"/>
                  <w:sz w:val="20"/>
                </w:rPr>
                <w:instrText>"</w:instrText>
              </w:r>
              <w:r w:rsidRPr="000A4491">
                <w:rPr>
                  <w:rFonts w:ascii="Verdana" w:hAnsi="Verdana"/>
                  <w:sz w:val="20"/>
                </w:rPr>
                <w:fldChar w:fldCharType="end"/>
              </w:r>
            </w:hyperlink>
            <w:r w:rsidRPr="000A4491">
              <w:rPr>
                <w:rFonts w:ascii="Verdana" w:hAnsi="Verdana"/>
                <w:sz w:val="20"/>
              </w:rPr>
              <w:t>)</w:t>
            </w:r>
          </w:p>
        </w:tc>
        <w:tc>
          <w:tcPr>
            <w:tcW w:w="5441" w:type="dxa"/>
          </w:tcPr>
          <w:p w14:paraId="267BCB84" w14:textId="77777777" w:rsidR="00F935B1" w:rsidRPr="000A4491" w:rsidRDefault="00F935B1" w:rsidP="0083602C">
            <w:pPr>
              <w:pStyle w:val="NormalWeb"/>
              <w:spacing w:before="0" w:beforeAutospacing="0" w:after="0"/>
              <w:rPr>
                <w:rFonts w:ascii="Verdana" w:hAnsi="Verdana"/>
                <w:sz w:val="20"/>
              </w:rPr>
            </w:pPr>
            <w:r w:rsidRPr="000A4491">
              <w:rPr>
                <w:rFonts w:ascii="Verdana" w:hAnsi="Verdana"/>
                <w:sz w:val="20"/>
              </w:rPr>
              <w:t>A Frame Relay</w:t>
            </w:r>
            <w:r w:rsidRPr="000A4491">
              <w:rPr>
                <w:rFonts w:ascii="Verdana" w:hAnsi="Verdana"/>
                <w:sz w:val="20"/>
              </w:rPr>
              <w:fldChar w:fldCharType="begin"/>
            </w:r>
            <w:r w:rsidRPr="000A4491">
              <w:rPr>
                <w:rFonts w:ascii="Verdana" w:hAnsi="Verdana"/>
                <w:sz w:val="20"/>
              </w:rPr>
              <w:instrText>xe "</w:instrText>
            </w:r>
            <w:r w:rsidRPr="000A4491">
              <w:rPr>
                <w:rStyle w:val="Hyperlink"/>
                <w:rFonts w:ascii="Verdana" w:hAnsi="Verdana"/>
                <w:sz w:val="20"/>
              </w:rPr>
              <w:instrText>Frame Relay</w:instrText>
            </w:r>
            <w:r w:rsidRPr="000A4491">
              <w:rPr>
                <w:rFonts w:ascii="Verdana" w:hAnsi="Verdana"/>
                <w:sz w:val="20"/>
              </w:rPr>
              <w:instrText>"</w:instrText>
            </w:r>
            <w:r w:rsidRPr="000A4491">
              <w:rPr>
                <w:rFonts w:ascii="Verdana" w:hAnsi="Verdana"/>
                <w:sz w:val="20"/>
              </w:rPr>
              <w:fldChar w:fldCharType="end"/>
            </w:r>
            <w:r w:rsidRPr="000A4491">
              <w:rPr>
                <w:rFonts w:ascii="Verdana" w:hAnsi="Verdana"/>
                <w:sz w:val="20"/>
              </w:rPr>
              <w:t xml:space="preserve"> Assembler/Disassembler (FRAD</w:t>
            </w:r>
            <w:r w:rsidRPr="000A4491">
              <w:rPr>
                <w:rFonts w:ascii="Verdana" w:hAnsi="Verdana"/>
                <w:sz w:val="20"/>
              </w:rPr>
              <w:fldChar w:fldCharType="begin"/>
            </w:r>
            <w:r w:rsidRPr="000A4491">
              <w:rPr>
                <w:rFonts w:ascii="Verdana" w:hAnsi="Verdana"/>
                <w:sz w:val="20"/>
              </w:rPr>
              <w:instrText>xe "</w:instrText>
            </w:r>
            <w:r w:rsidRPr="000A4491">
              <w:rPr>
                <w:rStyle w:val="Hyperlink"/>
                <w:rFonts w:ascii="Verdana" w:hAnsi="Verdana"/>
                <w:bCs/>
                <w:sz w:val="20"/>
              </w:rPr>
              <w:instrText>FRAD</w:instrText>
            </w:r>
            <w:r w:rsidRPr="000A4491">
              <w:rPr>
                <w:rFonts w:ascii="Verdana" w:hAnsi="Verdana"/>
                <w:sz w:val="20"/>
              </w:rPr>
              <w:instrText>"</w:instrText>
            </w:r>
            <w:r w:rsidRPr="000A4491">
              <w:rPr>
                <w:rFonts w:ascii="Verdana" w:hAnsi="Verdana"/>
                <w:sz w:val="20"/>
              </w:rPr>
              <w:fldChar w:fldCharType="end"/>
            </w:r>
            <w:r w:rsidRPr="000A4491">
              <w:rPr>
                <w:rFonts w:ascii="Verdana" w:hAnsi="Verdana"/>
                <w:sz w:val="20"/>
              </w:rPr>
              <w:t>) is a communications device that breaks a data stream into frames for transmission over a Frame Relay network and recreates a data stream from incoming frames.  A Frame Relay router</w:t>
            </w:r>
            <w:r w:rsidRPr="000A4491">
              <w:rPr>
                <w:rFonts w:ascii="Verdana" w:hAnsi="Verdana"/>
                <w:sz w:val="20"/>
              </w:rPr>
              <w:fldChar w:fldCharType="begin"/>
            </w:r>
            <w:r w:rsidRPr="000A4491">
              <w:rPr>
                <w:rFonts w:ascii="Verdana" w:hAnsi="Verdana"/>
                <w:sz w:val="20"/>
              </w:rPr>
              <w:instrText>xe "Routers"</w:instrText>
            </w:r>
            <w:r w:rsidRPr="000A4491">
              <w:rPr>
                <w:rFonts w:ascii="Verdana" w:hAnsi="Verdana"/>
                <w:sz w:val="20"/>
              </w:rPr>
              <w:fldChar w:fldCharType="end"/>
            </w:r>
            <w:r w:rsidRPr="000A4491">
              <w:rPr>
                <w:rFonts w:ascii="Verdana" w:hAnsi="Verdana"/>
                <w:sz w:val="20"/>
              </w:rPr>
              <w:t xml:space="preserve"> serves the same purpose but provides more intelligence in avoiding congestion.</w:t>
            </w:r>
          </w:p>
        </w:tc>
      </w:tr>
      <w:tr w:rsidR="00F935B1" w14:paraId="4C4207ED" w14:textId="77777777" w:rsidTr="0083602C">
        <w:trPr>
          <w:tblCellSpacing w:w="15" w:type="dxa"/>
        </w:trPr>
        <w:tc>
          <w:tcPr>
            <w:tcW w:w="3656" w:type="dxa"/>
          </w:tcPr>
          <w:p w14:paraId="5A515337" w14:textId="77777777" w:rsidR="00F935B1" w:rsidRPr="000A4491" w:rsidRDefault="00F935B1" w:rsidP="0083602C">
            <w:pPr>
              <w:rPr>
                <w:rFonts w:ascii="Verdana" w:hAnsi="Verdana"/>
                <w:sz w:val="20"/>
              </w:rPr>
            </w:pPr>
            <w:r w:rsidRPr="000A4491">
              <w:rPr>
                <w:rFonts w:ascii="Verdana" w:hAnsi="Verdana"/>
                <w:sz w:val="20"/>
              </w:rPr>
              <w:t>Frame Relay</w:t>
            </w:r>
            <w:r w:rsidRPr="000A4491">
              <w:rPr>
                <w:rFonts w:ascii="Verdana" w:hAnsi="Verdana"/>
                <w:sz w:val="20"/>
              </w:rPr>
              <w:fldChar w:fldCharType="begin"/>
            </w:r>
            <w:r w:rsidRPr="000A4491">
              <w:rPr>
                <w:rFonts w:ascii="Verdana" w:hAnsi="Verdana"/>
                <w:sz w:val="20"/>
              </w:rPr>
              <w:instrText>xe "</w:instrText>
            </w:r>
            <w:r w:rsidRPr="000A4491">
              <w:rPr>
                <w:rStyle w:val="Hyperlink"/>
                <w:rFonts w:ascii="Verdana" w:hAnsi="Verdana"/>
                <w:sz w:val="20"/>
              </w:rPr>
              <w:instrText>Frame Relay</w:instrText>
            </w:r>
            <w:r w:rsidRPr="000A4491">
              <w:rPr>
                <w:rFonts w:ascii="Verdana" w:hAnsi="Verdana"/>
                <w:sz w:val="20"/>
              </w:rPr>
              <w:instrText>"</w:instrText>
            </w:r>
            <w:r w:rsidRPr="000A4491">
              <w:rPr>
                <w:rFonts w:ascii="Verdana" w:hAnsi="Verdana"/>
                <w:sz w:val="20"/>
              </w:rPr>
              <w:fldChar w:fldCharType="end"/>
            </w:r>
          </w:p>
          <w:p w14:paraId="7CF258BE" w14:textId="77777777" w:rsidR="00F935B1" w:rsidRPr="000A4491" w:rsidRDefault="00F935B1" w:rsidP="0083602C">
            <w:pPr>
              <w:rPr>
                <w:rFonts w:ascii="Verdana" w:hAnsi="Verdana"/>
                <w:sz w:val="20"/>
              </w:rPr>
            </w:pPr>
            <w:r w:rsidRPr="000A4491">
              <w:rPr>
                <w:rFonts w:ascii="Verdana" w:hAnsi="Verdana"/>
                <w:sz w:val="20"/>
              </w:rPr>
              <w:t>(</w:t>
            </w:r>
            <w:hyperlink w:anchor="aattDigitalTransmissionServices" w:history="1">
              <w:r w:rsidRPr="000A4491">
                <w:rPr>
                  <w:rStyle w:val="Hyperlink"/>
                  <w:rFonts w:ascii="Verdana" w:hAnsi="Verdana"/>
                  <w:sz w:val="20"/>
                </w:rPr>
                <w:t xml:space="preserve">Digital Transmission </w:t>
              </w:r>
              <w:r w:rsidRPr="000A4491">
                <w:rPr>
                  <w:rStyle w:val="Hyperlink"/>
                  <w:rFonts w:ascii="Verdana" w:hAnsi="Verdana"/>
                  <w:sz w:val="20"/>
                </w:rPr>
                <w:lastRenderedPageBreak/>
                <w:t>Services</w:t>
              </w:r>
            </w:hyperlink>
            <w:r w:rsidRPr="000A4491">
              <w:rPr>
                <w:rFonts w:ascii="Verdana" w:hAnsi="Verdana"/>
                <w:sz w:val="20"/>
              </w:rPr>
              <w:t>)</w:t>
            </w:r>
          </w:p>
        </w:tc>
        <w:tc>
          <w:tcPr>
            <w:tcW w:w="5441" w:type="dxa"/>
          </w:tcPr>
          <w:p w14:paraId="78436336" w14:textId="77777777" w:rsidR="00F935B1" w:rsidRPr="000A4491" w:rsidRDefault="00F935B1" w:rsidP="0083602C">
            <w:pPr>
              <w:pStyle w:val="NormalWeb"/>
              <w:spacing w:before="0" w:beforeAutospacing="0" w:after="0"/>
              <w:rPr>
                <w:rFonts w:ascii="Verdana" w:hAnsi="Verdana"/>
                <w:sz w:val="20"/>
              </w:rPr>
            </w:pPr>
            <w:r w:rsidRPr="000A4491">
              <w:rPr>
                <w:rFonts w:ascii="Verdana" w:hAnsi="Verdana"/>
                <w:sz w:val="20"/>
              </w:rPr>
              <w:lastRenderedPageBreak/>
              <w:t xml:space="preserve">Frame relay is a type of Digital Transmission Service.  </w:t>
            </w:r>
            <w:r w:rsidRPr="000A4491">
              <w:rPr>
                <w:rFonts w:ascii="Verdana" w:hAnsi="Verdana" w:cs="Arial"/>
                <w:sz w:val="20"/>
              </w:rPr>
              <w:t xml:space="preserve">Frame relay networks in the United </w:t>
            </w:r>
            <w:r w:rsidRPr="000A4491">
              <w:rPr>
                <w:rFonts w:ascii="Verdana" w:hAnsi="Verdana" w:cs="Arial"/>
                <w:sz w:val="20"/>
              </w:rPr>
              <w:lastRenderedPageBreak/>
              <w:t>States support data transfer rates at T-1</w:t>
            </w:r>
            <w:r w:rsidRPr="000A4491">
              <w:rPr>
                <w:rFonts w:ascii="Verdana" w:hAnsi="Verdana"/>
                <w:sz w:val="20"/>
              </w:rPr>
              <w:fldChar w:fldCharType="begin"/>
            </w:r>
            <w:r w:rsidRPr="000A4491">
              <w:rPr>
                <w:rFonts w:ascii="Verdana" w:hAnsi="Verdana"/>
                <w:sz w:val="20"/>
              </w:rPr>
              <w:instrText>xe "</w:instrText>
            </w:r>
            <w:r w:rsidRPr="000A4491">
              <w:rPr>
                <w:rStyle w:val="Hyperlink"/>
                <w:rFonts w:ascii="Verdana" w:hAnsi="Verdana"/>
                <w:sz w:val="20"/>
              </w:rPr>
              <w:instrText>T-1</w:instrText>
            </w:r>
            <w:r w:rsidRPr="000A4491">
              <w:rPr>
                <w:rFonts w:ascii="Verdana" w:hAnsi="Verdana"/>
                <w:sz w:val="20"/>
              </w:rPr>
              <w:instrText>"</w:instrText>
            </w:r>
            <w:r w:rsidRPr="000A4491">
              <w:rPr>
                <w:rFonts w:ascii="Verdana" w:hAnsi="Verdana"/>
                <w:sz w:val="20"/>
              </w:rPr>
              <w:fldChar w:fldCharType="end"/>
            </w:r>
            <w:r w:rsidRPr="000A4491">
              <w:rPr>
                <w:rFonts w:ascii="Verdana" w:hAnsi="Verdana" w:cs="Arial"/>
                <w:sz w:val="20"/>
              </w:rPr>
              <w:t xml:space="preserve"> (1.544 Mbps) and T-3</w:t>
            </w:r>
            <w:r w:rsidRPr="000A4491">
              <w:rPr>
                <w:rFonts w:ascii="Verdana" w:hAnsi="Verdana"/>
                <w:sz w:val="20"/>
              </w:rPr>
              <w:fldChar w:fldCharType="begin"/>
            </w:r>
            <w:r w:rsidRPr="000A4491">
              <w:rPr>
                <w:rFonts w:ascii="Verdana" w:hAnsi="Verdana"/>
                <w:sz w:val="20"/>
              </w:rPr>
              <w:instrText>xe "T-3"</w:instrText>
            </w:r>
            <w:r w:rsidRPr="000A4491">
              <w:rPr>
                <w:rFonts w:ascii="Verdana" w:hAnsi="Verdana"/>
                <w:sz w:val="20"/>
              </w:rPr>
              <w:fldChar w:fldCharType="end"/>
            </w:r>
            <w:r w:rsidRPr="000A4491">
              <w:rPr>
                <w:rFonts w:ascii="Verdana" w:hAnsi="Verdana" w:cs="Arial"/>
                <w:sz w:val="20"/>
              </w:rPr>
              <w:t xml:space="preserve"> (45 Mbps) speeds.</w:t>
            </w:r>
          </w:p>
        </w:tc>
      </w:tr>
      <w:tr w:rsidR="00F935B1" w14:paraId="0AF7D067" w14:textId="77777777" w:rsidTr="0083602C">
        <w:trPr>
          <w:tblCellSpacing w:w="15" w:type="dxa"/>
        </w:trPr>
        <w:tc>
          <w:tcPr>
            <w:tcW w:w="3656" w:type="dxa"/>
          </w:tcPr>
          <w:p w14:paraId="1C36EBF0" w14:textId="77777777" w:rsidR="00F935B1" w:rsidRPr="000A4491" w:rsidRDefault="00F935B1" w:rsidP="0083602C">
            <w:pPr>
              <w:rPr>
                <w:rFonts w:ascii="Verdana" w:hAnsi="Verdana"/>
                <w:sz w:val="20"/>
              </w:rPr>
            </w:pPr>
            <w:r w:rsidRPr="000A4491">
              <w:rPr>
                <w:rFonts w:ascii="Verdana" w:hAnsi="Verdana"/>
                <w:sz w:val="20"/>
              </w:rPr>
              <w:lastRenderedPageBreak/>
              <w:t>Freight Assurances</w:t>
            </w:r>
          </w:p>
          <w:p w14:paraId="02060BB1" w14:textId="77777777" w:rsidR="00F935B1" w:rsidRPr="000A4491" w:rsidRDefault="00F935B1" w:rsidP="0083602C">
            <w:pPr>
              <w:rPr>
                <w:rFonts w:ascii="Verdana" w:hAnsi="Verdana"/>
                <w:sz w:val="20"/>
              </w:rPr>
            </w:pPr>
            <w:r w:rsidRPr="000A4491">
              <w:rPr>
                <w:rFonts w:ascii="Verdana" w:hAnsi="Verdana"/>
                <w:sz w:val="20"/>
              </w:rPr>
              <w:t>(</w:t>
            </w:r>
            <w:hyperlink w:anchor="MiscMiscellaneousFeesAndCharges" w:history="1">
              <w:r w:rsidRPr="000A4491">
                <w:rPr>
                  <w:rStyle w:val="Hyperlink"/>
                  <w:rFonts w:ascii="Verdana" w:hAnsi="Verdana"/>
                  <w:sz w:val="20"/>
                </w:rPr>
                <w:t>Miscellaneous Fees and Charges</w:t>
              </w:r>
            </w:hyperlink>
            <w:r w:rsidRPr="000A4491">
              <w:rPr>
                <w:rFonts w:ascii="Verdana" w:hAnsi="Verdana"/>
                <w:sz w:val="20"/>
              </w:rPr>
              <w:t>)</w:t>
            </w:r>
          </w:p>
        </w:tc>
        <w:tc>
          <w:tcPr>
            <w:tcW w:w="5441" w:type="dxa"/>
          </w:tcPr>
          <w:p w14:paraId="3CFB2CF0" w14:textId="77777777" w:rsidR="00F935B1" w:rsidRPr="000A4491" w:rsidRDefault="00F935B1" w:rsidP="0083602C">
            <w:pPr>
              <w:pStyle w:val="NormalWeb"/>
              <w:spacing w:before="0" w:beforeAutospacing="0" w:after="0"/>
              <w:rPr>
                <w:rFonts w:ascii="Verdana" w:hAnsi="Verdana"/>
                <w:sz w:val="20"/>
              </w:rPr>
            </w:pPr>
            <w:r w:rsidRPr="000A4491">
              <w:rPr>
                <w:rFonts w:ascii="Verdana" w:hAnsi="Verdana"/>
                <w:sz w:val="20"/>
              </w:rPr>
              <w:t xml:space="preserve">Freight assurance fees are fees assessed to the purchaser for the guarantee of safe delivery to their premises of goods, </w:t>
            </w:r>
            <w:r w:rsidRPr="000A4491">
              <w:rPr>
                <w:rFonts w:ascii="Verdana" w:hAnsi="Verdana"/>
                <w:i/>
                <w:sz w:val="20"/>
              </w:rPr>
              <w:t>i.e.</w:t>
            </w:r>
            <w:r w:rsidRPr="000A4491">
              <w:rPr>
                <w:rFonts w:ascii="Verdana" w:hAnsi="Verdana"/>
                <w:sz w:val="20"/>
              </w:rPr>
              <w:t>, they provide shipping insurance.</w:t>
            </w:r>
          </w:p>
        </w:tc>
      </w:tr>
      <w:tr w:rsidR="00F935B1" w14:paraId="48D1CA4B" w14:textId="77777777" w:rsidTr="0083602C">
        <w:trPr>
          <w:tblCellSpacing w:w="15" w:type="dxa"/>
        </w:trPr>
        <w:tc>
          <w:tcPr>
            <w:tcW w:w="3656" w:type="dxa"/>
          </w:tcPr>
          <w:p w14:paraId="6002C866" w14:textId="77777777" w:rsidR="00F935B1" w:rsidRPr="000A4491" w:rsidRDefault="00F935B1" w:rsidP="0083602C">
            <w:pPr>
              <w:rPr>
                <w:rFonts w:ascii="Verdana" w:hAnsi="Verdana"/>
                <w:sz w:val="20"/>
              </w:rPr>
            </w:pPr>
            <w:r w:rsidRPr="000A4491">
              <w:rPr>
                <w:rFonts w:ascii="Verdana" w:hAnsi="Verdana"/>
                <w:sz w:val="20"/>
              </w:rPr>
              <w:t>Gateway</w:t>
            </w:r>
            <w:r w:rsidRPr="000A4491">
              <w:rPr>
                <w:rFonts w:ascii="Verdana" w:hAnsi="Verdana"/>
                <w:sz w:val="20"/>
              </w:rPr>
              <w:fldChar w:fldCharType="begin"/>
            </w:r>
            <w:r w:rsidRPr="000A4491">
              <w:rPr>
                <w:rFonts w:ascii="Verdana" w:hAnsi="Verdana"/>
                <w:sz w:val="20"/>
              </w:rPr>
              <w:instrText>xe "Gateways"</w:instrText>
            </w:r>
            <w:r w:rsidRPr="000A4491">
              <w:rPr>
                <w:rFonts w:ascii="Verdana" w:hAnsi="Verdana"/>
                <w:sz w:val="20"/>
              </w:rPr>
              <w:fldChar w:fldCharType="end"/>
            </w:r>
            <w:r w:rsidRPr="000A4491">
              <w:rPr>
                <w:rFonts w:ascii="Verdana" w:hAnsi="Verdana"/>
                <w:sz w:val="20"/>
              </w:rPr>
              <w:t xml:space="preserve"> </w:t>
            </w:r>
            <w:r w:rsidRPr="000A4491">
              <w:rPr>
                <w:rFonts w:ascii="Verdana" w:hAnsi="Verdana"/>
                <w:sz w:val="20"/>
              </w:rPr>
              <w:br/>
              <w:t>(</w:t>
            </w:r>
            <w:hyperlink w:anchor="aaInterfacesGatewaysAntennas" w:history="1">
              <w:r w:rsidRPr="000A4491">
                <w:rPr>
                  <w:rStyle w:val="Hyperlink"/>
                  <w:rFonts w:ascii="Verdana" w:hAnsi="Verdana"/>
                  <w:sz w:val="20"/>
                </w:rPr>
                <w:t>Interfaces</w:t>
              </w:r>
              <w:r w:rsidRPr="000A4491">
                <w:rPr>
                  <w:rFonts w:ascii="Verdana" w:hAnsi="Verdana"/>
                  <w:sz w:val="20"/>
                </w:rPr>
                <w:fldChar w:fldCharType="begin"/>
              </w:r>
              <w:r w:rsidRPr="000A4491">
                <w:rPr>
                  <w:rFonts w:ascii="Verdana" w:hAnsi="Verdana"/>
                  <w:sz w:val="20"/>
                </w:rPr>
                <w:instrText>xe "</w:instrText>
              </w:r>
              <w:r w:rsidRPr="000A4491">
                <w:rPr>
                  <w:rFonts w:ascii="Verdana" w:hAnsi="Verdana"/>
                  <w:bCs/>
                  <w:sz w:val="20"/>
                </w:rPr>
                <w:instrText>Interfaces</w:instrText>
              </w:r>
              <w:r w:rsidRPr="000A4491">
                <w:rPr>
                  <w:rFonts w:ascii="Verdana" w:hAnsi="Verdana"/>
                  <w:sz w:val="20"/>
                </w:rPr>
                <w:instrText>"</w:instrText>
              </w:r>
              <w:r w:rsidRPr="000A4491">
                <w:rPr>
                  <w:rFonts w:ascii="Verdana" w:hAnsi="Verdana"/>
                  <w:sz w:val="20"/>
                </w:rPr>
                <w:fldChar w:fldCharType="end"/>
              </w:r>
            </w:hyperlink>
            <w:r w:rsidRPr="000A4491">
              <w:rPr>
                <w:rFonts w:ascii="Verdana" w:hAnsi="Verdana"/>
                <w:sz w:val="20"/>
              </w:rPr>
              <w:t>)</w:t>
            </w:r>
          </w:p>
        </w:tc>
        <w:tc>
          <w:tcPr>
            <w:tcW w:w="5441" w:type="dxa"/>
          </w:tcPr>
          <w:p w14:paraId="65CEC7BF" w14:textId="77777777" w:rsidR="00F935B1" w:rsidRPr="000A4491" w:rsidRDefault="00F935B1" w:rsidP="0083602C">
            <w:pPr>
              <w:pStyle w:val="NormalWeb"/>
              <w:spacing w:before="0" w:beforeAutospacing="0" w:after="0"/>
              <w:rPr>
                <w:rFonts w:ascii="Verdana" w:hAnsi="Verdana"/>
                <w:sz w:val="20"/>
              </w:rPr>
            </w:pPr>
            <w:r w:rsidRPr="000A4491">
              <w:rPr>
                <w:rFonts w:ascii="Verdana" w:hAnsi="Verdana"/>
                <w:sz w:val="20"/>
              </w:rPr>
              <w:t>A gateway is a network device that acts as an entrance to another network and often is used to connect two otherwise incompatible networks.</w:t>
            </w:r>
          </w:p>
        </w:tc>
      </w:tr>
      <w:tr w:rsidR="00F935B1" w14:paraId="2286C129" w14:textId="77777777" w:rsidTr="0083602C">
        <w:trPr>
          <w:tblCellSpacing w:w="15" w:type="dxa"/>
        </w:trPr>
        <w:tc>
          <w:tcPr>
            <w:tcW w:w="3656" w:type="dxa"/>
          </w:tcPr>
          <w:p w14:paraId="334A8C45" w14:textId="77777777" w:rsidR="00F935B1" w:rsidRPr="000A4491" w:rsidRDefault="00F935B1" w:rsidP="0083602C">
            <w:pPr>
              <w:rPr>
                <w:rFonts w:ascii="Verdana" w:hAnsi="Verdana"/>
                <w:sz w:val="20"/>
              </w:rPr>
            </w:pPr>
            <w:r w:rsidRPr="000A4491">
              <w:rPr>
                <w:rFonts w:ascii="Verdana" w:hAnsi="Verdana"/>
                <w:sz w:val="20"/>
              </w:rPr>
              <w:t>Hard Disk Drives</w:t>
            </w:r>
            <w:r w:rsidRPr="000A4491">
              <w:rPr>
                <w:rFonts w:ascii="Verdana" w:hAnsi="Verdana"/>
                <w:sz w:val="20"/>
              </w:rPr>
              <w:fldChar w:fldCharType="begin"/>
            </w:r>
            <w:r w:rsidRPr="000A4491">
              <w:rPr>
                <w:rFonts w:ascii="Verdana" w:hAnsi="Verdana"/>
                <w:sz w:val="20"/>
              </w:rPr>
              <w:instrText>xe "Hard Disk Drive"</w:instrText>
            </w:r>
            <w:r w:rsidRPr="000A4491">
              <w:rPr>
                <w:rFonts w:ascii="Verdana" w:hAnsi="Verdana"/>
                <w:sz w:val="20"/>
              </w:rPr>
              <w:fldChar w:fldCharType="end"/>
            </w:r>
            <w:r w:rsidRPr="000A4491">
              <w:rPr>
                <w:rFonts w:ascii="Verdana" w:hAnsi="Verdana"/>
                <w:sz w:val="20"/>
              </w:rPr>
              <w:t xml:space="preserve"> </w:t>
            </w:r>
            <w:r w:rsidRPr="000A4491">
              <w:rPr>
                <w:rFonts w:ascii="Verdana" w:hAnsi="Verdana"/>
                <w:sz w:val="20"/>
              </w:rPr>
              <w:br/>
              <w:t>(</w:t>
            </w:r>
            <w:hyperlink w:anchor="aaStorageDevices" w:history="1">
              <w:r w:rsidRPr="000A4491">
                <w:rPr>
                  <w:rStyle w:val="Hyperlink"/>
                  <w:rFonts w:ascii="Verdana" w:hAnsi="Verdana"/>
                  <w:sz w:val="20"/>
                </w:rPr>
                <w:t>Storage Devices</w:t>
              </w:r>
            </w:hyperlink>
            <w:r w:rsidRPr="000A4491">
              <w:rPr>
                <w:rFonts w:ascii="Verdana" w:hAnsi="Verdana"/>
                <w:sz w:val="20"/>
              </w:rPr>
              <w:t>)</w:t>
            </w:r>
          </w:p>
        </w:tc>
        <w:tc>
          <w:tcPr>
            <w:tcW w:w="5441" w:type="dxa"/>
          </w:tcPr>
          <w:p w14:paraId="4DF3F18E" w14:textId="77777777" w:rsidR="00F935B1" w:rsidRPr="000A4491" w:rsidRDefault="00F935B1" w:rsidP="0083602C">
            <w:pPr>
              <w:pStyle w:val="NormalWeb"/>
              <w:spacing w:before="0" w:beforeAutospacing="0" w:after="0"/>
              <w:rPr>
                <w:rFonts w:ascii="Verdana" w:hAnsi="Verdana"/>
                <w:sz w:val="20"/>
              </w:rPr>
            </w:pPr>
            <w:r w:rsidRPr="000A4491">
              <w:rPr>
                <w:rFonts w:ascii="Verdana" w:hAnsi="Verdana"/>
                <w:sz w:val="20"/>
              </w:rPr>
              <w:t>Hard disk drives are</w:t>
            </w:r>
            <w:r w:rsidRPr="000A4491">
              <w:rPr>
                <w:rFonts w:ascii="Verdana" w:hAnsi="Verdana"/>
                <w:sz w:val="20"/>
              </w:rPr>
              <w:fldChar w:fldCharType="begin"/>
            </w:r>
            <w:r w:rsidRPr="000A4491">
              <w:rPr>
                <w:rFonts w:ascii="Verdana" w:hAnsi="Verdana"/>
                <w:sz w:val="20"/>
              </w:rPr>
              <w:instrText>xe "Hard Disk Drive"</w:instrText>
            </w:r>
            <w:r w:rsidRPr="000A4491">
              <w:rPr>
                <w:rFonts w:ascii="Verdana" w:hAnsi="Verdana"/>
                <w:sz w:val="20"/>
              </w:rPr>
              <w:fldChar w:fldCharType="end"/>
            </w:r>
            <w:r w:rsidRPr="000A4491">
              <w:rPr>
                <w:rFonts w:ascii="Verdana" w:hAnsi="Verdana"/>
                <w:sz w:val="20"/>
              </w:rPr>
              <w:t xml:space="preserve"> storage</w:t>
            </w:r>
            <w:r w:rsidRPr="000A4491">
              <w:rPr>
                <w:rFonts w:ascii="Verdana" w:hAnsi="Verdana"/>
                <w:sz w:val="20"/>
              </w:rPr>
              <w:fldChar w:fldCharType="begin"/>
            </w:r>
            <w:r w:rsidRPr="000A4491">
              <w:rPr>
                <w:rFonts w:ascii="Verdana" w:hAnsi="Verdana"/>
                <w:sz w:val="20"/>
              </w:rPr>
              <w:instrText>xe "Storage"</w:instrText>
            </w:r>
            <w:r w:rsidRPr="000A4491">
              <w:rPr>
                <w:rFonts w:ascii="Verdana" w:hAnsi="Verdana"/>
                <w:sz w:val="20"/>
              </w:rPr>
              <w:fldChar w:fldCharType="end"/>
            </w:r>
            <w:r w:rsidRPr="000A4491">
              <w:rPr>
                <w:rFonts w:ascii="Verdana" w:hAnsi="Verdana"/>
                <w:sz w:val="20"/>
              </w:rPr>
              <w:t xml:space="preserve"> devices that consist of magnetic platters that spin like a record player and magnetic pickup devices, called heads, that are like the needle of a record player.  The magnetic platters and heads are sealed in a vacuum in order to maintain tight tolerances and enhance service life.</w:t>
            </w:r>
          </w:p>
        </w:tc>
      </w:tr>
      <w:tr w:rsidR="00F935B1" w14:paraId="53711E6B" w14:textId="77777777" w:rsidTr="0083602C">
        <w:trPr>
          <w:tblCellSpacing w:w="15" w:type="dxa"/>
        </w:trPr>
        <w:tc>
          <w:tcPr>
            <w:tcW w:w="3656" w:type="dxa"/>
          </w:tcPr>
          <w:p w14:paraId="26ACFCF1" w14:textId="77777777" w:rsidR="00F935B1" w:rsidRPr="000A4491" w:rsidRDefault="00F935B1" w:rsidP="0083602C">
            <w:pPr>
              <w:rPr>
                <w:rFonts w:ascii="Verdana" w:hAnsi="Verdana"/>
                <w:sz w:val="20"/>
              </w:rPr>
            </w:pPr>
            <w:r w:rsidRPr="000A4491">
              <w:rPr>
                <w:rFonts w:ascii="Verdana" w:hAnsi="Verdana"/>
                <w:sz w:val="20"/>
              </w:rPr>
              <w:t>Homework Hotline Equipment</w:t>
            </w:r>
            <w:r w:rsidRPr="000A4491">
              <w:rPr>
                <w:rFonts w:ascii="Verdana" w:hAnsi="Verdana"/>
                <w:sz w:val="20"/>
              </w:rPr>
              <w:fldChar w:fldCharType="begin"/>
            </w:r>
            <w:r w:rsidRPr="000A4491">
              <w:rPr>
                <w:rFonts w:ascii="Verdana" w:hAnsi="Verdana"/>
                <w:sz w:val="20"/>
              </w:rPr>
              <w:instrText>xe "</w:instrText>
            </w:r>
            <w:r w:rsidRPr="000A4491">
              <w:rPr>
                <w:rStyle w:val="Hyperlink"/>
                <w:rFonts w:ascii="Verdana" w:hAnsi="Verdana"/>
                <w:bCs/>
                <w:sz w:val="20"/>
              </w:rPr>
              <w:instrText>Homework Hotline Equipment</w:instrText>
            </w:r>
            <w:r w:rsidRPr="000A4491">
              <w:rPr>
                <w:rFonts w:ascii="Verdana" w:hAnsi="Verdana"/>
                <w:sz w:val="20"/>
              </w:rPr>
              <w:instrText>"</w:instrText>
            </w:r>
            <w:r w:rsidRPr="000A4491">
              <w:rPr>
                <w:rFonts w:ascii="Verdana" w:hAnsi="Verdana"/>
                <w:sz w:val="20"/>
              </w:rPr>
              <w:fldChar w:fldCharType="end"/>
            </w:r>
            <w:r w:rsidRPr="000A4491">
              <w:rPr>
                <w:rFonts w:ascii="Verdana" w:hAnsi="Verdana"/>
                <w:sz w:val="20"/>
              </w:rPr>
              <w:t xml:space="preserve"> </w:t>
            </w:r>
            <w:r w:rsidRPr="000A4491">
              <w:rPr>
                <w:rFonts w:ascii="Verdana" w:hAnsi="Verdana"/>
                <w:sz w:val="20"/>
              </w:rPr>
              <w:br/>
              <w:t>(</w:t>
            </w:r>
            <w:hyperlink w:anchor="aaTelephoneComponents" w:history="1">
              <w:r w:rsidRPr="000A4491">
                <w:rPr>
                  <w:rStyle w:val="Hyperlink"/>
                  <w:rFonts w:ascii="Verdana" w:hAnsi="Verdana"/>
                  <w:sz w:val="20"/>
                </w:rPr>
                <w:t>Ineligible for E-rate Funding for Internal Connections Components</w:t>
              </w:r>
              <w:r w:rsidRPr="000A4491">
                <w:rPr>
                  <w:rFonts w:ascii="Verdana" w:hAnsi="Verdana"/>
                  <w:sz w:val="20"/>
                </w:rPr>
                <w:fldChar w:fldCharType="begin"/>
              </w:r>
              <w:r w:rsidRPr="000A4491">
                <w:rPr>
                  <w:rFonts w:ascii="Verdana" w:hAnsi="Verdana"/>
                  <w:sz w:val="20"/>
                </w:rPr>
                <w:instrText>xe "Telephone Components"</w:instrText>
              </w:r>
              <w:r w:rsidRPr="000A4491">
                <w:rPr>
                  <w:rFonts w:ascii="Verdana" w:hAnsi="Verdana"/>
                  <w:sz w:val="20"/>
                </w:rPr>
                <w:fldChar w:fldCharType="end"/>
              </w:r>
            </w:hyperlink>
            <w:r w:rsidRPr="000A4491">
              <w:rPr>
                <w:rFonts w:ascii="Verdana" w:hAnsi="Verdana"/>
                <w:sz w:val="20"/>
              </w:rPr>
              <w:t>)</w:t>
            </w:r>
          </w:p>
        </w:tc>
        <w:tc>
          <w:tcPr>
            <w:tcW w:w="5441" w:type="dxa"/>
          </w:tcPr>
          <w:p w14:paraId="5570621F" w14:textId="77777777" w:rsidR="00F935B1" w:rsidRPr="000A4491" w:rsidRDefault="00F935B1" w:rsidP="0083602C">
            <w:pPr>
              <w:pStyle w:val="NormalWeb"/>
              <w:spacing w:before="0" w:beforeAutospacing="0" w:after="0"/>
              <w:rPr>
                <w:rFonts w:ascii="Verdana" w:hAnsi="Verdana"/>
                <w:sz w:val="20"/>
              </w:rPr>
            </w:pPr>
            <w:r w:rsidRPr="000A4491">
              <w:rPr>
                <w:rFonts w:ascii="Verdana" w:hAnsi="Verdana"/>
                <w:sz w:val="20"/>
              </w:rPr>
              <w:t>Homework Hotline</w:t>
            </w:r>
            <w:r w:rsidRPr="000A4491">
              <w:rPr>
                <w:rFonts w:ascii="Verdana" w:hAnsi="Verdana"/>
                <w:sz w:val="20"/>
              </w:rPr>
              <w:fldChar w:fldCharType="begin"/>
            </w:r>
            <w:r w:rsidRPr="000A4491">
              <w:rPr>
                <w:rFonts w:ascii="Verdana" w:hAnsi="Verdana"/>
                <w:sz w:val="20"/>
              </w:rPr>
              <w:instrText>xe "Homework Hotline Equipment"</w:instrText>
            </w:r>
            <w:r w:rsidRPr="000A4491">
              <w:rPr>
                <w:rFonts w:ascii="Verdana" w:hAnsi="Verdana"/>
                <w:sz w:val="20"/>
              </w:rPr>
              <w:fldChar w:fldCharType="end"/>
            </w:r>
            <w:r w:rsidRPr="000A4491">
              <w:rPr>
                <w:rFonts w:ascii="Verdana" w:hAnsi="Verdana"/>
                <w:sz w:val="20"/>
              </w:rPr>
              <w:t xml:space="preserve"> equipment includes an automated response or call routing system that provides information to callers about school assignments.</w:t>
            </w:r>
          </w:p>
        </w:tc>
      </w:tr>
      <w:tr w:rsidR="00F935B1" w14:paraId="379EFE20" w14:textId="77777777" w:rsidTr="0083602C">
        <w:trPr>
          <w:tblCellSpacing w:w="15" w:type="dxa"/>
        </w:trPr>
        <w:tc>
          <w:tcPr>
            <w:tcW w:w="3656" w:type="dxa"/>
          </w:tcPr>
          <w:p w14:paraId="35A8E2F0" w14:textId="77777777" w:rsidR="00F935B1" w:rsidRPr="000A4491" w:rsidRDefault="00F935B1" w:rsidP="0083602C">
            <w:pPr>
              <w:rPr>
                <w:rFonts w:ascii="Verdana" w:hAnsi="Verdana"/>
                <w:sz w:val="20"/>
              </w:rPr>
            </w:pPr>
            <w:r w:rsidRPr="000A4491">
              <w:rPr>
                <w:rFonts w:ascii="Verdana" w:hAnsi="Verdana"/>
                <w:sz w:val="20"/>
              </w:rPr>
              <w:t>Homework Hotline</w:t>
            </w:r>
            <w:r w:rsidRPr="000A4491">
              <w:rPr>
                <w:rFonts w:ascii="Verdana" w:hAnsi="Verdana"/>
                <w:sz w:val="20"/>
              </w:rPr>
              <w:fldChar w:fldCharType="begin"/>
            </w:r>
            <w:r w:rsidRPr="000A4491">
              <w:rPr>
                <w:rFonts w:ascii="Verdana" w:hAnsi="Verdana"/>
                <w:sz w:val="20"/>
              </w:rPr>
              <w:instrText>xe "Homework Hotline Service"</w:instrText>
            </w:r>
            <w:r w:rsidRPr="000A4491">
              <w:rPr>
                <w:rFonts w:ascii="Verdana" w:hAnsi="Verdana"/>
                <w:sz w:val="20"/>
              </w:rPr>
              <w:fldChar w:fldCharType="end"/>
            </w:r>
            <w:r w:rsidRPr="000A4491">
              <w:rPr>
                <w:rFonts w:ascii="Verdana" w:hAnsi="Verdana"/>
                <w:sz w:val="20"/>
              </w:rPr>
              <w:t xml:space="preserve"> Service</w:t>
            </w:r>
          </w:p>
          <w:p w14:paraId="2B16D287" w14:textId="77777777" w:rsidR="00F935B1" w:rsidRPr="000A4491" w:rsidRDefault="00F935B1" w:rsidP="0083602C">
            <w:pPr>
              <w:rPr>
                <w:rFonts w:ascii="Verdana" w:hAnsi="Verdana"/>
                <w:sz w:val="20"/>
              </w:rPr>
            </w:pPr>
            <w:r w:rsidRPr="000A4491">
              <w:rPr>
                <w:rFonts w:ascii="Verdana" w:hAnsi="Verdana"/>
                <w:sz w:val="20"/>
              </w:rPr>
              <w:t>(</w:t>
            </w:r>
            <w:hyperlink w:anchor="aattOtherEligible" w:history="1">
              <w:r w:rsidRPr="000A4491">
                <w:rPr>
                  <w:rStyle w:val="Hyperlink"/>
                  <w:rFonts w:ascii="Verdana" w:hAnsi="Verdana"/>
                  <w:sz w:val="20"/>
                </w:rPr>
                <w:t>Other Eligible Telecommunications</w:t>
              </w:r>
              <w:r w:rsidRPr="000A4491">
                <w:rPr>
                  <w:rFonts w:ascii="Verdana" w:hAnsi="Verdana"/>
                  <w:sz w:val="20"/>
                </w:rPr>
                <w:fldChar w:fldCharType="begin"/>
              </w:r>
              <w:r w:rsidRPr="000A4491">
                <w:rPr>
                  <w:rFonts w:ascii="Verdana" w:hAnsi="Verdana"/>
                  <w:sz w:val="20"/>
                </w:rPr>
                <w:instrText>xe "</w:instrText>
              </w:r>
              <w:r w:rsidRPr="000A4491">
                <w:rPr>
                  <w:rStyle w:val="Hyperlink"/>
                  <w:rFonts w:ascii="Verdana" w:hAnsi="Verdana"/>
                  <w:sz w:val="20"/>
                </w:rPr>
                <w:instrText>Telecommunications Services</w:instrText>
              </w:r>
              <w:r w:rsidRPr="000A4491">
                <w:rPr>
                  <w:rFonts w:ascii="Verdana" w:hAnsi="Verdana"/>
                  <w:sz w:val="20"/>
                </w:rPr>
                <w:instrText>"</w:instrText>
              </w:r>
              <w:r w:rsidRPr="000A4491">
                <w:rPr>
                  <w:rFonts w:ascii="Verdana" w:hAnsi="Verdana"/>
                  <w:sz w:val="20"/>
                </w:rPr>
                <w:fldChar w:fldCharType="end"/>
              </w:r>
            </w:hyperlink>
            <w:r w:rsidRPr="000A4491">
              <w:rPr>
                <w:rFonts w:ascii="Verdana" w:hAnsi="Verdana"/>
                <w:sz w:val="20"/>
              </w:rPr>
              <w:t>)</w:t>
            </w:r>
          </w:p>
        </w:tc>
        <w:tc>
          <w:tcPr>
            <w:tcW w:w="5441" w:type="dxa"/>
          </w:tcPr>
          <w:p w14:paraId="25974782" w14:textId="77777777" w:rsidR="00F935B1" w:rsidRPr="000A4491" w:rsidRDefault="00F935B1" w:rsidP="0083602C">
            <w:pPr>
              <w:pStyle w:val="NormalWeb"/>
              <w:spacing w:before="0" w:beforeAutospacing="0" w:after="0"/>
              <w:rPr>
                <w:rFonts w:ascii="Verdana" w:hAnsi="Verdana"/>
                <w:sz w:val="20"/>
              </w:rPr>
            </w:pPr>
            <w:r w:rsidRPr="000A4491">
              <w:rPr>
                <w:rFonts w:ascii="Verdana" w:hAnsi="Verdana"/>
                <w:sz w:val="20"/>
              </w:rPr>
              <w:t>A Homework Hotline</w:t>
            </w:r>
            <w:r w:rsidRPr="000A4491">
              <w:rPr>
                <w:rFonts w:ascii="Verdana" w:hAnsi="Verdana"/>
                <w:sz w:val="20"/>
              </w:rPr>
              <w:fldChar w:fldCharType="begin"/>
            </w:r>
            <w:r w:rsidRPr="000A4491">
              <w:rPr>
                <w:rFonts w:ascii="Verdana" w:hAnsi="Verdana"/>
                <w:sz w:val="20"/>
              </w:rPr>
              <w:instrText>xe "Homework Hotline Service"</w:instrText>
            </w:r>
            <w:r w:rsidRPr="000A4491">
              <w:rPr>
                <w:rFonts w:ascii="Verdana" w:hAnsi="Verdana"/>
                <w:sz w:val="20"/>
              </w:rPr>
              <w:fldChar w:fldCharType="end"/>
            </w:r>
            <w:r w:rsidRPr="000A4491">
              <w:rPr>
                <w:rFonts w:ascii="Verdana" w:hAnsi="Verdana"/>
                <w:sz w:val="20"/>
              </w:rPr>
              <w:t xml:space="preserve"> Service is typically provided as a toll-free</w:t>
            </w:r>
            <w:r w:rsidRPr="000A4491">
              <w:rPr>
                <w:rFonts w:ascii="Verdana" w:hAnsi="Verdana"/>
                <w:sz w:val="20"/>
              </w:rPr>
              <w:fldChar w:fldCharType="begin"/>
            </w:r>
            <w:r w:rsidRPr="000A4491">
              <w:rPr>
                <w:rFonts w:ascii="Verdana" w:hAnsi="Verdana"/>
                <w:sz w:val="20"/>
              </w:rPr>
              <w:instrText>xe "Toll-Free"</w:instrText>
            </w:r>
            <w:r w:rsidRPr="000A4491">
              <w:rPr>
                <w:rFonts w:ascii="Verdana" w:hAnsi="Verdana"/>
                <w:sz w:val="20"/>
              </w:rPr>
              <w:fldChar w:fldCharType="end"/>
            </w:r>
            <w:r w:rsidRPr="000A4491">
              <w:rPr>
                <w:rFonts w:ascii="Verdana" w:hAnsi="Verdana"/>
                <w:sz w:val="20"/>
              </w:rPr>
              <w:t xml:space="preserve"> telephone number for students to contact the school regarding questions on homework.</w:t>
            </w:r>
          </w:p>
        </w:tc>
      </w:tr>
      <w:tr w:rsidR="00F935B1" w14:paraId="214F3815" w14:textId="77777777" w:rsidTr="0083602C">
        <w:trPr>
          <w:tblCellSpacing w:w="15" w:type="dxa"/>
        </w:trPr>
        <w:tc>
          <w:tcPr>
            <w:tcW w:w="3656" w:type="dxa"/>
          </w:tcPr>
          <w:p w14:paraId="6987D86E" w14:textId="77777777" w:rsidR="00F935B1" w:rsidRPr="000A4491" w:rsidRDefault="00F935B1" w:rsidP="0083602C">
            <w:pPr>
              <w:rPr>
                <w:rFonts w:ascii="Verdana" w:hAnsi="Verdana"/>
                <w:sz w:val="20"/>
              </w:rPr>
            </w:pPr>
            <w:r w:rsidRPr="000A4491">
              <w:rPr>
                <w:rFonts w:ascii="Verdana" w:hAnsi="Verdana"/>
                <w:sz w:val="20"/>
              </w:rPr>
              <w:t>Hub</w:t>
            </w:r>
            <w:r w:rsidRPr="000A4491">
              <w:rPr>
                <w:rFonts w:ascii="Verdana" w:hAnsi="Verdana"/>
                <w:sz w:val="20"/>
              </w:rPr>
              <w:fldChar w:fldCharType="begin"/>
            </w:r>
            <w:r w:rsidRPr="000A4491">
              <w:rPr>
                <w:rFonts w:ascii="Verdana" w:hAnsi="Verdana"/>
                <w:sz w:val="20"/>
              </w:rPr>
              <w:instrText>xe "</w:instrText>
            </w:r>
            <w:r w:rsidRPr="000A4491">
              <w:rPr>
                <w:rStyle w:val="Hyperlink"/>
                <w:rFonts w:ascii="Verdana" w:hAnsi="Verdana"/>
                <w:bCs/>
                <w:sz w:val="20"/>
              </w:rPr>
              <w:instrText>Hubs</w:instrText>
            </w:r>
            <w:r w:rsidRPr="000A4491">
              <w:rPr>
                <w:rFonts w:ascii="Verdana" w:hAnsi="Verdana"/>
                <w:sz w:val="20"/>
              </w:rPr>
              <w:instrText>"</w:instrText>
            </w:r>
            <w:r w:rsidRPr="000A4491">
              <w:rPr>
                <w:rFonts w:ascii="Verdana" w:hAnsi="Verdana"/>
                <w:sz w:val="20"/>
              </w:rPr>
              <w:fldChar w:fldCharType="end"/>
            </w:r>
            <w:r w:rsidRPr="000A4491">
              <w:rPr>
                <w:rFonts w:ascii="Verdana" w:hAnsi="Verdana"/>
                <w:sz w:val="20"/>
              </w:rPr>
              <w:t xml:space="preserve"> </w:t>
            </w:r>
            <w:r w:rsidRPr="000A4491">
              <w:rPr>
                <w:rFonts w:ascii="Verdana" w:hAnsi="Verdana"/>
                <w:sz w:val="20"/>
              </w:rPr>
              <w:br/>
              <w:t>(</w:t>
            </w:r>
            <w:hyperlink w:anchor="aaDataDistribution" w:history="1">
              <w:r w:rsidRPr="000A4491">
                <w:rPr>
                  <w:rStyle w:val="Hyperlink"/>
                  <w:rFonts w:ascii="Verdana" w:hAnsi="Verdana"/>
                  <w:sz w:val="20"/>
                </w:rPr>
                <w:t>Data Distribution</w:t>
              </w:r>
              <w:r w:rsidRPr="000A4491">
                <w:rPr>
                  <w:rFonts w:ascii="Verdana" w:hAnsi="Verdana"/>
                  <w:sz w:val="20"/>
                </w:rPr>
                <w:fldChar w:fldCharType="begin"/>
              </w:r>
              <w:r w:rsidRPr="000A4491">
                <w:rPr>
                  <w:rFonts w:ascii="Verdana" w:hAnsi="Verdana"/>
                  <w:sz w:val="20"/>
                </w:rPr>
                <w:instrText>xe "Data Distribution"</w:instrText>
              </w:r>
              <w:r w:rsidRPr="000A4491">
                <w:rPr>
                  <w:rFonts w:ascii="Verdana" w:hAnsi="Verdana"/>
                  <w:sz w:val="20"/>
                </w:rPr>
                <w:fldChar w:fldCharType="end"/>
              </w:r>
            </w:hyperlink>
            <w:r w:rsidRPr="000A4491">
              <w:rPr>
                <w:rFonts w:ascii="Verdana" w:hAnsi="Verdana"/>
                <w:sz w:val="20"/>
              </w:rPr>
              <w:t>)</w:t>
            </w:r>
          </w:p>
        </w:tc>
        <w:tc>
          <w:tcPr>
            <w:tcW w:w="5441" w:type="dxa"/>
          </w:tcPr>
          <w:p w14:paraId="1B86E6C1" w14:textId="77777777" w:rsidR="00F935B1" w:rsidRPr="000A4491" w:rsidRDefault="00F935B1" w:rsidP="0083602C">
            <w:pPr>
              <w:pStyle w:val="NormalWeb"/>
              <w:spacing w:before="0" w:beforeAutospacing="0" w:after="0"/>
              <w:rPr>
                <w:rFonts w:ascii="Verdana" w:hAnsi="Verdana"/>
                <w:sz w:val="20"/>
              </w:rPr>
            </w:pPr>
            <w:r w:rsidRPr="000A4491">
              <w:rPr>
                <w:rFonts w:ascii="Verdana" w:hAnsi="Verdana"/>
                <w:sz w:val="20"/>
              </w:rPr>
              <w:t>Hubs</w:t>
            </w:r>
            <w:r w:rsidRPr="000A4491">
              <w:rPr>
                <w:rFonts w:ascii="Verdana" w:hAnsi="Verdana"/>
                <w:sz w:val="20"/>
              </w:rPr>
              <w:fldChar w:fldCharType="begin"/>
            </w:r>
            <w:r w:rsidRPr="000A4491">
              <w:rPr>
                <w:rFonts w:ascii="Verdana" w:hAnsi="Verdana"/>
                <w:sz w:val="20"/>
              </w:rPr>
              <w:instrText>xe "Hubs"</w:instrText>
            </w:r>
            <w:r w:rsidRPr="000A4491">
              <w:rPr>
                <w:rFonts w:ascii="Verdana" w:hAnsi="Verdana"/>
                <w:sz w:val="20"/>
              </w:rPr>
              <w:fldChar w:fldCharType="end"/>
            </w:r>
            <w:r w:rsidRPr="000A4491">
              <w:rPr>
                <w:rFonts w:ascii="Verdana" w:hAnsi="Verdana"/>
                <w:sz w:val="20"/>
              </w:rPr>
              <w:t xml:space="preserve"> are central connection points for some types of local area networks</w:t>
            </w:r>
            <w:r w:rsidRPr="000A4491">
              <w:rPr>
                <w:rFonts w:ascii="Verdana" w:hAnsi="Verdana"/>
                <w:sz w:val="20"/>
              </w:rPr>
              <w:fldChar w:fldCharType="begin"/>
            </w:r>
            <w:r w:rsidRPr="000A4491">
              <w:rPr>
                <w:rFonts w:ascii="Verdana" w:hAnsi="Verdana"/>
                <w:sz w:val="20"/>
              </w:rPr>
              <w:instrText>xe "Local Area Networks"</w:instrText>
            </w:r>
            <w:r w:rsidRPr="000A4491">
              <w:rPr>
                <w:rFonts w:ascii="Verdana" w:hAnsi="Verdana"/>
                <w:sz w:val="20"/>
              </w:rPr>
              <w:fldChar w:fldCharType="end"/>
            </w:r>
            <w:r w:rsidRPr="000A4491">
              <w:rPr>
                <w:rFonts w:ascii="Verdana" w:hAnsi="Verdana"/>
                <w:sz w:val="20"/>
              </w:rPr>
              <w:t xml:space="preserve"> with interconnecting cabling from many individual devices, such as computer workstations</w:t>
            </w:r>
            <w:r w:rsidRPr="000A4491">
              <w:rPr>
                <w:rFonts w:ascii="Verdana" w:hAnsi="Verdana"/>
                <w:sz w:val="20"/>
              </w:rPr>
              <w:fldChar w:fldCharType="begin"/>
            </w:r>
            <w:r w:rsidRPr="000A4491">
              <w:rPr>
                <w:rFonts w:ascii="Verdana" w:hAnsi="Verdana"/>
                <w:sz w:val="20"/>
              </w:rPr>
              <w:instrText>xe "Workstations"</w:instrText>
            </w:r>
            <w:r w:rsidRPr="000A4491">
              <w:rPr>
                <w:rFonts w:ascii="Verdana" w:hAnsi="Verdana"/>
                <w:sz w:val="20"/>
              </w:rPr>
              <w:fldChar w:fldCharType="end"/>
            </w:r>
            <w:r w:rsidRPr="000A4491">
              <w:rPr>
                <w:rFonts w:ascii="Verdana" w:hAnsi="Verdana"/>
                <w:sz w:val="20"/>
              </w:rPr>
              <w:t>, printers, servers</w:t>
            </w:r>
            <w:r w:rsidRPr="000A4491">
              <w:rPr>
                <w:rFonts w:ascii="Verdana" w:hAnsi="Verdana"/>
                <w:sz w:val="20"/>
              </w:rPr>
              <w:fldChar w:fldCharType="begin"/>
            </w:r>
            <w:r w:rsidRPr="000A4491">
              <w:rPr>
                <w:rFonts w:ascii="Verdana" w:hAnsi="Verdana"/>
                <w:sz w:val="20"/>
              </w:rPr>
              <w:instrText>xe "S</w:instrText>
            </w:r>
            <w:r w:rsidRPr="000A4491">
              <w:rPr>
                <w:rStyle w:val="Hyperlink"/>
                <w:rFonts w:ascii="Verdana" w:hAnsi="Verdana"/>
                <w:bCs/>
                <w:sz w:val="20"/>
              </w:rPr>
              <w:instrText>ervers</w:instrText>
            </w:r>
            <w:r w:rsidRPr="000A4491">
              <w:rPr>
                <w:rFonts w:ascii="Verdana" w:hAnsi="Verdana"/>
                <w:sz w:val="20"/>
              </w:rPr>
              <w:instrText>"</w:instrText>
            </w:r>
            <w:r w:rsidRPr="000A4491">
              <w:rPr>
                <w:rFonts w:ascii="Verdana" w:hAnsi="Verdana"/>
                <w:sz w:val="20"/>
              </w:rPr>
              <w:fldChar w:fldCharType="end"/>
            </w:r>
            <w:r w:rsidRPr="000A4491">
              <w:rPr>
                <w:rFonts w:ascii="Verdana" w:hAnsi="Verdana"/>
                <w:sz w:val="20"/>
              </w:rPr>
              <w:t>, and other hubs.</w:t>
            </w:r>
          </w:p>
        </w:tc>
      </w:tr>
      <w:tr w:rsidR="00F935B1" w14:paraId="73A8EF81" w14:textId="77777777" w:rsidTr="0083602C">
        <w:trPr>
          <w:tblCellSpacing w:w="15" w:type="dxa"/>
        </w:trPr>
        <w:tc>
          <w:tcPr>
            <w:tcW w:w="3656" w:type="dxa"/>
          </w:tcPr>
          <w:p w14:paraId="7727396B" w14:textId="77777777" w:rsidR="00F935B1" w:rsidRPr="000A4491" w:rsidRDefault="00F935B1" w:rsidP="0083602C">
            <w:pPr>
              <w:rPr>
                <w:rFonts w:ascii="Verdana" w:hAnsi="Verdana"/>
                <w:sz w:val="20"/>
              </w:rPr>
            </w:pPr>
            <w:r w:rsidRPr="000A4491">
              <w:rPr>
                <w:rFonts w:ascii="Verdana" w:hAnsi="Verdana"/>
                <w:sz w:val="20"/>
              </w:rPr>
              <w:t>Inside</w:t>
            </w:r>
            <w:r w:rsidRPr="000A4491">
              <w:rPr>
                <w:rFonts w:ascii="Verdana" w:hAnsi="Verdana"/>
                <w:sz w:val="20"/>
              </w:rPr>
              <w:fldChar w:fldCharType="begin"/>
            </w:r>
            <w:r w:rsidRPr="000A4491">
              <w:rPr>
                <w:rFonts w:ascii="Verdana" w:hAnsi="Verdana"/>
                <w:sz w:val="20"/>
              </w:rPr>
              <w:instrText>xe "Inside Wire Maintenance Plan"</w:instrText>
            </w:r>
            <w:r w:rsidRPr="000A4491">
              <w:rPr>
                <w:rFonts w:ascii="Verdana" w:hAnsi="Verdana"/>
                <w:sz w:val="20"/>
              </w:rPr>
              <w:fldChar w:fldCharType="end"/>
            </w:r>
            <w:r w:rsidRPr="000A4491">
              <w:rPr>
                <w:rFonts w:ascii="Verdana" w:hAnsi="Verdana"/>
                <w:sz w:val="20"/>
              </w:rPr>
              <w:t xml:space="preserve"> Wire</w:t>
            </w:r>
            <w:r w:rsidRPr="000A4491">
              <w:rPr>
                <w:rFonts w:ascii="Verdana" w:hAnsi="Verdana"/>
                <w:sz w:val="20"/>
              </w:rPr>
              <w:fldChar w:fldCharType="begin"/>
            </w:r>
            <w:r w:rsidRPr="000A4491">
              <w:rPr>
                <w:rFonts w:ascii="Verdana" w:hAnsi="Verdana"/>
                <w:sz w:val="20"/>
              </w:rPr>
              <w:instrText>xe "Wire"</w:instrText>
            </w:r>
            <w:r w:rsidRPr="000A4491">
              <w:rPr>
                <w:rFonts w:ascii="Verdana" w:hAnsi="Verdana"/>
                <w:sz w:val="20"/>
              </w:rPr>
              <w:fldChar w:fldCharType="end"/>
            </w:r>
            <w:r w:rsidRPr="000A4491">
              <w:rPr>
                <w:rFonts w:ascii="Verdana" w:hAnsi="Verdana"/>
                <w:sz w:val="20"/>
              </w:rPr>
              <w:t xml:space="preserve"> Maintenance</w:t>
            </w:r>
            <w:r w:rsidRPr="000A4491">
              <w:rPr>
                <w:rFonts w:ascii="Verdana" w:hAnsi="Verdana"/>
                <w:sz w:val="20"/>
              </w:rPr>
              <w:fldChar w:fldCharType="begin"/>
            </w:r>
            <w:r w:rsidRPr="000A4491">
              <w:rPr>
                <w:rFonts w:ascii="Verdana" w:hAnsi="Verdana"/>
                <w:sz w:val="20"/>
              </w:rPr>
              <w:instrText>xe "</w:instrText>
            </w:r>
            <w:r w:rsidRPr="000A4491">
              <w:rPr>
                <w:rFonts w:ascii="Verdana" w:hAnsi="Verdana"/>
                <w:bCs/>
                <w:sz w:val="20"/>
              </w:rPr>
              <w:instrText>Maintenance</w:instrText>
            </w:r>
            <w:r w:rsidRPr="000A4491">
              <w:rPr>
                <w:rFonts w:ascii="Verdana" w:hAnsi="Verdana"/>
                <w:sz w:val="20"/>
              </w:rPr>
              <w:instrText>"</w:instrText>
            </w:r>
            <w:r w:rsidRPr="000A4491">
              <w:rPr>
                <w:rFonts w:ascii="Verdana" w:hAnsi="Verdana"/>
                <w:sz w:val="20"/>
              </w:rPr>
              <w:fldChar w:fldCharType="end"/>
            </w:r>
            <w:r w:rsidRPr="000A4491">
              <w:rPr>
                <w:rFonts w:ascii="Verdana" w:hAnsi="Verdana"/>
                <w:sz w:val="20"/>
              </w:rPr>
              <w:t xml:space="preserve"> Plan</w:t>
            </w:r>
          </w:p>
          <w:p w14:paraId="36D2BC20" w14:textId="77777777" w:rsidR="00F935B1" w:rsidRPr="000A4491" w:rsidRDefault="00F935B1" w:rsidP="0083602C">
            <w:pPr>
              <w:rPr>
                <w:rFonts w:ascii="Verdana" w:hAnsi="Verdana"/>
                <w:sz w:val="20"/>
              </w:rPr>
            </w:pPr>
            <w:r w:rsidRPr="000A4491">
              <w:rPr>
                <w:rFonts w:ascii="Verdana" w:hAnsi="Verdana"/>
                <w:sz w:val="20"/>
              </w:rPr>
              <w:t>(</w:t>
            </w:r>
            <w:hyperlink w:anchor="aattTelephoneComponents" w:history="1">
              <w:r w:rsidRPr="000A4491">
                <w:rPr>
                  <w:rStyle w:val="Hyperlink"/>
                  <w:rFonts w:ascii="Verdana" w:hAnsi="Verdana"/>
                  <w:sz w:val="20"/>
                </w:rPr>
                <w:t>Telephone Service</w:t>
              </w:r>
              <w:r w:rsidRPr="000A4491">
                <w:rPr>
                  <w:rFonts w:ascii="Verdana" w:hAnsi="Verdana"/>
                  <w:sz w:val="20"/>
                </w:rPr>
                <w:fldChar w:fldCharType="begin"/>
              </w:r>
              <w:r w:rsidRPr="000A4491">
                <w:rPr>
                  <w:rFonts w:ascii="Verdana" w:hAnsi="Verdana"/>
                  <w:sz w:val="20"/>
                </w:rPr>
                <w:instrText>xe "Telephone Service"</w:instrText>
              </w:r>
              <w:r w:rsidRPr="000A4491">
                <w:rPr>
                  <w:rFonts w:ascii="Verdana" w:hAnsi="Verdana"/>
                  <w:sz w:val="20"/>
                </w:rPr>
                <w:fldChar w:fldCharType="end"/>
              </w:r>
            </w:hyperlink>
            <w:r w:rsidRPr="000A4491">
              <w:rPr>
                <w:rFonts w:ascii="Verdana" w:hAnsi="Verdana"/>
                <w:sz w:val="20"/>
              </w:rPr>
              <w:t>)</w:t>
            </w:r>
          </w:p>
        </w:tc>
        <w:tc>
          <w:tcPr>
            <w:tcW w:w="5441" w:type="dxa"/>
          </w:tcPr>
          <w:p w14:paraId="4D87F403" w14:textId="77777777" w:rsidR="00F935B1" w:rsidRPr="000A4491" w:rsidRDefault="00F935B1" w:rsidP="0083602C">
            <w:pPr>
              <w:pStyle w:val="NormalWeb"/>
              <w:spacing w:before="0" w:beforeAutospacing="0" w:after="0"/>
              <w:rPr>
                <w:rFonts w:ascii="Verdana" w:hAnsi="Verdana"/>
                <w:sz w:val="20"/>
              </w:rPr>
            </w:pPr>
            <w:r w:rsidRPr="000A4491">
              <w:rPr>
                <w:rFonts w:ascii="Verdana" w:hAnsi="Verdana"/>
                <w:sz w:val="20"/>
              </w:rPr>
              <w:t>An Inside</w:t>
            </w:r>
            <w:r w:rsidRPr="000A4491">
              <w:rPr>
                <w:rFonts w:ascii="Verdana" w:hAnsi="Verdana"/>
                <w:sz w:val="20"/>
              </w:rPr>
              <w:fldChar w:fldCharType="begin"/>
            </w:r>
            <w:r w:rsidRPr="000A4491">
              <w:rPr>
                <w:rFonts w:ascii="Verdana" w:hAnsi="Verdana"/>
                <w:sz w:val="20"/>
              </w:rPr>
              <w:instrText>xe "Inside Wire Maintenance Plan"</w:instrText>
            </w:r>
            <w:r w:rsidRPr="000A4491">
              <w:rPr>
                <w:rFonts w:ascii="Verdana" w:hAnsi="Verdana"/>
                <w:sz w:val="20"/>
              </w:rPr>
              <w:fldChar w:fldCharType="end"/>
            </w:r>
            <w:r w:rsidRPr="000A4491">
              <w:rPr>
                <w:rFonts w:ascii="Verdana" w:hAnsi="Verdana"/>
                <w:sz w:val="20"/>
              </w:rPr>
              <w:t xml:space="preserve"> Wire Maintenance Plan is a monthly recurring charge that provides for the repair, replacement, and maintenance</w:t>
            </w:r>
            <w:r w:rsidRPr="000A4491">
              <w:rPr>
                <w:rFonts w:ascii="Verdana" w:hAnsi="Verdana"/>
                <w:sz w:val="20"/>
              </w:rPr>
              <w:fldChar w:fldCharType="begin"/>
            </w:r>
            <w:r w:rsidRPr="000A4491">
              <w:rPr>
                <w:rFonts w:ascii="Verdana" w:hAnsi="Verdana"/>
                <w:sz w:val="20"/>
              </w:rPr>
              <w:instrText>xe "Maintenance"</w:instrText>
            </w:r>
            <w:r w:rsidRPr="000A4491">
              <w:rPr>
                <w:rFonts w:ascii="Verdana" w:hAnsi="Verdana"/>
                <w:sz w:val="20"/>
              </w:rPr>
              <w:fldChar w:fldCharType="end"/>
            </w:r>
            <w:r w:rsidRPr="000A4491">
              <w:rPr>
                <w:rFonts w:ascii="Verdana" w:hAnsi="Verdana"/>
                <w:sz w:val="20"/>
              </w:rPr>
              <w:t xml:space="preserve"> of customer owned inside-premise wire.  Cost of the service is sometimes included in regular monthly bills for local and long distance</w:t>
            </w:r>
            <w:r w:rsidRPr="000A4491">
              <w:rPr>
                <w:rFonts w:ascii="Verdana" w:hAnsi="Verdana"/>
                <w:sz w:val="20"/>
              </w:rPr>
              <w:fldChar w:fldCharType="begin"/>
            </w:r>
            <w:r w:rsidRPr="000A4491">
              <w:rPr>
                <w:rFonts w:ascii="Verdana" w:hAnsi="Verdana"/>
                <w:sz w:val="20"/>
              </w:rPr>
              <w:instrText>xe "Long Distance"</w:instrText>
            </w:r>
            <w:r w:rsidRPr="000A4491">
              <w:rPr>
                <w:rFonts w:ascii="Verdana" w:hAnsi="Verdana"/>
                <w:sz w:val="20"/>
              </w:rPr>
              <w:fldChar w:fldCharType="end"/>
            </w:r>
            <w:r w:rsidRPr="000A4491">
              <w:rPr>
                <w:rFonts w:ascii="Verdana" w:hAnsi="Verdana"/>
                <w:sz w:val="20"/>
              </w:rPr>
              <w:t xml:space="preserve"> telephone services.</w:t>
            </w:r>
          </w:p>
        </w:tc>
      </w:tr>
      <w:tr w:rsidR="00F935B1" w14:paraId="5B4730E2" w14:textId="77777777" w:rsidTr="0083602C">
        <w:trPr>
          <w:tblCellSpacing w:w="15" w:type="dxa"/>
        </w:trPr>
        <w:tc>
          <w:tcPr>
            <w:tcW w:w="3656" w:type="dxa"/>
          </w:tcPr>
          <w:p w14:paraId="32F90E97" w14:textId="77777777" w:rsidR="00F935B1" w:rsidRPr="000A4491" w:rsidRDefault="00F935B1" w:rsidP="0083602C">
            <w:pPr>
              <w:rPr>
                <w:rFonts w:ascii="Verdana" w:hAnsi="Verdana"/>
                <w:sz w:val="20"/>
              </w:rPr>
            </w:pPr>
            <w:r w:rsidRPr="000A4491">
              <w:rPr>
                <w:rFonts w:ascii="Verdana" w:hAnsi="Verdana"/>
                <w:sz w:val="20"/>
              </w:rPr>
              <w:t>Integrated Services Digital Network</w:t>
            </w:r>
            <w:r w:rsidRPr="000A4491">
              <w:rPr>
                <w:rFonts w:ascii="Verdana" w:hAnsi="Verdana"/>
                <w:sz w:val="20"/>
              </w:rPr>
              <w:fldChar w:fldCharType="begin"/>
            </w:r>
            <w:r w:rsidRPr="000A4491">
              <w:rPr>
                <w:rFonts w:ascii="Verdana" w:hAnsi="Verdana"/>
                <w:sz w:val="20"/>
              </w:rPr>
              <w:instrText>xe "</w:instrText>
            </w:r>
            <w:r w:rsidRPr="000A4491">
              <w:rPr>
                <w:rStyle w:val="Hyperlink"/>
                <w:rFonts w:ascii="Verdana" w:hAnsi="Verdana"/>
                <w:sz w:val="20"/>
              </w:rPr>
              <w:instrText>Integrated Services Digital Network</w:instrText>
            </w:r>
            <w:r w:rsidRPr="000A4491">
              <w:rPr>
                <w:rFonts w:ascii="Verdana" w:hAnsi="Verdana"/>
                <w:sz w:val="20"/>
              </w:rPr>
              <w:instrText>"</w:instrText>
            </w:r>
            <w:r w:rsidRPr="000A4491">
              <w:rPr>
                <w:rFonts w:ascii="Verdana" w:hAnsi="Verdana"/>
                <w:sz w:val="20"/>
              </w:rPr>
              <w:fldChar w:fldCharType="end"/>
            </w:r>
            <w:r w:rsidRPr="000A4491">
              <w:rPr>
                <w:rFonts w:ascii="Verdana" w:hAnsi="Verdana"/>
                <w:sz w:val="20"/>
              </w:rPr>
              <w:t xml:space="preserve"> </w:t>
            </w:r>
            <w:r w:rsidRPr="000A4491">
              <w:rPr>
                <w:rFonts w:ascii="Verdana" w:hAnsi="Verdana"/>
                <w:sz w:val="20"/>
              </w:rPr>
              <w:fldChar w:fldCharType="begin"/>
            </w:r>
            <w:r w:rsidRPr="000A4491">
              <w:rPr>
                <w:rFonts w:ascii="Verdana" w:hAnsi="Verdana"/>
                <w:sz w:val="20"/>
              </w:rPr>
              <w:instrText>xe "ISDN"</w:instrText>
            </w:r>
            <w:r w:rsidRPr="000A4491">
              <w:rPr>
                <w:rFonts w:ascii="Verdana" w:hAnsi="Verdana"/>
                <w:sz w:val="20"/>
              </w:rPr>
              <w:fldChar w:fldCharType="end"/>
            </w:r>
          </w:p>
          <w:p w14:paraId="17B191E5" w14:textId="77777777" w:rsidR="00F935B1" w:rsidRPr="000A4491" w:rsidRDefault="00F935B1" w:rsidP="0083602C">
            <w:pPr>
              <w:rPr>
                <w:rFonts w:ascii="Verdana" w:hAnsi="Verdana"/>
                <w:sz w:val="20"/>
              </w:rPr>
            </w:pPr>
            <w:r w:rsidRPr="000A4491">
              <w:rPr>
                <w:rFonts w:ascii="Verdana" w:hAnsi="Verdana"/>
                <w:sz w:val="20"/>
              </w:rPr>
              <w:t>(</w:t>
            </w:r>
            <w:hyperlink w:anchor="aattDigitalTransmissionServices" w:history="1">
              <w:r w:rsidRPr="000A4491">
                <w:rPr>
                  <w:rStyle w:val="Hyperlink"/>
                  <w:rFonts w:ascii="Verdana" w:hAnsi="Verdana"/>
                  <w:sz w:val="20"/>
                </w:rPr>
                <w:t>Digital Transmission Services</w:t>
              </w:r>
            </w:hyperlink>
            <w:r w:rsidRPr="000A4491">
              <w:rPr>
                <w:rFonts w:ascii="Verdana" w:hAnsi="Verdana"/>
                <w:sz w:val="20"/>
              </w:rPr>
              <w:t>)</w:t>
            </w:r>
          </w:p>
        </w:tc>
        <w:tc>
          <w:tcPr>
            <w:tcW w:w="5441" w:type="dxa"/>
          </w:tcPr>
          <w:p w14:paraId="1236CC45" w14:textId="77777777" w:rsidR="00F935B1" w:rsidRPr="000A4491" w:rsidRDefault="00F935B1" w:rsidP="0083602C">
            <w:pPr>
              <w:rPr>
                <w:rFonts w:ascii="Verdana" w:hAnsi="Verdana" w:cs="Arial"/>
                <w:sz w:val="20"/>
              </w:rPr>
            </w:pPr>
            <w:r w:rsidRPr="000A4491">
              <w:rPr>
                <w:rFonts w:ascii="Verdana" w:hAnsi="Verdana"/>
                <w:sz w:val="20"/>
              </w:rPr>
              <w:t>Integrated Services Digital Network</w:t>
            </w:r>
            <w:r w:rsidRPr="000A4491">
              <w:rPr>
                <w:rFonts w:ascii="Verdana" w:hAnsi="Verdana"/>
                <w:sz w:val="20"/>
              </w:rPr>
              <w:fldChar w:fldCharType="begin"/>
            </w:r>
            <w:r w:rsidRPr="000A4491">
              <w:rPr>
                <w:rFonts w:ascii="Verdana" w:hAnsi="Verdana"/>
                <w:sz w:val="20"/>
              </w:rPr>
              <w:instrText>xe "</w:instrText>
            </w:r>
            <w:r w:rsidRPr="000A4491">
              <w:rPr>
                <w:rStyle w:val="Hyperlink"/>
                <w:rFonts w:ascii="Verdana" w:hAnsi="Verdana"/>
                <w:sz w:val="20"/>
              </w:rPr>
              <w:instrText>Integrated Services Digital Network</w:instrText>
            </w:r>
            <w:r w:rsidRPr="000A4491">
              <w:rPr>
                <w:rFonts w:ascii="Verdana" w:hAnsi="Verdana"/>
                <w:sz w:val="20"/>
              </w:rPr>
              <w:instrText>"</w:instrText>
            </w:r>
            <w:r w:rsidRPr="000A4491">
              <w:rPr>
                <w:rFonts w:ascii="Verdana" w:hAnsi="Verdana"/>
                <w:sz w:val="20"/>
              </w:rPr>
              <w:fldChar w:fldCharType="end"/>
            </w:r>
            <w:r w:rsidRPr="000A4491">
              <w:rPr>
                <w:rFonts w:ascii="Verdana" w:hAnsi="Verdana"/>
                <w:sz w:val="20"/>
              </w:rPr>
              <w:t xml:space="preserve"> (ISDN</w:t>
            </w:r>
            <w:r w:rsidRPr="000A4491">
              <w:rPr>
                <w:rFonts w:ascii="Verdana" w:hAnsi="Verdana"/>
                <w:sz w:val="20"/>
              </w:rPr>
              <w:fldChar w:fldCharType="begin"/>
            </w:r>
            <w:r w:rsidRPr="000A4491">
              <w:rPr>
                <w:rFonts w:ascii="Verdana" w:hAnsi="Verdana"/>
                <w:sz w:val="20"/>
              </w:rPr>
              <w:instrText>xe "ISDN"</w:instrText>
            </w:r>
            <w:r w:rsidRPr="000A4491">
              <w:rPr>
                <w:rFonts w:ascii="Verdana" w:hAnsi="Verdana"/>
                <w:sz w:val="20"/>
              </w:rPr>
              <w:fldChar w:fldCharType="end"/>
            </w:r>
            <w:r w:rsidRPr="000A4491">
              <w:rPr>
                <w:rFonts w:ascii="Verdana" w:hAnsi="Verdana"/>
                <w:sz w:val="20"/>
              </w:rPr>
              <w:t xml:space="preserve">) is a type of Digital Transmission Service that uses traditional phone lines to </w:t>
            </w:r>
            <w:r w:rsidRPr="000A4491">
              <w:rPr>
                <w:rFonts w:ascii="Verdana" w:hAnsi="Verdana" w:cs="Arial"/>
                <w:sz w:val="20"/>
              </w:rPr>
              <w:t>transmit digital voice and data over telephone lines.  There are two types of service.  Basic Rate Interface (BRI</w:t>
            </w:r>
            <w:r w:rsidRPr="000A4491">
              <w:rPr>
                <w:rFonts w:ascii="Verdana" w:hAnsi="Verdana"/>
                <w:sz w:val="20"/>
              </w:rPr>
              <w:fldChar w:fldCharType="begin"/>
            </w:r>
            <w:r w:rsidRPr="000A4491">
              <w:rPr>
                <w:rFonts w:ascii="Verdana" w:hAnsi="Verdana"/>
                <w:sz w:val="20"/>
              </w:rPr>
              <w:instrText>xe "BRI"</w:instrText>
            </w:r>
            <w:r w:rsidRPr="000A4491">
              <w:rPr>
                <w:rFonts w:ascii="Verdana" w:hAnsi="Verdana"/>
                <w:sz w:val="20"/>
              </w:rPr>
              <w:fldChar w:fldCharType="end"/>
            </w:r>
            <w:r w:rsidRPr="000A4491">
              <w:rPr>
                <w:rFonts w:ascii="Verdana" w:hAnsi="Verdana" w:cs="Arial"/>
                <w:sz w:val="20"/>
              </w:rPr>
              <w:t>) provides a total bandwidth of 144 kilobits per second.  Primary Rate Interface (PRI</w:t>
            </w:r>
            <w:r w:rsidRPr="000A4491">
              <w:rPr>
                <w:rFonts w:ascii="Verdana" w:hAnsi="Verdana"/>
                <w:sz w:val="20"/>
              </w:rPr>
              <w:fldChar w:fldCharType="begin"/>
            </w:r>
            <w:r w:rsidRPr="000A4491">
              <w:rPr>
                <w:rFonts w:ascii="Verdana" w:hAnsi="Verdana"/>
                <w:sz w:val="20"/>
              </w:rPr>
              <w:instrText>xe "PRI"</w:instrText>
            </w:r>
            <w:r w:rsidRPr="000A4491">
              <w:rPr>
                <w:rFonts w:ascii="Verdana" w:hAnsi="Verdana"/>
                <w:sz w:val="20"/>
              </w:rPr>
              <w:fldChar w:fldCharType="end"/>
            </w:r>
            <w:r w:rsidRPr="000A4491">
              <w:rPr>
                <w:rFonts w:ascii="Verdana" w:hAnsi="Verdana" w:cs="Arial"/>
                <w:sz w:val="20"/>
              </w:rPr>
              <w:t>) provides a total bandwidth of 1.544 megabits per second.</w:t>
            </w:r>
          </w:p>
        </w:tc>
      </w:tr>
      <w:tr w:rsidR="00F935B1" w14:paraId="7780CC19" w14:textId="77777777" w:rsidTr="0083602C">
        <w:trPr>
          <w:tblCellSpacing w:w="15" w:type="dxa"/>
        </w:trPr>
        <w:tc>
          <w:tcPr>
            <w:tcW w:w="3656" w:type="dxa"/>
          </w:tcPr>
          <w:p w14:paraId="552B2252" w14:textId="77777777" w:rsidR="00F935B1" w:rsidRPr="000A4491" w:rsidRDefault="00F935B1" w:rsidP="0083602C">
            <w:pPr>
              <w:rPr>
                <w:rFonts w:ascii="Verdana" w:hAnsi="Verdana"/>
                <w:sz w:val="20"/>
              </w:rPr>
            </w:pPr>
            <w:r w:rsidRPr="000A4491">
              <w:rPr>
                <w:rFonts w:ascii="Verdana" w:hAnsi="Verdana"/>
                <w:sz w:val="20"/>
              </w:rPr>
              <w:t>Interactive Television</w:t>
            </w:r>
            <w:r w:rsidRPr="000A4491">
              <w:rPr>
                <w:rFonts w:ascii="Verdana" w:hAnsi="Verdana"/>
                <w:sz w:val="20"/>
              </w:rPr>
              <w:fldChar w:fldCharType="begin"/>
            </w:r>
            <w:r w:rsidRPr="000A4491">
              <w:rPr>
                <w:rFonts w:ascii="Verdana" w:hAnsi="Verdana"/>
                <w:sz w:val="20"/>
              </w:rPr>
              <w:instrText>xe "Interactive Television"</w:instrText>
            </w:r>
            <w:r w:rsidRPr="000A4491">
              <w:rPr>
                <w:rFonts w:ascii="Verdana" w:hAnsi="Verdana"/>
                <w:sz w:val="20"/>
              </w:rPr>
              <w:fldChar w:fldCharType="end"/>
            </w:r>
            <w:r w:rsidRPr="000A4491">
              <w:rPr>
                <w:rFonts w:ascii="Verdana" w:hAnsi="Verdana"/>
                <w:sz w:val="20"/>
              </w:rPr>
              <w:fldChar w:fldCharType="begin"/>
            </w:r>
            <w:r w:rsidRPr="000A4491">
              <w:rPr>
                <w:rFonts w:ascii="Verdana" w:hAnsi="Verdana"/>
                <w:sz w:val="20"/>
              </w:rPr>
              <w:instrText>xe "ITV"</w:instrText>
            </w:r>
            <w:r w:rsidRPr="000A4491">
              <w:rPr>
                <w:rFonts w:ascii="Verdana" w:hAnsi="Verdana"/>
                <w:sz w:val="20"/>
              </w:rPr>
              <w:fldChar w:fldCharType="end"/>
            </w:r>
          </w:p>
          <w:p w14:paraId="72D083EB" w14:textId="77777777" w:rsidR="00F935B1" w:rsidRPr="000A4491" w:rsidRDefault="00F935B1" w:rsidP="0083602C">
            <w:pPr>
              <w:rPr>
                <w:rFonts w:ascii="Verdana" w:hAnsi="Verdana"/>
                <w:sz w:val="20"/>
              </w:rPr>
            </w:pPr>
            <w:r w:rsidRPr="000A4491">
              <w:rPr>
                <w:rFonts w:ascii="Verdana" w:hAnsi="Verdana"/>
                <w:sz w:val="20"/>
              </w:rPr>
              <w:lastRenderedPageBreak/>
              <w:t>(</w:t>
            </w:r>
            <w:hyperlink w:anchor="aattDigitalTransmissionServices" w:history="1">
              <w:r w:rsidRPr="000A4491">
                <w:rPr>
                  <w:rStyle w:val="Hyperlink"/>
                  <w:rFonts w:ascii="Verdana" w:hAnsi="Verdana"/>
                  <w:sz w:val="20"/>
                </w:rPr>
                <w:t>Digital Transmission Services</w:t>
              </w:r>
            </w:hyperlink>
            <w:r w:rsidRPr="000A4491">
              <w:rPr>
                <w:rFonts w:ascii="Verdana" w:hAnsi="Verdana"/>
                <w:sz w:val="20"/>
              </w:rPr>
              <w:t>)</w:t>
            </w:r>
          </w:p>
        </w:tc>
        <w:tc>
          <w:tcPr>
            <w:tcW w:w="5441" w:type="dxa"/>
          </w:tcPr>
          <w:p w14:paraId="4461D04C" w14:textId="77777777" w:rsidR="00F935B1" w:rsidRPr="000A4491" w:rsidRDefault="00F935B1" w:rsidP="0083602C">
            <w:pPr>
              <w:rPr>
                <w:rFonts w:ascii="Verdana" w:hAnsi="Verdana"/>
                <w:sz w:val="20"/>
              </w:rPr>
            </w:pPr>
            <w:r w:rsidRPr="000A4491">
              <w:rPr>
                <w:rFonts w:ascii="Verdana" w:hAnsi="Verdana"/>
                <w:sz w:val="20"/>
              </w:rPr>
              <w:lastRenderedPageBreak/>
              <w:t>Interactive TV</w:t>
            </w:r>
            <w:r w:rsidRPr="000A4491">
              <w:rPr>
                <w:rFonts w:ascii="Verdana" w:hAnsi="Verdana"/>
                <w:sz w:val="20"/>
              </w:rPr>
              <w:fldChar w:fldCharType="begin"/>
            </w:r>
            <w:r w:rsidRPr="000A4491">
              <w:rPr>
                <w:rFonts w:ascii="Verdana" w:hAnsi="Verdana"/>
                <w:sz w:val="20"/>
              </w:rPr>
              <w:instrText>xe "Television"</w:instrText>
            </w:r>
            <w:r w:rsidRPr="000A4491">
              <w:rPr>
                <w:rFonts w:ascii="Verdana" w:hAnsi="Verdana"/>
                <w:sz w:val="20"/>
              </w:rPr>
              <w:fldChar w:fldCharType="end"/>
            </w:r>
            <w:r w:rsidRPr="000A4491">
              <w:rPr>
                <w:rFonts w:ascii="Verdana" w:hAnsi="Verdana"/>
                <w:sz w:val="20"/>
              </w:rPr>
              <w:t xml:space="preserve"> (ITV</w:t>
            </w:r>
            <w:r w:rsidRPr="000A4491">
              <w:rPr>
                <w:rFonts w:ascii="Verdana" w:hAnsi="Verdana"/>
                <w:sz w:val="20"/>
              </w:rPr>
              <w:fldChar w:fldCharType="begin"/>
            </w:r>
            <w:r w:rsidRPr="000A4491">
              <w:rPr>
                <w:rFonts w:ascii="Verdana" w:hAnsi="Verdana"/>
                <w:sz w:val="20"/>
              </w:rPr>
              <w:instrText>xe "ITV"</w:instrText>
            </w:r>
            <w:r w:rsidRPr="000A4491">
              <w:rPr>
                <w:rFonts w:ascii="Verdana" w:hAnsi="Verdana"/>
                <w:sz w:val="20"/>
              </w:rPr>
              <w:fldChar w:fldCharType="end"/>
            </w:r>
            <w:r w:rsidRPr="000A4491">
              <w:rPr>
                <w:rFonts w:ascii="Verdana" w:hAnsi="Verdana"/>
                <w:sz w:val="20"/>
              </w:rPr>
              <w:t xml:space="preserve">) provides a means for a </w:t>
            </w:r>
            <w:r w:rsidRPr="000A4491">
              <w:rPr>
                <w:rFonts w:ascii="Verdana" w:hAnsi="Verdana"/>
                <w:sz w:val="20"/>
              </w:rPr>
              <w:lastRenderedPageBreak/>
              <w:t>viewer to interact with the television</w:t>
            </w:r>
            <w:r w:rsidRPr="000A4491">
              <w:rPr>
                <w:rFonts w:ascii="Verdana" w:hAnsi="Verdana"/>
                <w:sz w:val="20"/>
              </w:rPr>
              <w:fldChar w:fldCharType="begin"/>
            </w:r>
            <w:r w:rsidRPr="000A4491">
              <w:rPr>
                <w:rFonts w:ascii="Verdana" w:hAnsi="Verdana"/>
                <w:sz w:val="20"/>
              </w:rPr>
              <w:instrText>xe "Television"</w:instrText>
            </w:r>
            <w:r w:rsidRPr="000A4491">
              <w:rPr>
                <w:rFonts w:ascii="Verdana" w:hAnsi="Verdana"/>
                <w:sz w:val="20"/>
              </w:rPr>
              <w:fldChar w:fldCharType="end"/>
            </w:r>
            <w:r w:rsidRPr="000A4491">
              <w:rPr>
                <w:rFonts w:ascii="Verdana" w:hAnsi="Verdana"/>
                <w:sz w:val="20"/>
              </w:rPr>
              <w:t xml:space="preserve"> set in ways other than controlling the channels,  volume, and/or handling videotapes.  In an educational setting, such as in a school, ITV provides a means for teachers and students who are remotely located in different places to conduct a class and to interact with each other.  ITV also requires a special “set-top box” to be added to the existing television set. </w:t>
            </w:r>
          </w:p>
        </w:tc>
      </w:tr>
      <w:tr w:rsidR="00F935B1" w14:paraId="3BB629F1" w14:textId="77777777" w:rsidTr="0083602C">
        <w:trPr>
          <w:tblCellSpacing w:w="15" w:type="dxa"/>
        </w:trPr>
        <w:tc>
          <w:tcPr>
            <w:tcW w:w="3656" w:type="dxa"/>
          </w:tcPr>
          <w:p w14:paraId="2322C8C7" w14:textId="77777777" w:rsidR="00F935B1" w:rsidRPr="000A4491" w:rsidRDefault="00F935B1" w:rsidP="0083602C">
            <w:pPr>
              <w:rPr>
                <w:rFonts w:ascii="Verdana" w:hAnsi="Verdana"/>
                <w:sz w:val="20"/>
              </w:rPr>
            </w:pPr>
            <w:r w:rsidRPr="000A4491">
              <w:rPr>
                <w:rFonts w:ascii="Verdana" w:hAnsi="Verdana"/>
                <w:sz w:val="20"/>
              </w:rPr>
              <w:lastRenderedPageBreak/>
              <w:t>Interactive White Board</w:t>
            </w:r>
            <w:r w:rsidRPr="000A4491">
              <w:rPr>
                <w:rFonts w:ascii="Verdana" w:hAnsi="Verdana"/>
                <w:sz w:val="20"/>
              </w:rPr>
              <w:fldChar w:fldCharType="begin"/>
            </w:r>
            <w:r w:rsidRPr="000A4491">
              <w:rPr>
                <w:rFonts w:ascii="Verdana" w:hAnsi="Verdana"/>
                <w:sz w:val="20"/>
              </w:rPr>
              <w:instrText>xe "Interactive White Board"</w:instrText>
            </w:r>
            <w:r w:rsidRPr="000A4491">
              <w:rPr>
                <w:rFonts w:ascii="Verdana" w:hAnsi="Verdana"/>
                <w:sz w:val="20"/>
              </w:rPr>
              <w:fldChar w:fldCharType="end"/>
            </w:r>
          </w:p>
          <w:p w14:paraId="087D5123" w14:textId="77777777" w:rsidR="00F935B1" w:rsidRPr="000A4491" w:rsidRDefault="00F935B1" w:rsidP="0083602C">
            <w:pPr>
              <w:rPr>
                <w:rFonts w:ascii="Verdana" w:hAnsi="Verdana"/>
                <w:sz w:val="20"/>
              </w:rPr>
            </w:pPr>
            <w:r w:rsidRPr="000A4491">
              <w:rPr>
                <w:rFonts w:ascii="Verdana" w:hAnsi="Verdana"/>
                <w:sz w:val="20"/>
              </w:rPr>
              <w:t>(</w:t>
            </w:r>
            <w:hyperlink w:anchor="aaIneligibleComponents" w:history="1">
              <w:r w:rsidRPr="000A4491">
                <w:rPr>
                  <w:rStyle w:val="Hyperlink"/>
                  <w:rFonts w:ascii="Verdana" w:hAnsi="Verdana"/>
                  <w:sz w:val="20"/>
                </w:rPr>
                <w:t>Not Eligible for E-rate Funding as Internal Connections Components</w:t>
              </w:r>
            </w:hyperlink>
            <w:r w:rsidRPr="000A4491">
              <w:rPr>
                <w:rFonts w:ascii="Verdana" w:hAnsi="Verdana"/>
                <w:sz w:val="20"/>
              </w:rPr>
              <w:t>)</w:t>
            </w:r>
          </w:p>
        </w:tc>
        <w:tc>
          <w:tcPr>
            <w:tcW w:w="5441" w:type="dxa"/>
          </w:tcPr>
          <w:p w14:paraId="4A9E7332" w14:textId="77777777" w:rsidR="00F935B1" w:rsidRPr="000A4491" w:rsidRDefault="00F935B1" w:rsidP="0083602C">
            <w:pPr>
              <w:rPr>
                <w:rFonts w:ascii="Verdana" w:hAnsi="Verdana"/>
                <w:sz w:val="20"/>
              </w:rPr>
            </w:pPr>
            <w:r w:rsidRPr="000A4491">
              <w:rPr>
                <w:rFonts w:ascii="Verdana" w:hAnsi="Verdana"/>
                <w:sz w:val="20"/>
              </w:rPr>
              <w:t>An Interactive White Board is a device that allows for end-users to display information with a vast array of interactive features such as online annotation, the ability to control a personal computer, and distance learning</w:t>
            </w:r>
            <w:r w:rsidRPr="000A4491">
              <w:rPr>
                <w:rFonts w:ascii="Verdana" w:hAnsi="Verdana"/>
                <w:sz w:val="20"/>
              </w:rPr>
              <w:fldChar w:fldCharType="begin"/>
            </w:r>
            <w:r w:rsidRPr="000A4491">
              <w:rPr>
                <w:rFonts w:ascii="Verdana" w:hAnsi="Verdana"/>
                <w:sz w:val="20"/>
              </w:rPr>
              <w:instrText>xe "</w:instrText>
            </w:r>
            <w:r w:rsidRPr="000A4491">
              <w:rPr>
                <w:rFonts w:ascii="Verdana" w:hAnsi="Verdana"/>
                <w:bCs/>
                <w:sz w:val="20"/>
              </w:rPr>
              <w:instrText>Distance Learning</w:instrText>
            </w:r>
            <w:r w:rsidRPr="000A4491">
              <w:rPr>
                <w:rFonts w:ascii="Verdana" w:hAnsi="Verdana"/>
                <w:sz w:val="20"/>
              </w:rPr>
              <w:instrText>"</w:instrText>
            </w:r>
            <w:r w:rsidRPr="000A4491">
              <w:rPr>
                <w:rFonts w:ascii="Verdana" w:hAnsi="Verdana"/>
                <w:sz w:val="20"/>
              </w:rPr>
              <w:fldChar w:fldCharType="end"/>
            </w:r>
            <w:r w:rsidRPr="000A4491">
              <w:rPr>
                <w:rFonts w:ascii="Verdana" w:hAnsi="Verdana"/>
                <w:sz w:val="20"/>
              </w:rPr>
              <w:t>.</w:t>
            </w:r>
          </w:p>
        </w:tc>
      </w:tr>
      <w:tr w:rsidR="00F935B1" w14:paraId="444D5C39" w14:textId="77777777" w:rsidTr="0083602C">
        <w:trPr>
          <w:tblCellSpacing w:w="15" w:type="dxa"/>
        </w:trPr>
        <w:tc>
          <w:tcPr>
            <w:tcW w:w="3656" w:type="dxa"/>
          </w:tcPr>
          <w:p w14:paraId="5673E827" w14:textId="77777777" w:rsidR="00F935B1" w:rsidRPr="000A4491" w:rsidRDefault="00F935B1" w:rsidP="0083602C">
            <w:pPr>
              <w:rPr>
                <w:rFonts w:ascii="Verdana" w:hAnsi="Verdana"/>
                <w:sz w:val="20"/>
              </w:rPr>
            </w:pPr>
            <w:r w:rsidRPr="000A4491">
              <w:rPr>
                <w:rFonts w:ascii="Verdana" w:hAnsi="Verdana"/>
                <w:sz w:val="20"/>
              </w:rPr>
              <w:t>Intercom</w:t>
            </w:r>
            <w:r w:rsidRPr="000A4491">
              <w:rPr>
                <w:rFonts w:ascii="Verdana" w:hAnsi="Verdana"/>
                <w:sz w:val="20"/>
              </w:rPr>
              <w:fldChar w:fldCharType="begin"/>
            </w:r>
            <w:r w:rsidRPr="000A4491">
              <w:rPr>
                <w:rFonts w:ascii="Verdana" w:hAnsi="Verdana"/>
                <w:sz w:val="20"/>
              </w:rPr>
              <w:instrText>xe "Intercom"</w:instrText>
            </w:r>
            <w:r w:rsidRPr="000A4491">
              <w:rPr>
                <w:rFonts w:ascii="Verdana" w:hAnsi="Verdana"/>
                <w:sz w:val="20"/>
              </w:rPr>
              <w:fldChar w:fldCharType="end"/>
            </w:r>
            <w:r w:rsidRPr="000A4491">
              <w:rPr>
                <w:rFonts w:ascii="Verdana" w:hAnsi="Verdana"/>
                <w:sz w:val="20"/>
              </w:rPr>
              <w:t xml:space="preserve"> </w:t>
            </w:r>
            <w:r w:rsidRPr="000A4491">
              <w:rPr>
                <w:rFonts w:ascii="Verdana" w:hAnsi="Verdana"/>
                <w:sz w:val="20"/>
              </w:rPr>
              <w:br/>
              <w:t>(</w:t>
            </w:r>
            <w:hyperlink w:anchor="aaIneligibleComponents" w:history="1">
              <w:r w:rsidRPr="000A4491">
                <w:rPr>
                  <w:rStyle w:val="Hyperlink"/>
                  <w:rFonts w:ascii="Verdana" w:hAnsi="Verdana"/>
                  <w:sz w:val="20"/>
                </w:rPr>
                <w:t>Not Eligible for E-rate Funding as Internal Connections Components</w:t>
              </w:r>
            </w:hyperlink>
            <w:r w:rsidRPr="000A4491">
              <w:rPr>
                <w:rFonts w:ascii="Verdana" w:hAnsi="Verdana"/>
                <w:sz w:val="20"/>
              </w:rPr>
              <w:t>)</w:t>
            </w:r>
          </w:p>
        </w:tc>
        <w:tc>
          <w:tcPr>
            <w:tcW w:w="5441" w:type="dxa"/>
          </w:tcPr>
          <w:p w14:paraId="379E05B2" w14:textId="77777777" w:rsidR="00F935B1" w:rsidRPr="000A4491" w:rsidRDefault="00F935B1" w:rsidP="0083602C">
            <w:pPr>
              <w:pStyle w:val="NormalWeb"/>
              <w:spacing w:before="0" w:beforeAutospacing="0" w:after="0"/>
              <w:rPr>
                <w:rFonts w:ascii="Verdana" w:hAnsi="Verdana"/>
                <w:sz w:val="20"/>
              </w:rPr>
            </w:pPr>
            <w:r w:rsidRPr="000A4491">
              <w:rPr>
                <w:rFonts w:ascii="Verdana" w:hAnsi="Verdana"/>
                <w:sz w:val="20"/>
              </w:rPr>
              <w:t>An intercom</w:t>
            </w:r>
            <w:r w:rsidRPr="000A4491">
              <w:rPr>
                <w:rFonts w:ascii="Verdana" w:hAnsi="Verdana"/>
                <w:sz w:val="20"/>
              </w:rPr>
              <w:fldChar w:fldCharType="begin"/>
            </w:r>
            <w:r w:rsidRPr="000A4491">
              <w:rPr>
                <w:rFonts w:ascii="Verdana" w:hAnsi="Verdana"/>
                <w:sz w:val="20"/>
              </w:rPr>
              <w:instrText>xe "</w:instrText>
            </w:r>
            <w:r w:rsidRPr="000A4491">
              <w:rPr>
                <w:rStyle w:val="Hyperlink"/>
                <w:rFonts w:ascii="Verdana" w:hAnsi="Verdana"/>
                <w:bCs/>
                <w:sz w:val="20"/>
              </w:rPr>
              <w:instrText>Intercom</w:instrText>
            </w:r>
            <w:r w:rsidRPr="000A4491">
              <w:rPr>
                <w:rFonts w:ascii="Verdana" w:hAnsi="Verdana"/>
                <w:sz w:val="20"/>
              </w:rPr>
              <w:instrText>"</w:instrText>
            </w:r>
            <w:r w:rsidRPr="000A4491">
              <w:rPr>
                <w:rFonts w:ascii="Verdana" w:hAnsi="Verdana"/>
                <w:sz w:val="20"/>
              </w:rPr>
              <w:fldChar w:fldCharType="end"/>
            </w:r>
            <w:r w:rsidRPr="000A4491">
              <w:rPr>
                <w:rFonts w:ascii="Verdana" w:hAnsi="Verdana"/>
                <w:sz w:val="20"/>
              </w:rPr>
              <w:t xml:space="preserve"> is an internal communication system, originally consisting of multiple speaker/microphone devices connected into an amplifier system.  Currently, most intercoms are a part of telephone systems, although separate intercom systems continue to be used in many schools.</w:t>
            </w:r>
          </w:p>
        </w:tc>
      </w:tr>
      <w:tr w:rsidR="00F935B1" w14:paraId="71114189" w14:textId="77777777" w:rsidTr="0083602C">
        <w:trPr>
          <w:tblCellSpacing w:w="15" w:type="dxa"/>
        </w:trPr>
        <w:tc>
          <w:tcPr>
            <w:tcW w:w="3656" w:type="dxa"/>
          </w:tcPr>
          <w:p w14:paraId="66D7D963" w14:textId="77777777" w:rsidR="00F935B1" w:rsidRPr="000A4491" w:rsidRDefault="00F935B1" w:rsidP="0083602C">
            <w:pPr>
              <w:rPr>
                <w:rFonts w:ascii="Verdana" w:hAnsi="Verdana"/>
                <w:sz w:val="20"/>
              </w:rPr>
            </w:pPr>
            <w:r w:rsidRPr="000A4491">
              <w:rPr>
                <w:rFonts w:ascii="Verdana" w:hAnsi="Verdana"/>
                <w:sz w:val="20"/>
              </w:rPr>
              <w:t>Interconnected Voice over Internet Protocol</w:t>
            </w:r>
            <w:r w:rsidRPr="000A4491">
              <w:rPr>
                <w:rFonts w:ascii="Verdana" w:hAnsi="Verdana"/>
                <w:sz w:val="20"/>
              </w:rPr>
              <w:fldChar w:fldCharType="begin"/>
            </w:r>
            <w:r w:rsidRPr="000A4491">
              <w:rPr>
                <w:rFonts w:ascii="Verdana" w:hAnsi="Verdana"/>
                <w:sz w:val="20"/>
              </w:rPr>
              <w:instrText>xe "Interconnected Voice Over Internet Protocol"</w:instrText>
            </w:r>
            <w:r w:rsidRPr="000A4491">
              <w:rPr>
                <w:rFonts w:ascii="Verdana" w:hAnsi="Verdana"/>
                <w:sz w:val="20"/>
              </w:rPr>
              <w:fldChar w:fldCharType="end"/>
            </w:r>
            <w:r w:rsidRPr="000A4491">
              <w:rPr>
                <w:rFonts w:ascii="Verdana" w:hAnsi="Verdana"/>
                <w:sz w:val="20"/>
              </w:rPr>
              <w:t xml:space="preserve"> (</w:t>
            </w:r>
            <w:hyperlink w:anchor="InterconnectedVoIPDef" w:history="1">
              <w:r w:rsidRPr="000A4491">
                <w:rPr>
                  <w:rStyle w:val="Hyperlink"/>
                  <w:rFonts w:ascii="Verdana" w:hAnsi="Verdana"/>
                  <w:sz w:val="20"/>
                </w:rPr>
                <w:t>Interconnected VoIP</w:t>
              </w:r>
            </w:hyperlink>
            <w:r w:rsidRPr="000A4491">
              <w:rPr>
                <w:rFonts w:ascii="Verdana" w:hAnsi="Verdana"/>
                <w:sz w:val="20"/>
              </w:rPr>
              <w:fldChar w:fldCharType="begin"/>
            </w:r>
            <w:r w:rsidRPr="000A4491">
              <w:rPr>
                <w:rFonts w:ascii="Verdana" w:hAnsi="Verdana"/>
                <w:sz w:val="20"/>
              </w:rPr>
              <w:instrText>xe "Interconnected Voice Over Internet Protocol"</w:instrText>
            </w:r>
            <w:r w:rsidRPr="000A4491">
              <w:rPr>
                <w:rFonts w:ascii="Verdana" w:hAnsi="Verdana"/>
                <w:sz w:val="20"/>
              </w:rPr>
              <w:fldChar w:fldCharType="end"/>
            </w:r>
            <w:r w:rsidRPr="000A4491">
              <w:rPr>
                <w:rFonts w:ascii="Verdana" w:hAnsi="Verdana"/>
                <w:sz w:val="20"/>
              </w:rPr>
              <w:t>)</w:t>
            </w:r>
          </w:p>
          <w:p w14:paraId="01BB8D46" w14:textId="77777777" w:rsidR="00F935B1" w:rsidRPr="000A4491" w:rsidRDefault="00F935B1" w:rsidP="0083602C">
            <w:pPr>
              <w:rPr>
                <w:rFonts w:ascii="Verdana" w:hAnsi="Verdana"/>
                <w:sz w:val="20"/>
              </w:rPr>
            </w:pPr>
            <w:r w:rsidRPr="000A4491">
              <w:rPr>
                <w:rFonts w:ascii="Verdana" w:hAnsi="Verdana"/>
                <w:sz w:val="20"/>
              </w:rPr>
              <w:t>(</w:t>
            </w:r>
            <w:hyperlink w:anchor="aattTelephoneService" w:history="1">
              <w:r w:rsidRPr="000A4491">
                <w:rPr>
                  <w:rStyle w:val="Hyperlink"/>
                  <w:rFonts w:ascii="Verdana" w:hAnsi="Verdana"/>
                  <w:sz w:val="20"/>
                </w:rPr>
                <w:t>Telephone Service</w:t>
              </w:r>
              <w:r w:rsidRPr="000A4491">
                <w:rPr>
                  <w:rFonts w:ascii="Verdana" w:hAnsi="Verdana"/>
                  <w:sz w:val="20"/>
                </w:rPr>
                <w:fldChar w:fldCharType="begin"/>
              </w:r>
              <w:r w:rsidRPr="000A4491">
                <w:rPr>
                  <w:rFonts w:ascii="Verdana" w:hAnsi="Verdana"/>
                  <w:sz w:val="20"/>
                </w:rPr>
                <w:instrText>xe "Telephone Service"</w:instrText>
              </w:r>
              <w:r w:rsidRPr="000A4491">
                <w:rPr>
                  <w:rFonts w:ascii="Verdana" w:hAnsi="Verdana"/>
                  <w:sz w:val="20"/>
                </w:rPr>
                <w:fldChar w:fldCharType="end"/>
              </w:r>
            </w:hyperlink>
            <w:r w:rsidRPr="000A4491">
              <w:rPr>
                <w:rFonts w:ascii="Verdana" w:hAnsi="Verdana"/>
                <w:sz w:val="20"/>
              </w:rPr>
              <w:t xml:space="preserve"> )</w:t>
            </w:r>
          </w:p>
          <w:p w14:paraId="132775E6" w14:textId="77777777" w:rsidR="00F935B1" w:rsidRPr="000A4491" w:rsidRDefault="00F935B1" w:rsidP="0083602C">
            <w:pPr>
              <w:rPr>
                <w:rFonts w:ascii="Verdana" w:hAnsi="Verdana"/>
                <w:sz w:val="20"/>
              </w:rPr>
            </w:pPr>
            <w:r w:rsidRPr="000A4491">
              <w:rPr>
                <w:rFonts w:ascii="Verdana" w:hAnsi="Verdana"/>
                <w:sz w:val="20"/>
              </w:rPr>
              <w:t>(</w:t>
            </w:r>
            <w:hyperlink w:anchor="IAWebHostingEligible" w:history="1">
              <w:r w:rsidRPr="000A4491">
                <w:rPr>
                  <w:rStyle w:val="Hyperlink"/>
                  <w:rFonts w:ascii="Verdana" w:hAnsi="Verdana"/>
                  <w:sz w:val="20"/>
                </w:rPr>
                <w:t>Internet - Related Services</w:t>
              </w:r>
            </w:hyperlink>
            <w:r w:rsidRPr="000A4491">
              <w:rPr>
                <w:rFonts w:ascii="Verdana" w:hAnsi="Verdana"/>
                <w:sz w:val="20"/>
              </w:rPr>
              <w:t xml:space="preserve">) </w:t>
            </w:r>
          </w:p>
        </w:tc>
        <w:tc>
          <w:tcPr>
            <w:tcW w:w="5441" w:type="dxa"/>
          </w:tcPr>
          <w:p w14:paraId="6BE2A643" w14:textId="77777777" w:rsidR="00F935B1" w:rsidRPr="000A4491" w:rsidRDefault="00F935B1" w:rsidP="0083602C">
            <w:pPr>
              <w:pStyle w:val="NormalWeb"/>
              <w:spacing w:before="0" w:beforeAutospacing="0" w:after="0"/>
              <w:rPr>
                <w:rFonts w:ascii="Verdana" w:hAnsi="Verdana"/>
                <w:sz w:val="20"/>
              </w:rPr>
            </w:pPr>
            <w:r w:rsidRPr="000A4491">
              <w:rPr>
                <w:rFonts w:ascii="Verdana" w:hAnsi="Verdana"/>
                <w:sz w:val="20"/>
              </w:rPr>
              <w:fldChar w:fldCharType="begin"/>
            </w:r>
            <w:r w:rsidRPr="000A4491">
              <w:rPr>
                <w:rFonts w:ascii="Verdana" w:hAnsi="Verdana"/>
                <w:sz w:val="20"/>
              </w:rPr>
              <w:instrText>xe "Interconnected Voice Over Internet Protocol"</w:instrText>
            </w:r>
            <w:r w:rsidRPr="000A4491">
              <w:rPr>
                <w:rFonts w:ascii="Verdana" w:hAnsi="Verdana"/>
                <w:sz w:val="20"/>
              </w:rPr>
              <w:fldChar w:fldCharType="end"/>
            </w:r>
            <w:r w:rsidRPr="000A4491">
              <w:rPr>
                <w:rFonts w:ascii="Verdana" w:hAnsi="Verdana" w:cs="Arial"/>
                <w:sz w:val="20"/>
              </w:rPr>
              <w:t xml:space="preserve">Interconnected </w:t>
            </w:r>
            <w:r w:rsidRPr="000A4491">
              <w:rPr>
                <w:rFonts w:ascii="Verdana" w:hAnsi="Verdana"/>
                <w:color w:val="000000"/>
                <w:sz w:val="20"/>
              </w:rPr>
              <w:t xml:space="preserve">VoIP </w:t>
            </w:r>
            <w:r w:rsidRPr="000A4491">
              <w:rPr>
                <w:rFonts w:ascii="Verdana" w:hAnsi="Verdana"/>
                <w:sz w:val="20"/>
              </w:rPr>
              <w:t>is defined as a service that (1) enables real-time, two-way voice communications; (2) requires a broadband connection from the user’s location; (3) requires Internet protocol-compatible customer premises equipment (CPE); and (4) permits users generally to receive calls that originate on the public switched telephone network and to terminate calls to the public switched telephone network.</w:t>
            </w:r>
          </w:p>
        </w:tc>
      </w:tr>
      <w:tr w:rsidR="00F935B1" w14:paraId="22C03FF0" w14:textId="77777777" w:rsidTr="0083602C">
        <w:trPr>
          <w:tblCellSpacing w:w="15" w:type="dxa"/>
        </w:trPr>
        <w:tc>
          <w:tcPr>
            <w:tcW w:w="3656" w:type="dxa"/>
          </w:tcPr>
          <w:p w14:paraId="3E0C25DF" w14:textId="77777777" w:rsidR="00F935B1" w:rsidRPr="000A4491" w:rsidRDefault="00F935B1" w:rsidP="0083602C">
            <w:pPr>
              <w:rPr>
                <w:rFonts w:ascii="Verdana" w:hAnsi="Verdana"/>
                <w:sz w:val="20"/>
              </w:rPr>
            </w:pPr>
            <w:r w:rsidRPr="000A4491">
              <w:rPr>
                <w:rFonts w:ascii="Verdana" w:hAnsi="Verdana"/>
                <w:sz w:val="20"/>
              </w:rPr>
              <w:t>Interface/Edge Device</w:t>
            </w:r>
            <w:r w:rsidRPr="000A4491">
              <w:rPr>
                <w:rFonts w:ascii="Verdana" w:hAnsi="Verdana"/>
                <w:sz w:val="20"/>
              </w:rPr>
              <w:fldChar w:fldCharType="begin"/>
            </w:r>
            <w:r w:rsidRPr="000A4491">
              <w:rPr>
                <w:rFonts w:ascii="Verdana" w:hAnsi="Verdana"/>
                <w:sz w:val="20"/>
              </w:rPr>
              <w:instrText>xe "</w:instrText>
            </w:r>
            <w:r w:rsidRPr="000A4491">
              <w:rPr>
                <w:rStyle w:val="Hyperlink"/>
                <w:rFonts w:ascii="Verdana" w:hAnsi="Verdana"/>
                <w:bCs/>
                <w:sz w:val="20"/>
              </w:rPr>
              <w:instrText>Interface/Edge Device</w:instrText>
            </w:r>
            <w:r w:rsidRPr="000A4491">
              <w:rPr>
                <w:rFonts w:ascii="Verdana" w:hAnsi="Verdana"/>
                <w:sz w:val="20"/>
              </w:rPr>
              <w:instrText>"</w:instrText>
            </w:r>
            <w:r w:rsidRPr="000A4491">
              <w:rPr>
                <w:rFonts w:ascii="Verdana" w:hAnsi="Verdana"/>
                <w:sz w:val="20"/>
              </w:rPr>
              <w:fldChar w:fldCharType="end"/>
            </w:r>
            <w:r w:rsidRPr="000A4491">
              <w:rPr>
                <w:rFonts w:ascii="Verdana" w:hAnsi="Verdana"/>
                <w:sz w:val="20"/>
              </w:rPr>
              <w:t xml:space="preserve"> </w:t>
            </w:r>
            <w:r w:rsidRPr="000A4491">
              <w:rPr>
                <w:rFonts w:ascii="Verdana" w:hAnsi="Verdana"/>
                <w:sz w:val="20"/>
              </w:rPr>
              <w:br/>
              <w:t>(</w:t>
            </w:r>
            <w:hyperlink w:anchor="aaInterfacesGatewaysAntennas" w:history="1">
              <w:r w:rsidRPr="000A4491">
                <w:rPr>
                  <w:rStyle w:val="Hyperlink"/>
                  <w:rFonts w:ascii="Verdana" w:hAnsi="Verdana"/>
                  <w:sz w:val="20"/>
                </w:rPr>
                <w:t>Interfaces</w:t>
              </w:r>
              <w:r w:rsidRPr="000A4491">
                <w:rPr>
                  <w:rFonts w:ascii="Verdana" w:hAnsi="Verdana"/>
                  <w:sz w:val="20"/>
                </w:rPr>
                <w:fldChar w:fldCharType="begin"/>
              </w:r>
              <w:r w:rsidRPr="000A4491">
                <w:rPr>
                  <w:rFonts w:ascii="Verdana" w:hAnsi="Verdana"/>
                  <w:sz w:val="20"/>
                </w:rPr>
                <w:instrText>xe "</w:instrText>
              </w:r>
              <w:r w:rsidRPr="000A4491">
                <w:rPr>
                  <w:rFonts w:ascii="Verdana" w:hAnsi="Verdana"/>
                  <w:bCs/>
                  <w:sz w:val="20"/>
                </w:rPr>
                <w:instrText>Interfaces</w:instrText>
              </w:r>
              <w:r w:rsidRPr="000A4491">
                <w:rPr>
                  <w:rFonts w:ascii="Verdana" w:hAnsi="Verdana"/>
                  <w:sz w:val="20"/>
                </w:rPr>
                <w:instrText>"</w:instrText>
              </w:r>
              <w:r w:rsidRPr="000A4491">
                <w:rPr>
                  <w:rFonts w:ascii="Verdana" w:hAnsi="Verdana"/>
                  <w:sz w:val="20"/>
                </w:rPr>
                <w:fldChar w:fldCharType="end"/>
              </w:r>
            </w:hyperlink>
            <w:r w:rsidRPr="000A4491">
              <w:rPr>
                <w:rFonts w:ascii="Verdana" w:hAnsi="Verdana"/>
                <w:sz w:val="20"/>
              </w:rPr>
              <w:t>)</w:t>
            </w:r>
          </w:p>
        </w:tc>
        <w:tc>
          <w:tcPr>
            <w:tcW w:w="5441" w:type="dxa"/>
          </w:tcPr>
          <w:p w14:paraId="7315B4A6" w14:textId="77777777" w:rsidR="00F935B1" w:rsidRPr="000A4491" w:rsidRDefault="00F935B1" w:rsidP="0083602C">
            <w:pPr>
              <w:pStyle w:val="NormalWeb"/>
              <w:spacing w:before="0" w:beforeAutospacing="0" w:after="0"/>
              <w:rPr>
                <w:rFonts w:ascii="Verdana" w:hAnsi="Verdana"/>
                <w:sz w:val="20"/>
              </w:rPr>
            </w:pPr>
            <w:r w:rsidRPr="000A4491">
              <w:rPr>
                <w:rFonts w:ascii="Verdana" w:hAnsi="Verdana"/>
                <w:sz w:val="20"/>
              </w:rPr>
              <w:t xml:space="preserve">An Interface or Edge Device is a physical device that can pass packets between some types of networks and an </w:t>
            </w:r>
            <w:hyperlink w:anchor="TelecomAsyncTransferMode" w:history="1">
              <w:r w:rsidRPr="000A4491">
                <w:rPr>
                  <w:rStyle w:val="Hyperlink"/>
                  <w:rFonts w:ascii="Verdana" w:hAnsi="Verdana"/>
                  <w:sz w:val="20"/>
                </w:rPr>
                <w:t>Asynchronous Transfer Mode</w:t>
              </w:r>
              <w:r w:rsidRPr="000A4491">
                <w:rPr>
                  <w:rFonts w:ascii="Verdana" w:hAnsi="Verdana"/>
                  <w:sz w:val="20"/>
                </w:rPr>
                <w:fldChar w:fldCharType="begin"/>
              </w:r>
              <w:r w:rsidRPr="000A4491">
                <w:rPr>
                  <w:rFonts w:ascii="Verdana" w:hAnsi="Verdana"/>
                  <w:sz w:val="20"/>
                </w:rPr>
                <w:instrText>xe "</w:instrText>
              </w:r>
              <w:r w:rsidRPr="000A4491">
                <w:rPr>
                  <w:rStyle w:val="Hyperlink"/>
                  <w:rFonts w:ascii="Verdana" w:hAnsi="Verdana"/>
                  <w:sz w:val="20"/>
                </w:rPr>
                <w:instrText>Asynchronous Transfer Mode</w:instrText>
              </w:r>
              <w:r w:rsidRPr="000A4491">
                <w:rPr>
                  <w:rFonts w:ascii="Verdana" w:hAnsi="Verdana"/>
                  <w:sz w:val="20"/>
                </w:rPr>
                <w:instrText>"</w:instrText>
              </w:r>
              <w:r w:rsidRPr="000A4491">
                <w:rPr>
                  <w:rFonts w:ascii="Verdana" w:hAnsi="Verdana"/>
                  <w:sz w:val="20"/>
                </w:rPr>
                <w:fldChar w:fldCharType="end"/>
              </w:r>
            </w:hyperlink>
            <w:r w:rsidRPr="000A4491">
              <w:rPr>
                <w:rFonts w:ascii="Verdana" w:hAnsi="Verdana"/>
                <w:sz w:val="20"/>
              </w:rPr>
              <w:t xml:space="preserve"> (ATM</w:t>
            </w:r>
            <w:r w:rsidRPr="000A4491">
              <w:rPr>
                <w:rFonts w:ascii="Verdana" w:hAnsi="Verdana"/>
                <w:sz w:val="20"/>
              </w:rPr>
              <w:fldChar w:fldCharType="begin"/>
            </w:r>
            <w:r w:rsidRPr="000A4491">
              <w:rPr>
                <w:rFonts w:ascii="Verdana" w:hAnsi="Verdana"/>
                <w:sz w:val="20"/>
              </w:rPr>
              <w:instrText>xe "ATM"</w:instrText>
            </w:r>
            <w:r w:rsidRPr="000A4491">
              <w:rPr>
                <w:rFonts w:ascii="Verdana" w:hAnsi="Verdana"/>
                <w:sz w:val="20"/>
              </w:rPr>
              <w:fldChar w:fldCharType="end"/>
            </w:r>
            <w:r w:rsidRPr="000A4491">
              <w:rPr>
                <w:rFonts w:ascii="Verdana" w:hAnsi="Verdana"/>
                <w:sz w:val="20"/>
              </w:rPr>
              <w:t>) network.  The device may be a router</w:t>
            </w:r>
            <w:r w:rsidRPr="000A4491">
              <w:rPr>
                <w:rFonts w:ascii="Verdana" w:hAnsi="Verdana"/>
                <w:sz w:val="20"/>
              </w:rPr>
              <w:fldChar w:fldCharType="begin"/>
            </w:r>
            <w:r w:rsidRPr="000A4491">
              <w:rPr>
                <w:rFonts w:ascii="Verdana" w:hAnsi="Verdana"/>
                <w:sz w:val="20"/>
              </w:rPr>
              <w:instrText>xe "Routers"</w:instrText>
            </w:r>
            <w:r w:rsidRPr="000A4491">
              <w:rPr>
                <w:rFonts w:ascii="Verdana" w:hAnsi="Verdana"/>
                <w:sz w:val="20"/>
              </w:rPr>
              <w:fldChar w:fldCharType="end"/>
            </w:r>
            <w:r w:rsidRPr="000A4491">
              <w:rPr>
                <w:rFonts w:ascii="Verdana" w:hAnsi="Verdana"/>
                <w:sz w:val="20"/>
              </w:rPr>
              <w:t xml:space="preserve"> or Ethernet-to-ATM switch that directly connects to an ATM network.</w:t>
            </w:r>
          </w:p>
        </w:tc>
      </w:tr>
      <w:tr w:rsidR="00F935B1" w14:paraId="47C93966" w14:textId="77777777" w:rsidTr="0083602C">
        <w:trPr>
          <w:tblCellSpacing w:w="15" w:type="dxa"/>
        </w:trPr>
        <w:tc>
          <w:tcPr>
            <w:tcW w:w="3656" w:type="dxa"/>
          </w:tcPr>
          <w:p w14:paraId="4461A8CA" w14:textId="77777777" w:rsidR="00F935B1" w:rsidRPr="000A4491" w:rsidRDefault="00F935B1" w:rsidP="0083602C">
            <w:pPr>
              <w:rPr>
                <w:rFonts w:ascii="Verdana" w:hAnsi="Verdana"/>
                <w:sz w:val="20"/>
              </w:rPr>
            </w:pPr>
            <w:r w:rsidRPr="000A4491">
              <w:rPr>
                <w:rFonts w:ascii="Verdana" w:hAnsi="Verdana"/>
                <w:sz w:val="20"/>
              </w:rPr>
              <w:t>Internet Access</w:t>
            </w:r>
          </w:p>
          <w:p w14:paraId="7195159C" w14:textId="77777777" w:rsidR="00F935B1" w:rsidRPr="000A4491" w:rsidRDefault="00F935B1" w:rsidP="0083602C">
            <w:pPr>
              <w:rPr>
                <w:rFonts w:ascii="Verdana" w:hAnsi="Verdana"/>
                <w:sz w:val="20"/>
              </w:rPr>
            </w:pPr>
            <w:r w:rsidRPr="000A4491">
              <w:rPr>
                <w:rFonts w:ascii="Verdana" w:hAnsi="Verdana"/>
                <w:sz w:val="20"/>
              </w:rPr>
              <w:t>(</w:t>
            </w:r>
            <w:hyperlink w:anchor="InternetInternetAccess" w:history="1">
              <w:r w:rsidRPr="000A4491">
                <w:rPr>
                  <w:rStyle w:val="Hyperlink"/>
                  <w:rFonts w:ascii="Verdana" w:hAnsi="Verdana"/>
                  <w:sz w:val="20"/>
                </w:rPr>
                <w:t>Internet Access</w:t>
              </w:r>
              <w:r w:rsidRPr="000A4491">
                <w:rPr>
                  <w:rFonts w:ascii="Verdana" w:hAnsi="Verdana"/>
                  <w:sz w:val="20"/>
                </w:rPr>
                <w:fldChar w:fldCharType="begin"/>
              </w:r>
              <w:r w:rsidRPr="000A4491">
                <w:rPr>
                  <w:rFonts w:ascii="Verdana" w:hAnsi="Verdana"/>
                  <w:sz w:val="20"/>
                </w:rPr>
                <w:instrText>xe "Internet Access"</w:instrText>
              </w:r>
              <w:r w:rsidRPr="000A4491">
                <w:rPr>
                  <w:rFonts w:ascii="Verdana" w:hAnsi="Verdana"/>
                  <w:sz w:val="20"/>
                </w:rPr>
                <w:fldChar w:fldCharType="end"/>
              </w:r>
            </w:hyperlink>
            <w:r w:rsidRPr="000A4491">
              <w:rPr>
                <w:rFonts w:ascii="Verdana" w:hAnsi="Verdana"/>
                <w:sz w:val="20"/>
              </w:rPr>
              <w:t>)</w:t>
            </w:r>
          </w:p>
        </w:tc>
        <w:tc>
          <w:tcPr>
            <w:tcW w:w="5441" w:type="dxa"/>
          </w:tcPr>
          <w:p w14:paraId="7F6B05C4" w14:textId="77777777" w:rsidR="00F935B1" w:rsidRPr="000A4491" w:rsidRDefault="00F935B1" w:rsidP="0083602C">
            <w:pPr>
              <w:pStyle w:val="NormalWeb"/>
              <w:spacing w:before="0" w:beforeAutospacing="0" w:after="0"/>
              <w:rPr>
                <w:rFonts w:ascii="Verdana" w:hAnsi="Verdana"/>
                <w:sz w:val="20"/>
              </w:rPr>
            </w:pPr>
            <w:r w:rsidRPr="000A4491">
              <w:rPr>
                <w:rFonts w:ascii="Verdana" w:hAnsi="Verdana"/>
                <w:sz w:val="20"/>
              </w:rPr>
              <w:t>Internet access</w:t>
            </w:r>
            <w:r w:rsidRPr="000A4491">
              <w:rPr>
                <w:rFonts w:ascii="Verdana" w:hAnsi="Verdana"/>
                <w:sz w:val="20"/>
              </w:rPr>
              <w:fldChar w:fldCharType="begin"/>
            </w:r>
            <w:r w:rsidRPr="000A4491">
              <w:rPr>
                <w:rFonts w:ascii="Verdana" w:hAnsi="Verdana"/>
                <w:sz w:val="20"/>
              </w:rPr>
              <w:instrText>xe "Internet Access"</w:instrText>
            </w:r>
            <w:r w:rsidRPr="000A4491">
              <w:rPr>
                <w:rFonts w:ascii="Verdana" w:hAnsi="Verdana"/>
                <w:sz w:val="20"/>
              </w:rPr>
              <w:fldChar w:fldCharType="end"/>
            </w:r>
            <w:r w:rsidRPr="000A4491">
              <w:rPr>
                <w:rFonts w:ascii="Verdana" w:hAnsi="Verdana"/>
                <w:sz w:val="20"/>
              </w:rPr>
              <w:t xml:space="preserve"> provides a connection to the Internet, which is the publicly available worldwide system of interconnected computer networks that uses agreed-upon technical standards based on the Internet Protocol (IP).  Internet access provides a connection to a vast quantity of information and services, such as </w:t>
            </w:r>
            <w:r w:rsidRPr="000A4491">
              <w:rPr>
                <w:rFonts w:ascii="Verdana" w:hAnsi="Verdana"/>
                <w:color w:val="0000FF"/>
                <w:sz w:val="20"/>
                <w:u w:val="single"/>
              </w:rPr>
              <w:t xml:space="preserve">electronic </w:t>
            </w:r>
            <w:r w:rsidRPr="000A4491">
              <w:rPr>
                <w:rFonts w:ascii="Verdana" w:hAnsi="Verdana"/>
                <w:sz w:val="20"/>
              </w:rPr>
              <w:t>mail and the documents and features of the World Wide Web.  Service Providers for Internet access</w:t>
            </w:r>
            <w:r w:rsidRPr="000A4491">
              <w:rPr>
                <w:rFonts w:ascii="Verdana" w:hAnsi="Verdana"/>
                <w:sz w:val="20"/>
              </w:rPr>
              <w:fldChar w:fldCharType="begin"/>
            </w:r>
            <w:r w:rsidRPr="000A4491">
              <w:rPr>
                <w:rFonts w:ascii="Verdana" w:hAnsi="Verdana"/>
                <w:sz w:val="20"/>
              </w:rPr>
              <w:instrText>xe "Internet Access"</w:instrText>
            </w:r>
            <w:r w:rsidRPr="000A4491">
              <w:rPr>
                <w:rFonts w:ascii="Verdana" w:hAnsi="Verdana"/>
                <w:sz w:val="20"/>
              </w:rPr>
              <w:fldChar w:fldCharType="end"/>
            </w:r>
            <w:r w:rsidRPr="000A4491">
              <w:rPr>
                <w:rFonts w:ascii="Verdana" w:hAnsi="Verdana"/>
                <w:sz w:val="20"/>
              </w:rPr>
              <w:t xml:space="preserve"> need not be telecommunications</w:t>
            </w:r>
            <w:r w:rsidRPr="000A4491">
              <w:rPr>
                <w:rFonts w:ascii="Verdana" w:hAnsi="Verdana"/>
                <w:sz w:val="20"/>
              </w:rPr>
              <w:fldChar w:fldCharType="begin"/>
            </w:r>
            <w:r w:rsidRPr="000A4491">
              <w:rPr>
                <w:rFonts w:ascii="Verdana" w:hAnsi="Verdana"/>
                <w:sz w:val="20"/>
              </w:rPr>
              <w:instrText>xe "Telecommunications"</w:instrText>
            </w:r>
            <w:r w:rsidRPr="000A4491">
              <w:rPr>
                <w:rFonts w:ascii="Verdana" w:hAnsi="Verdana"/>
                <w:sz w:val="20"/>
              </w:rPr>
              <w:fldChar w:fldCharType="end"/>
            </w:r>
            <w:r w:rsidRPr="000A4491">
              <w:rPr>
                <w:rFonts w:ascii="Verdana" w:hAnsi="Verdana"/>
                <w:sz w:val="20"/>
              </w:rPr>
              <w:t xml:space="preserve"> carriers.</w:t>
            </w:r>
          </w:p>
        </w:tc>
      </w:tr>
      <w:tr w:rsidR="00F935B1" w14:paraId="576A596D" w14:textId="77777777" w:rsidTr="0083602C">
        <w:trPr>
          <w:tblCellSpacing w:w="15" w:type="dxa"/>
        </w:trPr>
        <w:tc>
          <w:tcPr>
            <w:tcW w:w="3656" w:type="dxa"/>
          </w:tcPr>
          <w:p w14:paraId="0DABC803" w14:textId="77777777" w:rsidR="00F935B1" w:rsidRPr="000A4491" w:rsidRDefault="00F935B1" w:rsidP="0083602C">
            <w:pPr>
              <w:rPr>
                <w:rFonts w:ascii="Verdana" w:hAnsi="Verdana"/>
                <w:sz w:val="20"/>
              </w:rPr>
            </w:pPr>
            <w:r w:rsidRPr="000A4491">
              <w:rPr>
                <w:rFonts w:ascii="Verdana" w:hAnsi="Verdana"/>
                <w:sz w:val="20"/>
              </w:rPr>
              <w:lastRenderedPageBreak/>
              <w:t>Internet</w:t>
            </w:r>
            <w:r w:rsidRPr="000A4491">
              <w:rPr>
                <w:rFonts w:ascii="Verdana" w:hAnsi="Verdana"/>
                <w:sz w:val="20"/>
              </w:rPr>
              <w:fldChar w:fldCharType="begin"/>
            </w:r>
            <w:r w:rsidRPr="000A4491">
              <w:rPr>
                <w:rFonts w:ascii="Verdana" w:hAnsi="Verdana"/>
                <w:sz w:val="20"/>
              </w:rPr>
              <w:instrText>xe "Internet Content"</w:instrText>
            </w:r>
            <w:r w:rsidRPr="000A4491">
              <w:rPr>
                <w:rFonts w:ascii="Verdana" w:hAnsi="Verdana"/>
                <w:sz w:val="20"/>
              </w:rPr>
              <w:fldChar w:fldCharType="end"/>
            </w:r>
            <w:r w:rsidRPr="000A4491">
              <w:rPr>
                <w:rFonts w:ascii="Verdana" w:hAnsi="Verdana"/>
                <w:sz w:val="20"/>
              </w:rPr>
              <w:t xml:space="preserve"> Content</w:t>
            </w:r>
            <w:r w:rsidRPr="000A4491">
              <w:rPr>
                <w:rFonts w:ascii="Verdana" w:hAnsi="Verdana"/>
                <w:sz w:val="20"/>
              </w:rPr>
              <w:fldChar w:fldCharType="begin"/>
            </w:r>
            <w:r w:rsidRPr="000A4491">
              <w:rPr>
                <w:rFonts w:ascii="Verdana" w:hAnsi="Verdana"/>
                <w:sz w:val="20"/>
              </w:rPr>
              <w:instrText>xe "</w:instrText>
            </w:r>
            <w:r w:rsidRPr="000A4491">
              <w:rPr>
                <w:rFonts w:ascii="Verdana" w:hAnsi="Verdana"/>
                <w:bCs/>
                <w:sz w:val="20"/>
              </w:rPr>
              <w:instrText>Content</w:instrText>
            </w:r>
            <w:r w:rsidRPr="000A4491">
              <w:rPr>
                <w:rFonts w:ascii="Verdana" w:hAnsi="Verdana"/>
                <w:sz w:val="20"/>
              </w:rPr>
              <w:instrText>"</w:instrText>
            </w:r>
            <w:r w:rsidRPr="000A4491">
              <w:rPr>
                <w:rFonts w:ascii="Verdana" w:hAnsi="Verdana"/>
                <w:sz w:val="20"/>
              </w:rPr>
              <w:fldChar w:fldCharType="end"/>
            </w:r>
          </w:p>
          <w:p w14:paraId="1224D949" w14:textId="77777777" w:rsidR="00F935B1" w:rsidRPr="000A4491" w:rsidRDefault="00F935B1" w:rsidP="0083602C">
            <w:pPr>
              <w:rPr>
                <w:rFonts w:ascii="Verdana" w:hAnsi="Verdana"/>
                <w:sz w:val="20"/>
              </w:rPr>
            </w:pPr>
            <w:r w:rsidRPr="000A4491">
              <w:rPr>
                <w:rFonts w:ascii="Verdana" w:hAnsi="Verdana"/>
                <w:sz w:val="20"/>
              </w:rPr>
              <w:t>(</w:t>
            </w:r>
            <w:hyperlink w:anchor="InternetIneligibleServices" w:history="1">
              <w:r w:rsidRPr="000A4491">
                <w:rPr>
                  <w:rStyle w:val="Hyperlink"/>
                  <w:rFonts w:ascii="Verdana" w:hAnsi="Verdana"/>
                  <w:sz w:val="20"/>
                </w:rPr>
                <w:t>Not Eligible for E-rate Funding as Internet Access Services</w:t>
              </w:r>
              <w:r w:rsidRPr="000A4491">
                <w:rPr>
                  <w:rFonts w:ascii="Verdana" w:hAnsi="Verdana"/>
                  <w:sz w:val="20"/>
                </w:rPr>
                <w:fldChar w:fldCharType="begin"/>
              </w:r>
              <w:r w:rsidRPr="000A4491">
                <w:rPr>
                  <w:rFonts w:ascii="Verdana" w:hAnsi="Verdana"/>
                  <w:sz w:val="20"/>
                </w:rPr>
                <w:instrText>xe "</w:instrText>
              </w:r>
              <w:r w:rsidRPr="000A4491">
                <w:rPr>
                  <w:rStyle w:val="Hyperlink"/>
                  <w:rFonts w:ascii="Verdana" w:hAnsi="Verdana"/>
                  <w:sz w:val="20"/>
                </w:rPr>
                <w:instrText>Internet Access</w:instrText>
              </w:r>
              <w:r w:rsidRPr="000A4491">
                <w:rPr>
                  <w:rFonts w:ascii="Verdana" w:hAnsi="Verdana"/>
                  <w:sz w:val="20"/>
                </w:rPr>
                <w:instrText>"</w:instrText>
              </w:r>
              <w:r w:rsidRPr="000A4491">
                <w:rPr>
                  <w:rFonts w:ascii="Verdana" w:hAnsi="Verdana"/>
                  <w:sz w:val="20"/>
                </w:rPr>
                <w:fldChar w:fldCharType="end"/>
              </w:r>
            </w:hyperlink>
            <w:r w:rsidRPr="000A4491">
              <w:rPr>
                <w:rFonts w:ascii="Verdana" w:hAnsi="Verdana"/>
                <w:sz w:val="20"/>
              </w:rPr>
              <w:t>)</w:t>
            </w:r>
          </w:p>
          <w:p w14:paraId="2AB06FDB" w14:textId="77777777" w:rsidR="00F935B1" w:rsidRPr="000A4491" w:rsidRDefault="00F935B1" w:rsidP="0083602C">
            <w:pPr>
              <w:rPr>
                <w:rFonts w:ascii="Verdana" w:hAnsi="Verdana"/>
                <w:sz w:val="20"/>
              </w:rPr>
            </w:pPr>
          </w:p>
        </w:tc>
        <w:tc>
          <w:tcPr>
            <w:tcW w:w="5441" w:type="dxa"/>
          </w:tcPr>
          <w:p w14:paraId="4DBFF016" w14:textId="77777777" w:rsidR="00F935B1" w:rsidRPr="000A4491" w:rsidRDefault="00F935B1" w:rsidP="0083602C">
            <w:pPr>
              <w:pStyle w:val="NormalWeb"/>
              <w:spacing w:before="0" w:beforeAutospacing="0" w:after="0"/>
              <w:rPr>
                <w:rFonts w:ascii="Verdana" w:hAnsi="Verdana"/>
                <w:sz w:val="20"/>
              </w:rPr>
            </w:pPr>
            <w:r w:rsidRPr="000A4491">
              <w:rPr>
                <w:rFonts w:ascii="Verdana" w:hAnsi="Verdana"/>
                <w:sz w:val="20"/>
              </w:rPr>
              <w:t>Internet Content</w:t>
            </w:r>
            <w:r w:rsidRPr="000A4491">
              <w:rPr>
                <w:rFonts w:ascii="Verdana" w:hAnsi="Verdana"/>
                <w:sz w:val="20"/>
              </w:rPr>
              <w:fldChar w:fldCharType="begin"/>
            </w:r>
            <w:r w:rsidRPr="000A4491">
              <w:rPr>
                <w:rFonts w:ascii="Verdana" w:hAnsi="Verdana"/>
                <w:sz w:val="20"/>
              </w:rPr>
              <w:instrText xml:space="preserve">xe "Internet </w:instrText>
            </w:r>
            <w:r w:rsidRPr="000A4491">
              <w:rPr>
                <w:rFonts w:ascii="Verdana" w:hAnsi="Verdana"/>
                <w:bCs/>
                <w:sz w:val="20"/>
              </w:rPr>
              <w:instrText>Content</w:instrText>
            </w:r>
            <w:r w:rsidRPr="000A4491">
              <w:rPr>
                <w:rFonts w:ascii="Verdana" w:hAnsi="Verdana"/>
                <w:sz w:val="20"/>
              </w:rPr>
              <w:instrText>"</w:instrText>
            </w:r>
            <w:r w:rsidRPr="000A4491">
              <w:rPr>
                <w:rFonts w:ascii="Verdana" w:hAnsi="Verdana"/>
                <w:sz w:val="20"/>
              </w:rPr>
              <w:fldChar w:fldCharType="end"/>
            </w:r>
            <w:r w:rsidRPr="000A4491">
              <w:rPr>
                <w:rFonts w:ascii="Verdana" w:hAnsi="Verdana"/>
                <w:sz w:val="20"/>
              </w:rPr>
              <w:t xml:space="preserve"> refers to all forms of information that are available on the Internet, such as text, pictures, sound recordings, animation, and video</w:t>
            </w:r>
            <w:r w:rsidRPr="000A4491">
              <w:rPr>
                <w:rFonts w:ascii="Verdana" w:hAnsi="Verdana"/>
                <w:sz w:val="20"/>
              </w:rPr>
              <w:fldChar w:fldCharType="begin"/>
            </w:r>
            <w:r w:rsidRPr="000A4491">
              <w:rPr>
                <w:rFonts w:ascii="Verdana" w:hAnsi="Verdana"/>
                <w:sz w:val="20"/>
              </w:rPr>
              <w:instrText>xe "Video"</w:instrText>
            </w:r>
            <w:r w:rsidRPr="000A4491">
              <w:rPr>
                <w:rFonts w:ascii="Verdana" w:hAnsi="Verdana"/>
                <w:sz w:val="20"/>
              </w:rPr>
              <w:fldChar w:fldCharType="end"/>
            </w:r>
            <w:r w:rsidRPr="000A4491">
              <w:rPr>
                <w:rFonts w:ascii="Verdana" w:hAnsi="Verdana"/>
                <w:sz w:val="20"/>
              </w:rPr>
              <w:t xml:space="preserve"> clips.</w:t>
            </w:r>
          </w:p>
        </w:tc>
      </w:tr>
      <w:tr w:rsidR="00F935B1" w14:paraId="60C862C7" w14:textId="77777777" w:rsidTr="0083602C">
        <w:trPr>
          <w:tblCellSpacing w:w="15" w:type="dxa"/>
        </w:trPr>
        <w:tc>
          <w:tcPr>
            <w:tcW w:w="3656" w:type="dxa"/>
          </w:tcPr>
          <w:p w14:paraId="25F597D8" w14:textId="77777777" w:rsidR="00F935B1" w:rsidRPr="000A4491" w:rsidRDefault="00F935B1" w:rsidP="0083602C">
            <w:pPr>
              <w:rPr>
                <w:rFonts w:ascii="Verdana" w:hAnsi="Verdana"/>
                <w:sz w:val="20"/>
              </w:rPr>
            </w:pPr>
            <w:r w:rsidRPr="000A4491">
              <w:rPr>
                <w:rFonts w:ascii="Verdana" w:hAnsi="Verdana"/>
                <w:sz w:val="20"/>
              </w:rPr>
              <w:t>Internet2</w:t>
            </w:r>
            <w:r w:rsidRPr="000A4491">
              <w:rPr>
                <w:rFonts w:ascii="Verdana" w:hAnsi="Verdana"/>
                <w:sz w:val="20"/>
              </w:rPr>
              <w:fldChar w:fldCharType="begin"/>
            </w:r>
            <w:r w:rsidRPr="000A4491">
              <w:rPr>
                <w:rFonts w:ascii="Verdana" w:hAnsi="Verdana"/>
                <w:sz w:val="20"/>
              </w:rPr>
              <w:instrText>xe "</w:instrText>
            </w:r>
            <w:r w:rsidRPr="000A4491">
              <w:rPr>
                <w:rStyle w:val="Hyperlink"/>
                <w:rFonts w:ascii="Verdana" w:hAnsi="Verdana"/>
                <w:sz w:val="20"/>
              </w:rPr>
              <w:instrText>Internet2</w:instrText>
            </w:r>
            <w:r w:rsidRPr="000A4491">
              <w:rPr>
                <w:rFonts w:ascii="Verdana" w:hAnsi="Verdana"/>
                <w:sz w:val="20"/>
              </w:rPr>
              <w:instrText>"</w:instrText>
            </w:r>
            <w:r w:rsidRPr="000A4491">
              <w:rPr>
                <w:rFonts w:ascii="Verdana" w:hAnsi="Verdana"/>
                <w:sz w:val="20"/>
              </w:rPr>
              <w:fldChar w:fldCharType="end"/>
            </w:r>
          </w:p>
          <w:p w14:paraId="59CF0CDD" w14:textId="77777777" w:rsidR="00F935B1" w:rsidRPr="000A4491" w:rsidRDefault="00F935B1" w:rsidP="0083602C">
            <w:pPr>
              <w:rPr>
                <w:rFonts w:ascii="Verdana" w:hAnsi="Verdana"/>
                <w:sz w:val="20"/>
              </w:rPr>
            </w:pPr>
            <w:r w:rsidRPr="000A4491">
              <w:rPr>
                <w:rFonts w:ascii="Verdana" w:hAnsi="Verdana"/>
                <w:sz w:val="20"/>
              </w:rPr>
              <w:t>(</w:t>
            </w:r>
            <w:hyperlink w:anchor="InternetIneligibleServices" w:history="1">
              <w:r w:rsidRPr="000A4491">
                <w:rPr>
                  <w:rStyle w:val="Hyperlink"/>
                  <w:rFonts w:ascii="Verdana" w:hAnsi="Verdana"/>
                  <w:sz w:val="20"/>
                </w:rPr>
                <w:t>Not Eligible for E-rate Funding as Internet Access Services</w:t>
              </w:r>
              <w:r w:rsidRPr="000A4491">
                <w:rPr>
                  <w:rFonts w:ascii="Verdana" w:hAnsi="Verdana"/>
                  <w:sz w:val="20"/>
                </w:rPr>
                <w:fldChar w:fldCharType="begin"/>
              </w:r>
              <w:r w:rsidRPr="000A4491">
                <w:rPr>
                  <w:rFonts w:ascii="Verdana" w:hAnsi="Verdana"/>
                  <w:sz w:val="20"/>
                </w:rPr>
                <w:instrText>xe "</w:instrText>
              </w:r>
              <w:r w:rsidRPr="000A4491">
                <w:rPr>
                  <w:rStyle w:val="Hyperlink"/>
                  <w:rFonts w:ascii="Verdana" w:hAnsi="Verdana"/>
                  <w:sz w:val="20"/>
                </w:rPr>
                <w:instrText>Internet Access</w:instrText>
              </w:r>
              <w:r w:rsidRPr="000A4491">
                <w:rPr>
                  <w:rFonts w:ascii="Verdana" w:hAnsi="Verdana"/>
                  <w:sz w:val="20"/>
                </w:rPr>
                <w:instrText>"</w:instrText>
              </w:r>
              <w:r w:rsidRPr="000A4491">
                <w:rPr>
                  <w:rFonts w:ascii="Verdana" w:hAnsi="Verdana"/>
                  <w:sz w:val="20"/>
                </w:rPr>
                <w:fldChar w:fldCharType="end"/>
              </w:r>
            </w:hyperlink>
            <w:r w:rsidRPr="000A4491">
              <w:rPr>
                <w:rFonts w:ascii="Verdana" w:hAnsi="Verdana"/>
                <w:sz w:val="20"/>
              </w:rPr>
              <w:t>)</w:t>
            </w:r>
          </w:p>
          <w:p w14:paraId="772D5A7D" w14:textId="77777777" w:rsidR="00F935B1" w:rsidRPr="000A4491" w:rsidRDefault="00F935B1" w:rsidP="0083602C">
            <w:pPr>
              <w:rPr>
                <w:rFonts w:ascii="Verdana" w:hAnsi="Verdana"/>
                <w:sz w:val="20"/>
              </w:rPr>
            </w:pPr>
          </w:p>
        </w:tc>
        <w:tc>
          <w:tcPr>
            <w:tcW w:w="5441" w:type="dxa"/>
          </w:tcPr>
          <w:p w14:paraId="21F5764E" w14:textId="77777777" w:rsidR="00F935B1" w:rsidRPr="000A4491" w:rsidRDefault="00F935B1" w:rsidP="0083602C">
            <w:pPr>
              <w:pStyle w:val="NormalWeb"/>
              <w:spacing w:before="0" w:beforeAutospacing="0" w:after="0"/>
              <w:rPr>
                <w:rFonts w:ascii="Verdana" w:hAnsi="Verdana"/>
                <w:sz w:val="20"/>
              </w:rPr>
            </w:pPr>
            <w:r w:rsidRPr="000A4491">
              <w:rPr>
                <w:rFonts w:ascii="Verdana" w:hAnsi="Verdana"/>
                <w:sz w:val="20"/>
              </w:rPr>
              <w:t>Internet2</w:t>
            </w:r>
            <w:r w:rsidRPr="000A4491">
              <w:rPr>
                <w:rFonts w:ascii="Verdana" w:hAnsi="Verdana"/>
                <w:sz w:val="20"/>
              </w:rPr>
              <w:fldChar w:fldCharType="begin"/>
            </w:r>
            <w:r w:rsidRPr="000A4491">
              <w:rPr>
                <w:rFonts w:ascii="Verdana" w:hAnsi="Verdana"/>
                <w:sz w:val="20"/>
              </w:rPr>
              <w:instrText>xe "</w:instrText>
            </w:r>
            <w:r w:rsidRPr="000A4491">
              <w:rPr>
                <w:rStyle w:val="Hyperlink"/>
                <w:rFonts w:ascii="Verdana" w:hAnsi="Verdana"/>
                <w:sz w:val="20"/>
              </w:rPr>
              <w:instrText>Internet2</w:instrText>
            </w:r>
            <w:r w:rsidRPr="000A4491">
              <w:rPr>
                <w:rFonts w:ascii="Verdana" w:hAnsi="Verdana"/>
                <w:sz w:val="20"/>
              </w:rPr>
              <w:instrText>"</w:instrText>
            </w:r>
            <w:r w:rsidRPr="000A4491">
              <w:rPr>
                <w:rFonts w:ascii="Verdana" w:hAnsi="Verdana"/>
                <w:sz w:val="20"/>
              </w:rPr>
              <w:fldChar w:fldCharType="end"/>
            </w:r>
            <w:r w:rsidRPr="000A4491">
              <w:rPr>
                <w:rFonts w:ascii="Verdana" w:hAnsi="Verdana"/>
                <w:sz w:val="20"/>
              </w:rPr>
              <w:t xml:space="preserve"> is a consortium of universities, industry, and government members that develop and deploy advanced network applications and technologies.</w:t>
            </w:r>
          </w:p>
        </w:tc>
      </w:tr>
      <w:tr w:rsidR="00F935B1" w14:paraId="3CBEFADF" w14:textId="77777777" w:rsidTr="0083602C">
        <w:trPr>
          <w:tblCellSpacing w:w="15" w:type="dxa"/>
        </w:trPr>
        <w:tc>
          <w:tcPr>
            <w:tcW w:w="3656" w:type="dxa"/>
          </w:tcPr>
          <w:p w14:paraId="02826156" w14:textId="77777777" w:rsidR="00F935B1" w:rsidRPr="000A4491" w:rsidRDefault="00F935B1" w:rsidP="0083602C">
            <w:pPr>
              <w:rPr>
                <w:rFonts w:ascii="Verdana" w:hAnsi="Verdana"/>
                <w:sz w:val="20"/>
              </w:rPr>
            </w:pPr>
            <w:r w:rsidRPr="000A4491">
              <w:rPr>
                <w:rFonts w:ascii="Verdana" w:hAnsi="Verdana"/>
                <w:sz w:val="20"/>
              </w:rPr>
              <w:t>Intrusion Detection/Intrusion Prevention</w:t>
            </w:r>
            <w:r w:rsidRPr="000A4491">
              <w:rPr>
                <w:rFonts w:ascii="Verdana" w:hAnsi="Verdana"/>
                <w:sz w:val="20"/>
              </w:rPr>
              <w:fldChar w:fldCharType="begin"/>
            </w:r>
            <w:r w:rsidRPr="000A4491">
              <w:rPr>
                <w:rFonts w:ascii="Verdana" w:hAnsi="Verdana"/>
                <w:sz w:val="20"/>
              </w:rPr>
              <w:instrText>xe "Intrusion Detection/Intrusion Prevention"</w:instrText>
            </w:r>
            <w:r w:rsidRPr="000A4491">
              <w:rPr>
                <w:rFonts w:ascii="Verdana" w:hAnsi="Verdana"/>
                <w:sz w:val="20"/>
              </w:rPr>
              <w:fldChar w:fldCharType="end"/>
            </w:r>
          </w:p>
          <w:p w14:paraId="5EDCC914" w14:textId="77777777" w:rsidR="00F935B1" w:rsidRPr="000A4491" w:rsidRDefault="00A0395D" w:rsidP="0083602C">
            <w:pPr>
              <w:rPr>
                <w:rFonts w:ascii="Verdana" w:hAnsi="Verdana"/>
                <w:sz w:val="20"/>
              </w:rPr>
            </w:pPr>
            <w:hyperlink w:anchor="ICIneligibleDataProtection" w:history="1">
              <w:r w:rsidR="00F935B1" w:rsidRPr="000A4491">
                <w:rPr>
                  <w:rStyle w:val="Hyperlink"/>
                  <w:rFonts w:ascii="Verdana" w:hAnsi="Verdana"/>
                  <w:sz w:val="20"/>
                </w:rPr>
                <w:t>(Ineligible Internal Connections Components)</w:t>
              </w:r>
            </w:hyperlink>
          </w:p>
        </w:tc>
        <w:tc>
          <w:tcPr>
            <w:tcW w:w="5441" w:type="dxa"/>
          </w:tcPr>
          <w:p w14:paraId="571ADDE2" w14:textId="77777777" w:rsidR="00F935B1" w:rsidRPr="000A4491" w:rsidRDefault="00F935B1" w:rsidP="0083602C">
            <w:pPr>
              <w:pStyle w:val="NormalWeb"/>
              <w:spacing w:before="0" w:beforeAutospacing="0" w:after="0"/>
              <w:rPr>
                <w:rFonts w:ascii="Verdana" w:hAnsi="Verdana"/>
                <w:sz w:val="20"/>
              </w:rPr>
            </w:pPr>
            <w:r w:rsidRPr="000A4491">
              <w:rPr>
                <w:rFonts w:ascii="Verdana" w:hAnsi="Verdana"/>
                <w:sz w:val="20"/>
              </w:rPr>
              <w:t>Intrusion Detection/Intrusion Prevention</w:t>
            </w:r>
            <w:r w:rsidRPr="000A4491">
              <w:rPr>
                <w:rFonts w:ascii="Verdana" w:hAnsi="Verdana"/>
                <w:sz w:val="20"/>
              </w:rPr>
              <w:fldChar w:fldCharType="begin"/>
            </w:r>
            <w:r w:rsidRPr="000A4491">
              <w:rPr>
                <w:rFonts w:ascii="Verdana" w:hAnsi="Verdana"/>
                <w:sz w:val="20"/>
              </w:rPr>
              <w:instrText>xe "Intrusion Detection/Intrusion Prevention"</w:instrText>
            </w:r>
            <w:r w:rsidRPr="000A4491">
              <w:rPr>
                <w:rFonts w:ascii="Verdana" w:hAnsi="Verdana"/>
                <w:sz w:val="20"/>
              </w:rPr>
              <w:fldChar w:fldCharType="end"/>
            </w:r>
            <w:r w:rsidRPr="000A4491">
              <w:rPr>
                <w:rFonts w:ascii="Verdana" w:hAnsi="Verdana"/>
                <w:sz w:val="20"/>
              </w:rPr>
              <w:t xml:space="preserve"> functions in addition to firewalls to monitor, detect, and deter threats to a network from external and internal attacks.</w:t>
            </w:r>
          </w:p>
        </w:tc>
      </w:tr>
      <w:tr w:rsidR="00F935B1" w14:paraId="462227E2" w14:textId="77777777" w:rsidTr="0083602C">
        <w:trPr>
          <w:tblCellSpacing w:w="15" w:type="dxa"/>
        </w:trPr>
        <w:tc>
          <w:tcPr>
            <w:tcW w:w="3656" w:type="dxa"/>
          </w:tcPr>
          <w:p w14:paraId="05AB19B4" w14:textId="77777777" w:rsidR="00F935B1" w:rsidRPr="000A4491" w:rsidRDefault="00F935B1" w:rsidP="0083602C">
            <w:pPr>
              <w:rPr>
                <w:rFonts w:ascii="Verdana" w:hAnsi="Verdana"/>
                <w:sz w:val="20"/>
              </w:rPr>
            </w:pPr>
            <w:r w:rsidRPr="000A4491">
              <w:rPr>
                <w:rFonts w:ascii="Verdana" w:hAnsi="Verdana"/>
                <w:sz w:val="20"/>
              </w:rPr>
              <w:t>Key System</w:t>
            </w:r>
            <w:r w:rsidRPr="000A4491">
              <w:rPr>
                <w:rFonts w:ascii="Verdana" w:hAnsi="Verdana"/>
                <w:sz w:val="20"/>
              </w:rPr>
              <w:fldChar w:fldCharType="begin"/>
            </w:r>
            <w:r w:rsidRPr="000A4491">
              <w:rPr>
                <w:rFonts w:ascii="Verdana" w:hAnsi="Verdana"/>
                <w:sz w:val="20"/>
              </w:rPr>
              <w:instrText>xe "</w:instrText>
            </w:r>
            <w:r w:rsidRPr="000A4491">
              <w:rPr>
                <w:rStyle w:val="Hyperlink"/>
                <w:rFonts w:ascii="Verdana" w:hAnsi="Verdana"/>
                <w:bCs/>
                <w:sz w:val="20"/>
              </w:rPr>
              <w:instrText>Key System</w:instrText>
            </w:r>
            <w:r w:rsidRPr="000A4491">
              <w:rPr>
                <w:rFonts w:ascii="Verdana" w:hAnsi="Verdana"/>
                <w:sz w:val="20"/>
              </w:rPr>
              <w:instrText>"</w:instrText>
            </w:r>
            <w:r w:rsidRPr="000A4491">
              <w:rPr>
                <w:rFonts w:ascii="Verdana" w:hAnsi="Verdana"/>
                <w:sz w:val="20"/>
              </w:rPr>
              <w:fldChar w:fldCharType="end"/>
            </w:r>
            <w:r w:rsidRPr="000A4491">
              <w:rPr>
                <w:rFonts w:ascii="Verdana" w:hAnsi="Verdana"/>
                <w:sz w:val="20"/>
              </w:rPr>
              <w:t xml:space="preserve"> (KSU) </w:t>
            </w:r>
            <w:r w:rsidRPr="000A4491">
              <w:rPr>
                <w:rFonts w:ascii="Verdana" w:hAnsi="Verdana"/>
                <w:sz w:val="20"/>
              </w:rPr>
              <w:br/>
              <w:t>(</w:t>
            </w:r>
            <w:hyperlink w:anchor="aaTelephoneComponents" w:history="1">
              <w:r w:rsidRPr="000A4491">
                <w:rPr>
                  <w:rStyle w:val="Hyperlink"/>
                  <w:rFonts w:ascii="Verdana" w:hAnsi="Verdana"/>
                  <w:sz w:val="20"/>
                </w:rPr>
                <w:t>Telephone Components</w:t>
              </w:r>
              <w:r w:rsidRPr="000A4491">
                <w:rPr>
                  <w:rFonts w:ascii="Verdana" w:hAnsi="Verdana"/>
                  <w:sz w:val="20"/>
                </w:rPr>
                <w:fldChar w:fldCharType="begin"/>
              </w:r>
              <w:r w:rsidRPr="000A4491">
                <w:rPr>
                  <w:rFonts w:ascii="Verdana" w:hAnsi="Verdana"/>
                  <w:sz w:val="20"/>
                </w:rPr>
                <w:instrText>xe "Telephone Components"</w:instrText>
              </w:r>
              <w:r w:rsidRPr="000A4491">
                <w:rPr>
                  <w:rFonts w:ascii="Verdana" w:hAnsi="Verdana"/>
                  <w:sz w:val="20"/>
                </w:rPr>
                <w:fldChar w:fldCharType="end"/>
              </w:r>
            </w:hyperlink>
            <w:r w:rsidRPr="000A4491">
              <w:rPr>
                <w:rFonts w:ascii="Verdana" w:hAnsi="Verdana"/>
                <w:sz w:val="20"/>
              </w:rPr>
              <w:t>)</w:t>
            </w:r>
          </w:p>
        </w:tc>
        <w:tc>
          <w:tcPr>
            <w:tcW w:w="5441" w:type="dxa"/>
          </w:tcPr>
          <w:p w14:paraId="1005B5F5" w14:textId="77777777" w:rsidR="00F935B1" w:rsidRPr="000A4491" w:rsidRDefault="00F935B1" w:rsidP="0083602C">
            <w:pPr>
              <w:pStyle w:val="NormalWeb"/>
              <w:spacing w:before="0" w:beforeAutospacing="0" w:after="0"/>
              <w:rPr>
                <w:rFonts w:ascii="Verdana" w:hAnsi="Verdana"/>
                <w:sz w:val="20"/>
              </w:rPr>
            </w:pPr>
            <w:r w:rsidRPr="000A4491">
              <w:rPr>
                <w:rFonts w:ascii="Verdana" w:hAnsi="Verdana"/>
                <w:sz w:val="20"/>
              </w:rPr>
              <w:t>A Key System</w:t>
            </w:r>
            <w:r w:rsidRPr="000A4491">
              <w:rPr>
                <w:rFonts w:ascii="Verdana" w:hAnsi="Verdana"/>
                <w:sz w:val="20"/>
              </w:rPr>
              <w:fldChar w:fldCharType="begin"/>
            </w:r>
            <w:r w:rsidRPr="000A4491">
              <w:rPr>
                <w:rFonts w:ascii="Verdana" w:hAnsi="Verdana"/>
                <w:sz w:val="20"/>
              </w:rPr>
              <w:instrText>xe "</w:instrText>
            </w:r>
            <w:r w:rsidRPr="000A4491">
              <w:rPr>
                <w:rStyle w:val="Hyperlink"/>
                <w:rFonts w:ascii="Verdana" w:hAnsi="Verdana"/>
                <w:bCs/>
                <w:sz w:val="20"/>
              </w:rPr>
              <w:instrText>Key System</w:instrText>
            </w:r>
            <w:r w:rsidRPr="000A4491">
              <w:rPr>
                <w:rFonts w:ascii="Verdana" w:hAnsi="Verdana"/>
                <w:sz w:val="20"/>
              </w:rPr>
              <w:instrText>"</w:instrText>
            </w:r>
            <w:r w:rsidRPr="000A4491">
              <w:rPr>
                <w:rFonts w:ascii="Verdana" w:hAnsi="Verdana"/>
                <w:sz w:val="20"/>
              </w:rPr>
              <w:fldChar w:fldCharType="end"/>
            </w:r>
            <w:r w:rsidRPr="000A4491">
              <w:rPr>
                <w:rFonts w:ascii="Verdana" w:hAnsi="Verdana"/>
                <w:sz w:val="20"/>
              </w:rPr>
              <w:t>, also known as Com Key System or a KSU, is a type of phone system that permits more than one telephone line, PBX</w:t>
            </w:r>
            <w:r w:rsidRPr="000A4491">
              <w:rPr>
                <w:rFonts w:ascii="Verdana" w:hAnsi="Verdana"/>
                <w:sz w:val="20"/>
              </w:rPr>
              <w:fldChar w:fldCharType="begin"/>
            </w:r>
            <w:r w:rsidRPr="000A4491">
              <w:rPr>
                <w:rFonts w:ascii="Verdana" w:hAnsi="Verdana"/>
                <w:sz w:val="20"/>
              </w:rPr>
              <w:instrText>xe "</w:instrText>
            </w:r>
            <w:r w:rsidRPr="000A4491">
              <w:rPr>
                <w:rFonts w:ascii="Verdana" w:hAnsi="Verdana"/>
                <w:bCs/>
                <w:sz w:val="20"/>
              </w:rPr>
              <w:instrText>PBX</w:instrText>
            </w:r>
            <w:r w:rsidRPr="000A4491">
              <w:rPr>
                <w:rFonts w:ascii="Verdana" w:hAnsi="Verdana"/>
                <w:sz w:val="20"/>
              </w:rPr>
              <w:instrText>"</w:instrText>
            </w:r>
            <w:r w:rsidRPr="000A4491">
              <w:rPr>
                <w:rFonts w:ascii="Verdana" w:hAnsi="Verdana"/>
                <w:sz w:val="20"/>
              </w:rPr>
              <w:fldChar w:fldCharType="end"/>
            </w:r>
            <w:r w:rsidRPr="000A4491">
              <w:rPr>
                <w:rFonts w:ascii="Verdana" w:hAnsi="Verdana"/>
                <w:sz w:val="20"/>
              </w:rPr>
              <w:t xml:space="preserve"> extension, private line, or intercom</w:t>
            </w:r>
            <w:r w:rsidRPr="000A4491">
              <w:rPr>
                <w:rFonts w:ascii="Verdana" w:hAnsi="Verdana"/>
                <w:sz w:val="20"/>
              </w:rPr>
              <w:fldChar w:fldCharType="begin"/>
            </w:r>
            <w:r w:rsidRPr="000A4491">
              <w:rPr>
                <w:rFonts w:ascii="Verdana" w:hAnsi="Verdana"/>
                <w:sz w:val="20"/>
              </w:rPr>
              <w:instrText>xe "I</w:instrText>
            </w:r>
            <w:r w:rsidRPr="000A4491">
              <w:rPr>
                <w:rStyle w:val="Hyperlink"/>
                <w:rFonts w:ascii="Verdana" w:hAnsi="Verdana"/>
                <w:bCs/>
                <w:sz w:val="20"/>
              </w:rPr>
              <w:instrText>ntercom</w:instrText>
            </w:r>
            <w:r w:rsidRPr="000A4491">
              <w:rPr>
                <w:rFonts w:ascii="Verdana" w:hAnsi="Verdana"/>
                <w:sz w:val="20"/>
              </w:rPr>
              <w:instrText>"</w:instrText>
            </w:r>
            <w:r w:rsidRPr="000A4491">
              <w:rPr>
                <w:rFonts w:ascii="Verdana" w:hAnsi="Verdana"/>
                <w:sz w:val="20"/>
              </w:rPr>
              <w:fldChar w:fldCharType="end"/>
            </w:r>
            <w:r w:rsidRPr="000A4491">
              <w:rPr>
                <w:rFonts w:ascii="Verdana" w:hAnsi="Verdana"/>
                <w:sz w:val="20"/>
              </w:rPr>
              <w:t xml:space="preserve"> line to appear on a single telephone.</w:t>
            </w:r>
          </w:p>
        </w:tc>
      </w:tr>
      <w:tr w:rsidR="00F935B1" w14:paraId="186FE968" w14:textId="77777777" w:rsidTr="0083602C">
        <w:trPr>
          <w:tblCellSpacing w:w="15" w:type="dxa"/>
        </w:trPr>
        <w:tc>
          <w:tcPr>
            <w:tcW w:w="3656" w:type="dxa"/>
          </w:tcPr>
          <w:p w14:paraId="2760E591" w14:textId="77777777" w:rsidR="00F935B1" w:rsidRPr="000A4491" w:rsidRDefault="00F935B1" w:rsidP="0083602C">
            <w:pPr>
              <w:rPr>
                <w:rFonts w:ascii="Verdana" w:hAnsi="Verdana"/>
                <w:sz w:val="20"/>
              </w:rPr>
            </w:pPr>
            <w:r w:rsidRPr="000A4491">
              <w:rPr>
                <w:rFonts w:ascii="Verdana" w:hAnsi="Verdana"/>
                <w:sz w:val="20"/>
              </w:rPr>
              <w:t>KVM Switch</w:t>
            </w:r>
          </w:p>
          <w:p w14:paraId="4B53A4B2" w14:textId="77777777" w:rsidR="00F935B1" w:rsidRPr="000A4491" w:rsidRDefault="00F935B1" w:rsidP="0083602C">
            <w:pPr>
              <w:rPr>
                <w:rFonts w:ascii="Verdana" w:hAnsi="Verdana"/>
                <w:sz w:val="20"/>
              </w:rPr>
            </w:pPr>
            <w:r w:rsidRPr="000A4491">
              <w:rPr>
                <w:rFonts w:ascii="Verdana" w:hAnsi="Verdana"/>
                <w:sz w:val="20"/>
              </w:rPr>
              <w:t>(</w:t>
            </w:r>
            <w:hyperlink w:anchor="aaServers" w:history="1">
              <w:r w:rsidRPr="000A4491">
                <w:rPr>
                  <w:rStyle w:val="Hyperlink"/>
                  <w:rFonts w:ascii="Verdana" w:hAnsi="Verdana"/>
                  <w:sz w:val="20"/>
                </w:rPr>
                <w:t>Servers</w:t>
              </w:r>
              <w:r w:rsidRPr="000A4491">
                <w:rPr>
                  <w:rFonts w:ascii="Verdana" w:hAnsi="Verdana"/>
                  <w:sz w:val="20"/>
                </w:rPr>
                <w:fldChar w:fldCharType="begin"/>
              </w:r>
              <w:r w:rsidRPr="000A4491">
                <w:rPr>
                  <w:rFonts w:ascii="Verdana" w:hAnsi="Verdana"/>
                  <w:sz w:val="20"/>
                </w:rPr>
                <w:instrText>xe "Servers"</w:instrText>
              </w:r>
              <w:r w:rsidRPr="000A4491">
                <w:rPr>
                  <w:rFonts w:ascii="Verdana" w:hAnsi="Verdana"/>
                  <w:sz w:val="20"/>
                </w:rPr>
                <w:fldChar w:fldCharType="end"/>
              </w:r>
            </w:hyperlink>
            <w:r w:rsidRPr="000A4491">
              <w:rPr>
                <w:rFonts w:ascii="Verdana" w:hAnsi="Verdana"/>
                <w:sz w:val="20"/>
              </w:rPr>
              <w:t>)</w:t>
            </w:r>
          </w:p>
        </w:tc>
        <w:tc>
          <w:tcPr>
            <w:tcW w:w="5441" w:type="dxa"/>
          </w:tcPr>
          <w:p w14:paraId="62E22345" w14:textId="77777777" w:rsidR="00F935B1" w:rsidRPr="000A4491" w:rsidRDefault="00F935B1" w:rsidP="0083602C">
            <w:pPr>
              <w:pStyle w:val="NormalWeb"/>
              <w:spacing w:before="0" w:beforeAutospacing="0" w:after="0"/>
              <w:rPr>
                <w:rFonts w:ascii="Verdana" w:hAnsi="Verdana"/>
                <w:sz w:val="20"/>
              </w:rPr>
            </w:pPr>
            <w:r w:rsidRPr="000A4491">
              <w:rPr>
                <w:rFonts w:ascii="Verdana" w:hAnsi="Verdana"/>
                <w:sz w:val="20"/>
              </w:rPr>
              <w:t>A keyboard</w:t>
            </w:r>
            <w:r w:rsidRPr="000A4491">
              <w:rPr>
                <w:rFonts w:ascii="Verdana" w:hAnsi="Verdana"/>
                <w:sz w:val="20"/>
              </w:rPr>
              <w:fldChar w:fldCharType="begin"/>
            </w:r>
            <w:r w:rsidRPr="000A4491">
              <w:rPr>
                <w:rFonts w:ascii="Verdana" w:hAnsi="Verdana"/>
                <w:sz w:val="20"/>
              </w:rPr>
              <w:instrText>xe "K</w:instrText>
            </w:r>
            <w:r w:rsidRPr="000A4491">
              <w:rPr>
                <w:rFonts w:ascii="Verdana" w:hAnsi="Verdana"/>
                <w:bCs/>
                <w:sz w:val="20"/>
              </w:rPr>
              <w:instrText>eyboard</w:instrText>
            </w:r>
            <w:r w:rsidRPr="000A4491">
              <w:rPr>
                <w:rFonts w:ascii="Verdana" w:hAnsi="Verdana"/>
                <w:sz w:val="20"/>
              </w:rPr>
              <w:instrText>"</w:instrText>
            </w:r>
            <w:r w:rsidRPr="000A4491">
              <w:rPr>
                <w:rFonts w:ascii="Verdana" w:hAnsi="Verdana"/>
                <w:sz w:val="20"/>
              </w:rPr>
              <w:fldChar w:fldCharType="end"/>
            </w:r>
            <w:r w:rsidRPr="000A4491">
              <w:rPr>
                <w:rFonts w:ascii="Verdana" w:hAnsi="Verdana"/>
                <w:sz w:val="20"/>
              </w:rPr>
              <w:t>-video</w:t>
            </w:r>
            <w:r w:rsidRPr="000A4491">
              <w:rPr>
                <w:rFonts w:ascii="Verdana" w:hAnsi="Verdana"/>
                <w:sz w:val="20"/>
              </w:rPr>
              <w:fldChar w:fldCharType="begin"/>
            </w:r>
            <w:r w:rsidRPr="000A4491">
              <w:rPr>
                <w:rFonts w:ascii="Verdana" w:hAnsi="Verdana"/>
                <w:sz w:val="20"/>
              </w:rPr>
              <w:instrText>xe "Video"</w:instrText>
            </w:r>
            <w:r w:rsidRPr="000A4491">
              <w:rPr>
                <w:rFonts w:ascii="Verdana" w:hAnsi="Verdana"/>
                <w:sz w:val="20"/>
              </w:rPr>
              <w:fldChar w:fldCharType="end"/>
            </w:r>
            <w:r w:rsidRPr="000A4491">
              <w:rPr>
                <w:rFonts w:ascii="Verdana" w:hAnsi="Verdana"/>
                <w:sz w:val="20"/>
              </w:rPr>
              <w:t>-mouse (KVM) switch</w:t>
            </w:r>
            <w:r w:rsidRPr="000A4491">
              <w:rPr>
                <w:rFonts w:ascii="Verdana" w:hAnsi="Verdana"/>
                <w:sz w:val="20"/>
              </w:rPr>
              <w:fldChar w:fldCharType="begin"/>
            </w:r>
            <w:r w:rsidRPr="000A4491">
              <w:rPr>
                <w:rFonts w:ascii="Verdana" w:hAnsi="Verdana"/>
                <w:sz w:val="20"/>
              </w:rPr>
              <w:instrText>xe "KVM Switch"</w:instrText>
            </w:r>
            <w:r w:rsidRPr="000A4491">
              <w:rPr>
                <w:rFonts w:ascii="Verdana" w:hAnsi="Verdana"/>
                <w:sz w:val="20"/>
              </w:rPr>
              <w:fldChar w:fldCharType="end"/>
            </w:r>
            <w:r w:rsidRPr="000A4491">
              <w:rPr>
                <w:rFonts w:ascii="Verdana" w:hAnsi="Verdana"/>
                <w:sz w:val="20"/>
              </w:rPr>
              <w:t xml:space="preserve"> is a switchbox that is used to control two or more computers from a single keyboard, monitor</w:t>
            </w:r>
            <w:r w:rsidRPr="000A4491">
              <w:rPr>
                <w:rFonts w:ascii="Verdana" w:hAnsi="Verdana"/>
                <w:sz w:val="20"/>
              </w:rPr>
              <w:fldChar w:fldCharType="begin"/>
            </w:r>
            <w:r w:rsidRPr="000A4491">
              <w:rPr>
                <w:rFonts w:ascii="Verdana" w:hAnsi="Verdana"/>
                <w:sz w:val="20"/>
              </w:rPr>
              <w:instrText>xe "M</w:instrText>
            </w:r>
            <w:r w:rsidRPr="000A4491">
              <w:rPr>
                <w:rStyle w:val="Hyperlink"/>
                <w:rFonts w:ascii="Verdana" w:hAnsi="Verdana"/>
                <w:bCs/>
                <w:sz w:val="20"/>
              </w:rPr>
              <w:instrText>onitor</w:instrText>
            </w:r>
            <w:r w:rsidRPr="000A4491">
              <w:rPr>
                <w:rFonts w:ascii="Verdana" w:hAnsi="Verdana"/>
                <w:sz w:val="20"/>
              </w:rPr>
              <w:instrText>"</w:instrText>
            </w:r>
            <w:r w:rsidRPr="000A4491">
              <w:rPr>
                <w:rFonts w:ascii="Verdana" w:hAnsi="Verdana"/>
                <w:sz w:val="20"/>
              </w:rPr>
              <w:fldChar w:fldCharType="end"/>
            </w:r>
            <w:r w:rsidRPr="000A4491">
              <w:rPr>
                <w:rFonts w:ascii="Verdana" w:hAnsi="Verdana"/>
                <w:sz w:val="20"/>
              </w:rPr>
              <w:t>, and computer mouse.</w:t>
            </w:r>
          </w:p>
        </w:tc>
      </w:tr>
      <w:tr w:rsidR="00F935B1" w14:paraId="03B84731" w14:textId="77777777" w:rsidTr="0083602C">
        <w:trPr>
          <w:tblCellSpacing w:w="15" w:type="dxa"/>
        </w:trPr>
        <w:tc>
          <w:tcPr>
            <w:tcW w:w="3656" w:type="dxa"/>
          </w:tcPr>
          <w:p w14:paraId="1859FE5F" w14:textId="77777777" w:rsidR="00F935B1" w:rsidRPr="000A4491" w:rsidRDefault="00F935B1" w:rsidP="0083602C">
            <w:pPr>
              <w:rPr>
                <w:rFonts w:ascii="Verdana" w:hAnsi="Verdana"/>
                <w:sz w:val="20"/>
              </w:rPr>
            </w:pPr>
            <w:r w:rsidRPr="000A4491">
              <w:rPr>
                <w:rFonts w:ascii="Verdana" w:hAnsi="Verdana"/>
                <w:sz w:val="20"/>
              </w:rPr>
              <w:t>Laptop / Notebook Computer</w:t>
            </w:r>
            <w:r w:rsidRPr="000A4491">
              <w:rPr>
                <w:rFonts w:ascii="Verdana" w:hAnsi="Verdana"/>
                <w:sz w:val="20"/>
              </w:rPr>
              <w:fldChar w:fldCharType="begin"/>
            </w:r>
            <w:r w:rsidRPr="000A4491">
              <w:rPr>
                <w:rFonts w:ascii="Verdana" w:hAnsi="Verdana"/>
                <w:sz w:val="20"/>
              </w:rPr>
              <w:instrText>xe "Laptop Computer"</w:instrText>
            </w:r>
            <w:r w:rsidRPr="000A4491">
              <w:rPr>
                <w:rFonts w:ascii="Verdana" w:hAnsi="Verdana"/>
                <w:sz w:val="20"/>
              </w:rPr>
              <w:fldChar w:fldCharType="end"/>
            </w:r>
            <w:r w:rsidRPr="000A4491">
              <w:rPr>
                <w:rFonts w:ascii="Verdana" w:hAnsi="Verdana"/>
                <w:sz w:val="20"/>
              </w:rPr>
              <w:t xml:space="preserve"> </w:t>
            </w:r>
            <w:r w:rsidRPr="000A4491">
              <w:rPr>
                <w:rFonts w:ascii="Verdana" w:hAnsi="Verdana"/>
                <w:sz w:val="20"/>
              </w:rPr>
              <w:br/>
              <w:t>(</w:t>
            </w:r>
            <w:hyperlink w:anchor="aaServers" w:history="1">
              <w:r w:rsidRPr="000A4491">
                <w:rPr>
                  <w:rStyle w:val="Hyperlink"/>
                  <w:rFonts w:ascii="Verdana" w:hAnsi="Verdana"/>
                  <w:sz w:val="20"/>
                </w:rPr>
                <w:t>Servers</w:t>
              </w:r>
              <w:r w:rsidRPr="000A4491">
                <w:rPr>
                  <w:rFonts w:ascii="Verdana" w:hAnsi="Verdana"/>
                  <w:sz w:val="20"/>
                </w:rPr>
                <w:fldChar w:fldCharType="begin"/>
              </w:r>
              <w:r w:rsidRPr="000A4491">
                <w:rPr>
                  <w:rFonts w:ascii="Verdana" w:hAnsi="Verdana"/>
                  <w:sz w:val="20"/>
                </w:rPr>
                <w:instrText>xe "Servers"</w:instrText>
              </w:r>
              <w:r w:rsidRPr="000A4491">
                <w:rPr>
                  <w:rFonts w:ascii="Verdana" w:hAnsi="Verdana"/>
                  <w:sz w:val="20"/>
                </w:rPr>
                <w:fldChar w:fldCharType="end"/>
              </w:r>
            </w:hyperlink>
            <w:r w:rsidRPr="000A4491">
              <w:rPr>
                <w:rFonts w:ascii="Verdana" w:hAnsi="Verdana"/>
                <w:sz w:val="20"/>
              </w:rPr>
              <w:t>—Ineligible)</w:t>
            </w:r>
          </w:p>
        </w:tc>
        <w:tc>
          <w:tcPr>
            <w:tcW w:w="5441" w:type="dxa"/>
          </w:tcPr>
          <w:p w14:paraId="4F802FD8" w14:textId="77777777" w:rsidR="00F935B1" w:rsidRPr="000A4491" w:rsidRDefault="00F935B1" w:rsidP="0083602C">
            <w:pPr>
              <w:pStyle w:val="NormalWeb"/>
              <w:spacing w:before="0" w:beforeAutospacing="0" w:after="0"/>
              <w:rPr>
                <w:rFonts w:ascii="Verdana" w:hAnsi="Verdana"/>
                <w:sz w:val="20"/>
              </w:rPr>
            </w:pPr>
            <w:r w:rsidRPr="000A4491">
              <w:rPr>
                <w:rFonts w:ascii="Verdana" w:hAnsi="Verdana"/>
                <w:sz w:val="20"/>
              </w:rPr>
              <w:t>A laptop</w:t>
            </w:r>
            <w:r w:rsidRPr="000A4491">
              <w:rPr>
                <w:rFonts w:ascii="Verdana" w:hAnsi="Verdana"/>
                <w:sz w:val="20"/>
              </w:rPr>
              <w:fldChar w:fldCharType="begin"/>
            </w:r>
            <w:r w:rsidRPr="000A4491">
              <w:rPr>
                <w:rFonts w:ascii="Verdana" w:hAnsi="Verdana"/>
                <w:sz w:val="20"/>
              </w:rPr>
              <w:instrText>xe "Laptop Computer"</w:instrText>
            </w:r>
            <w:r w:rsidRPr="000A4491">
              <w:rPr>
                <w:rFonts w:ascii="Verdana" w:hAnsi="Verdana"/>
                <w:sz w:val="20"/>
              </w:rPr>
              <w:fldChar w:fldCharType="end"/>
            </w:r>
            <w:r w:rsidRPr="000A4491">
              <w:rPr>
                <w:rFonts w:ascii="Verdana" w:hAnsi="Verdana"/>
                <w:sz w:val="20"/>
              </w:rPr>
              <w:t xml:space="preserve"> or notebook computer</w:t>
            </w:r>
            <w:r w:rsidRPr="000A4491">
              <w:rPr>
                <w:rFonts w:ascii="Verdana" w:hAnsi="Verdana"/>
                <w:sz w:val="20"/>
              </w:rPr>
              <w:fldChar w:fldCharType="begin"/>
            </w:r>
            <w:r w:rsidRPr="000A4491">
              <w:rPr>
                <w:rFonts w:ascii="Verdana" w:hAnsi="Verdana"/>
                <w:sz w:val="20"/>
              </w:rPr>
              <w:instrText>xe "Notebook Computer"</w:instrText>
            </w:r>
            <w:r w:rsidRPr="000A4491">
              <w:rPr>
                <w:rFonts w:ascii="Verdana" w:hAnsi="Verdana"/>
                <w:sz w:val="20"/>
              </w:rPr>
              <w:fldChar w:fldCharType="end"/>
            </w:r>
            <w:r w:rsidRPr="000A4491">
              <w:rPr>
                <w:rFonts w:ascii="Verdana" w:hAnsi="Verdana"/>
                <w:sz w:val="20"/>
              </w:rPr>
              <w:t xml:space="preserve"> is a lightweight, portable computer designed for mobility.</w:t>
            </w:r>
          </w:p>
        </w:tc>
      </w:tr>
      <w:tr w:rsidR="00F935B1" w14:paraId="745430FD" w14:textId="77777777" w:rsidTr="0083602C">
        <w:trPr>
          <w:tblCellSpacing w:w="15" w:type="dxa"/>
        </w:trPr>
        <w:tc>
          <w:tcPr>
            <w:tcW w:w="3656" w:type="dxa"/>
          </w:tcPr>
          <w:p w14:paraId="4F8FCE7C" w14:textId="77777777" w:rsidR="00F935B1" w:rsidRPr="000A4491" w:rsidRDefault="00F935B1" w:rsidP="0083602C">
            <w:pPr>
              <w:rPr>
                <w:rFonts w:ascii="Verdana" w:hAnsi="Verdana"/>
                <w:sz w:val="20"/>
              </w:rPr>
            </w:pPr>
            <w:r w:rsidRPr="000A4491">
              <w:rPr>
                <w:rFonts w:ascii="Verdana" w:hAnsi="Verdana"/>
                <w:sz w:val="20"/>
              </w:rPr>
              <w:t>Lightning Arrestor</w:t>
            </w:r>
            <w:r w:rsidRPr="000A4491">
              <w:rPr>
                <w:rFonts w:ascii="Verdana" w:hAnsi="Verdana"/>
                <w:sz w:val="20"/>
              </w:rPr>
              <w:fldChar w:fldCharType="begin"/>
            </w:r>
            <w:r w:rsidRPr="000A4491">
              <w:rPr>
                <w:rFonts w:ascii="Verdana" w:hAnsi="Verdana"/>
                <w:sz w:val="20"/>
              </w:rPr>
              <w:instrText>xe "Lightning Arrestors"</w:instrText>
            </w:r>
            <w:r w:rsidRPr="000A4491">
              <w:rPr>
                <w:rFonts w:ascii="Verdana" w:hAnsi="Verdana"/>
                <w:sz w:val="20"/>
              </w:rPr>
              <w:fldChar w:fldCharType="end"/>
            </w:r>
            <w:r w:rsidRPr="000A4491">
              <w:rPr>
                <w:rFonts w:ascii="Verdana" w:hAnsi="Verdana"/>
                <w:sz w:val="20"/>
              </w:rPr>
              <w:t xml:space="preserve"> </w:t>
            </w:r>
            <w:r w:rsidRPr="000A4491">
              <w:rPr>
                <w:rFonts w:ascii="Verdana" w:hAnsi="Verdana"/>
                <w:sz w:val="20"/>
              </w:rPr>
              <w:br/>
              <w:t>(</w:t>
            </w:r>
            <w:hyperlink w:anchor="aaDataProtection" w:history="1">
              <w:r w:rsidRPr="000A4491">
                <w:rPr>
                  <w:rStyle w:val="Hyperlink"/>
                  <w:rFonts w:ascii="Verdana" w:hAnsi="Verdana"/>
                  <w:sz w:val="20"/>
                </w:rPr>
                <w:t>Data Protection</w:t>
              </w:r>
              <w:r w:rsidRPr="000A4491">
                <w:rPr>
                  <w:rFonts w:ascii="Verdana" w:hAnsi="Verdana"/>
                  <w:sz w:val="20"/>
                </w:rPr>
                <w:fldChar w:fldCharType="begin"/>
              </w:r>
              <w:r w:rsidRPr="000A4491">
                <w:rPr>
                  <w:rFonts w:ascii="Verdana" w:hAnsi="Verdana"/>
                  <w:sz w:val="20"/>
                </w:rPr>
                <w:instrText>xe "Data Protection"</w:instrText>
              </w:r>
              <w:r w:rsidRPr="000A4491">
                <w:rPr>
                  <w:rFonts w:ascii="Verdana" w:hAnsi="Verdana"/>
                  <w:sz w:val="20"/>
                </w:rPr>
                <w:fldChar w:fldCharType="end"/>
              </w:r>
            </w:hyperlink>
            <w:r w:rsidRPr="000A4491">
              <w:rPr>
                <w:rFonts w:ascii="Verdana" w:hAnsi="Verdana"/>
                <w:sz w:val="20"/>
              </w:rPr>
              <w:t>—Ineligible)</w:t>
            </w:r>
          </w:p>
        </w:tc>
        <w:tc>
          <w:tcPr>
            <w:tcW w:w="5441" w:type="dxa"/>
          </w:tcPr>
          <w:p w14:paraId="5AF140EA" w14:textId="77777777" w:rsidR="00F935B1" w:rsidRPr="000A4491" w:rsidRDefault="00F935B1" w:rsidP="0083602C">
            <w:pPr>
              <w:pStyle w:val="NormalWeb"/>
              <w:spacing w:before="0" w:beforeAutospacing="0" w:after="0"/>
              <w:rPr>
                <w:rFonts w:ascii="Verdana" w:hAnsi="Verdana"/>
                <w:i/>
                <w:sz w:val="20"/>
              </w:rPr>
            </w:pPr>
            <w:r w:rsidRPr="000A4491">
              <w:rPr>
                <w:rFonts w:ascii="Verdana" w:hAnsi="Verdana"/>
                <w:sz w:val="20"/>
              </w:rPr>
              <w:t>A lightning arrestor</w:t>
            </w:r>
            <w:r w:rsidRPr="000A4491">
              <w:rPr>
                <w:rFonts w:ascii="Verdana" w:hAnsi="Verdana"/>
                <w:sz w:val="20"/>
              </w:rPr>
              <w:fldChar w:fldCharType="begin"/>
            </w:r>
            <w:r w:rsidRPr="000A4491">
              <w:rPr>
                <w:rFonts w:ascii="Verdana" w:hAnsi="Verdana"/>
                <w:sz w:val="20"/>
              </w:rPr>
              <w:instrText>xe "Lightning Arrestors"</w:instrText>
            </w:r>
            <w:r w:rsidRPr="000A4491">
              <w:rPr>
                <w:rFonts w:ascii="Verdana" w:hAnsi="Verdana"/>
                <w:sz w:val="20"/>
              </w:rPr>
              <w:fldChar w:fldCharType="end"/>
            </w:r>
            <w:r w:rsidRPr="000A4491">
              <w:rPr>
                <w:rFonts w:ascii="Verdana" w:hAnsi="Verdana"/>
                <w:sz w:val="20"/>
              </w:rPr>
              <w:t xml:space="preserve"> is a device that protects equipment from lightning strikes and static.</w:t>
            </w:r>
          </w:p>
        </w:tc>
      </w:tr>
      <w:tr w:rsidR="00F935B1" w14:paraId="356D951E" w14:textId="77777777" w:rsidTr="0083602C">
        <w:trPr>
          <w:tblCellSpacing w:w="15" w:type="dxa"/>
        </w:trPr>
        <w:tc>
          <w:tcPr>
            <w:tcW w:w="3656" w:type="dxa"/>
          </w:tcPr>
          <w:p w14:paraId="5CE84DE6" w14:textId="77777777" w:rsidR="00F935B1" w:rsidRPr="000A4491" w:rsidRDefault="00F935B1" w:rsidP="0083602C">
            <w:pPr>
              <w:rPr>
                <w:rFonts w:ascii="Verdana" w:hAnsi="Verdana"/>
                <w:sz w:val="20"/>
              </w:rPr>
            </w:pPr>
            <w:r w:rsidRPr="000A4491">
              <w:rPr>
                <w:rFonts w:ascii="Verdana" w:hAnsi="Verdana"/>
                <w:sz w:val="20"/>
              </w:rPr>
              <w:t>Lit Fiber</w:t>
            </w:r>
            <w:r w:rsidRPr="000A4491">
              <w:rPr>
                <w:rFonts w:ascii="Verdana" w:hAnsi="Verdana"/>
                <w:sz w:val="20"/>
              </w:rPr>
              <w:fldChar w:fldCharType="begin"/>
            </w:r>
            <w:r w:rsidRPr="000A4491">
              <w:rPr>
                <w:rFonts w:ascii="Verdana" w:hAnsi="Verdana"/>
                <w:sz w:val="20"/>
              </w:rPr>
              <w:instrText>xe "Lit Fiber"</w:instrText>
            </w:r>
            <w:r w:rsidRPr="000A4491">
              <w:rPr>
                <w:rFonts w:ascii="Verdana" w:hAnsi="Verdana"/>
                <w:sz w:val="20"/>
              </w:rPr>
              <w:fldChar w:fldCharType="end"/>
            </w:r>
          </w:p>
          <w:p w14:paraId="57015149" w14:textId="77777777" w:rsidR="00F935B1" w:rsidRPr="000A4491" w:rsidRDefault="00F935B1" w:rsidP="0083602C">
            <w:pPr>
              <w:rPr>
                <w:rFonts w:ascii="Verdana" w:hAnsi="Verdana"/>
                <w:sz w:val="20"/>
              </w:rPr>
            </w:pPr>
            <w:r w:rsidRPr="000A4491">
              <w:rPr>
                <w:rFonts w:ascii="Verdana" w:hAnsi="Verdana"/>
                <w:sz w:val="20"/>
              </w:rPr>
              <w:t>(</w:t>
            </w:r>
            <w:hyperlink w:anchor="xxTelecommunications" w:history="1">
              <w:r w:rsidRPr="000A4491">
                <w:rPr>
                  <w:rStyle w:val="Hyperlink"/>
                  <w:rFonts w:ascii="Verdana" w:hAnsi="Verdana"/>
                  <w:sz w:val="20"/>
                </w:rPr>
                <w:t>Telecommunications</w:t>
              </w:r>
            </w:hyperlink>
            <w:r w:rsidRPr="000A4491">
              <w:rPr>
                <w:rFonts w:ascii="Verdana" w:hAnsi="Verdana"/>
                <w:sz w:val="20"/>
              </w:rPr>
              <w:t>)</w:t>
            </w:r>
          </w:p>
        </w:tc>
        <w:tc>
          <w:tcPr>
            <w:tcW w:w="5441" w:type="dxa"/>
          </w:tcPr>
          <w:p w14:paraId="68984A77" w14:textId="77777777" w:rsidR="00F935B1" w:rsidRPr="000A4491" w:rsidRDefault="00F935B1" w:rsidP="0083602C">
            <w:pPr>
              <w:pStyle w:val="NormalWeb"/>
              <w:spacing w:before="0" w:beforeAutospacing="0" w:after="0"/>
              <w:rPr>
                <w:rFonts w:ascii="Verdana" w:hAnsi="Verdana"/>
                <w:sz w:val="20"/>
              </w:rPr>
            </w:pPr>
            <w:r w:rsidRPr="000A4491">
              <w:rPr>
                <w:rFonts w:ascii="Verdana" w:hAnsi="Verdana"/>
                <w:bCs/>
                <w:sz w:val="20"/>
              </w:rPr>
              <w:t>Lit fiber</w:t>
            </w:r>
            <w:r w:rsidRPr="000A4491">
              <w:rPr>
                <w:rFonts w:ascii="Verdana" w:hAnsi="Verdana"/>
                <w:sz w:val="20"/>
              </w:rPr>
              <w:fldChar w:fldCharType="begin"/>
            </w:r>
            <w:r w:rsidRPr="000A4491">
              <w:rPr>
                <w:rFonts w:ascii="Verdana" w:hAnsi="Verdana"/>
                <w:sz w:val="20"/>
              </w:rPr>
              <w:instrText>xe "</w:instrText>
            </w:r>
            <w:r w:rsidRPr="000A4491">
              <w:rPr>
                <w:rFonts w:ascii="Verdana" w:hAnsi="Verdana"/>
                <w:bCs/>
                <w:sz w:val="20"/>
              </w:rPr>
              <w:instrText>Dark Fiber</w:instrText>
            </w:r>
            <w:r w:rsidRPr="000A4491">
              <w:rPr>
                <w:rFonts w:ascii="Verdana" w:hAnsi="Verdana"/>
                <w:sz w:val="20"/>
              </w:rPr>
              <w:instrText>"</w:instrText>
            </w:r>
            <w:r w:rsidRPr="000A4491">
              <w:rPr>
                <w:rFonts w:ascii="Verdana" w:hAnsi="Verdana"/>
                <w:sz w:val="20"/>
              </w:rPr>
              <w:fldChar w:fldCharType="end"/>
            </w:r>
            <w:r w:rsidRPr="000A4491">
              <w:rPr>
                <w:rFonts w:ascii="Verdana" w:hAnsi="Verdana"/>
                <w:bCs/>
                <w:sz w:val="20"/>
              </w:rPr>
              <w:t xml:space="preserve"> refers to fiber</w:t>
            </w:r>
            <w:r w:rsidRPr="000A4491">
              <w:rPr>
                <w:rFonts w:ascii="Verdana" w:hAnsi="Verdana"/>
                <w:sz w:val="20"/>
              </w:rPr>
              <w:fldChar w:fldCharType="begin"/>
            </w:r>
            <w:r w:rsidRPr="000A4491">
              <w:rPr>
                <w:rFonts w:ascii="Verdana" w:hAnsi="Verdana"/>
                <w:sz w:val="20"/>
              </w:rPr>
              <w:instrText>xe "Fiber Optics"</w:instrText>
            </w:r>
            <w:r w:rsidRPr="000A4491">
              <w:rPr>
                <w:rFonts w:ascii="Verdana" w:hAnsi="Verdana"/>
                <w:sz w:val="20"/>
              </w:rPr>
              <w:fldChar w:fldCharType="end"/>
            </w:r>
            <w:r w:rsidRPr="000A4491">
              <w:rPr>
                <w:rFonts w:ascii="Verdana" w:hAnsi="Verdana"/>
                <w:bCs/>
                <w:sz w:val="20"/>
              </w:rPr>
              <w:t xml:space="preserve"> optic cable</w:t>
            </w:r>
            <w:r w:rsidRPr="000A4491">
              <w:rPr>
                <w:rFonts w:ascii="Verdana" w:hAnsi="Verdana"/>
                <w:sz w:val="20"/>
              </w:rPr>
              <w:fldChar w:fldCharType="begin"/>
            </w:r>
            <w:r w:rsidRPr="000A4491">
              <w:rPr>
                <w:rFonts w:ascii="Verdana" w:hAnsi="Verdana"/>
                <w:sz w:val="20"/>
              </w:rPr>
              <w:instrText>xe "Optic Cable"</w:instrText>
            </w:r>
            <w:r w:rsidRPr="000A4491">
              <w:rPr>
                <w:rFonts w:ascii="Verdana" w:hAnsi="Verdana"/>
                <w:sz w:val="20"/>
              </w:rPr>
              <w:fldChar w:fldCharType="end"/>
            </w:r>
            <w:r w:rsidRPr="000A4491">
              <w:rPr>
                <w:rFonts w:ascii="Verdana" w:hAnsi="Verdana"/>
                <w:bCs/>
                <w:sz w:val="20"/>
              </w:rPr>
              <w:t xml:space="preserve"> for which the service provider provides modulating</w:t>
            </w:r>
            <w:r w:rsidRPr="000A4491">
              <w:rPr>
                <w:rFonts w:ascii="Verdana" w:hAnsi="Verdana"/>
                <w:sz w:val="20"/>
              </w:rPr>
              <w:fldChar w:fldCharType="begin"/>
            </w:r>
            <w:r w:rsidRPr="000A4491">
              <w:rPr>
                <w:rFonts w:ascii="Verdana" w:hAnsi="Verdana"/>
                <w:sz w:val="20"/>
              </w:rPr>
              <w:instrText>xe "M</w:instrText>
            </w:r>
            <w:r w:rsidRPr="000A4491">
              <w:rPr>
                <w:rFonts w:ascii="Verdana" w:hAnsi="Verdana"/>
                <w:bCs/>
                <w:sz w:val="20"/>
              </w:rPr>
              <w:instrText>odulating Electronics</w:instrText>
            </w:r>
            <w:r w:rsidRPr="000A4491">
              <w:rPr>
                <w:rFonts w:ascii="Verdana" w:hAnsi="Verdana"/>
                <w:sz w:val="20"/>
              </w:rPr>
              <w:instrText>"</w:instrText>
            </w:r>
            <w:r w:rsidRPr="000A4491">
              <w:rPr>
                <w:rFonts w:ascii="Verdana" w:hAnsi="Verdana"/>
                <w:sz w:val="20"/>
              </w:rPr>
              <w:fldChar w:fldCharType="end"/>
            </w:r>
            <w:r w:rsidRPr="000A4491">
              <w:rPr>
                <w:rFonts w:ascii="Verdana" w:hAnsi="Verdana"/>
                <w:bCs/>
                <w:sz w:val="20"/>
              </w:rPr>
              <w:t xml:space="preserve"> electronics to light the fiber.</w:t>
            </w:r>
          </w:p>
        </w:tc>
      </w:tr>
      <w:tr w:rsidR="00F935B1" w14:paraId="16960BE7" w14:textId="77777777" w:rsidTr="0083602C">
        <w:trPr>
          <w:tblCellSpacing w:w="15" w:type="dxa"/>
        </w:trPr>
        <w:tc>
          <w:tcPr>
            <w:tcW w:w="3656" w:type="dxa"/>
          </w:tcPr>
          <w:p w14:paraId="47FE6A3A" w14:textId="77777777" w:rsidR="00F935B1" w:rsidRPr="000A4491" w:rsidRDefault="00F935B1" w:rsidP="0083602C">
            <w:pPr>
              <w:rPr>
                <w:rFonts w:ascii="Verdana" w:hAnsi="Verdana"/>
                <w:sz w:val="20"/>
              </w:rPr>
            </w:pPr>
            <w:r w:rsidRPr="000A4491">
              <w:rPr>
                <w:rFonts w:ascii="Verdana" w:hAnsi="Verdana"/>
                <w:sz w:val="20"/>
              </w:rPr>
              <w:t xml:space="preserve">Local Area Network </w:t>
            </w:r>
            <w:r w:rsidRPr="000A4491">
              <w:rPr>
                <w:rFonts w:ascii="Verdana" w:hAnsi="Verdana"/>
                <w:sz w:val="20"/>
              </w:rPr>
              <w:br/>
              <w:t>(</w:t>
            </w:r>
            <w:hyperlink w:anchor="aaDataDistribution" w:history="1">
              <w:r w:rsidRPr="000A4491">
                <w:rPr>
                  <w:rStyle w:val="Hyperlink"/>
                  <w:rFonts w:ascii="Verdana" w:hAnsi="Verdana"/>
                  <w:sz w:val="20"/>
                </w:rPr>
                <w:t>Data Distribution</w:t>
              </w:r>
              <w:r w:rsidRPr="000A4491">
                <w:rPr>
                  <w:rFonts w:ascii="Verdana" w:hAnsi="Verdana"/>
                  <w:sz w:val="20"/>
                </w:rPr>
                <w:fldChar w:fldCharType="begin"/>
              </w:r>
              <w:r w:rsidRPr="000A4491">
                <w:rPr>
                  <w:rFonts w:ascii="Verdana" w:hAnsi="Verdana"/>
                  <w:sz w:val="20"/>
                </w:rPr>
                <w:instrText>xe "Data Distribution"</w:instrText>
              </w:r>
              <w:r w:rsidRPr="000A4491">
                <w:rPr>
                  <w:rFonts w:ascii="Verdana" w:hAnsi="Verdana"/>
                  <w:sz w:val="20"/>
                </w:rPr>
                <w:fldChar w:fldCharType="end"/>
              </w:r>
            </w:hyperlink>
            <w:r w:rsidRPr="000A4491">
              <w:rPr>
                <w:rFonts w:ascii="Verdana" w:hAnsi="Verdana"/>
                <w:sz w:val="20"/>
              </w:rPr>
              <w:t>)</w:t>
            </w:r>
          </w:p>
        </w:tc>
        <w:tc>
          <w:tcPr>
            <w:tcW w:w="5441" w:type="dxa"/>
          </w:tcPr>
          <w:p w14:paraId="063E141B" w14:textId="77777777" w:rsidR="00F935B1" w:rsidRPr="000A4491" w:rsidRDefault="00F935B1" w:rsidP="0083602C">
            <w:pPr>
              <w:pStyle w:val="NormalWeb"/>
              <w:spacing w:before="0" w:beforeAutospacing="0" w:after="0"/>
              <w:rPr>
                <w:rFonts w:ascii="Verdana" w:hAnsi="Verdana"/>
                <w:sz w:val="20"/>
              </w:rPr>
            </w:pPr>
            <w:r w:rsidRPr="000A4491">
              <w:rPr>
                <w:rFonts w:ascii="Verdana" w:hAnsi="Verdana"/>
                <w:sz w:val="20"/>
              </w:rPr>
              <w:t>A Local</w:t>
            </w:r>
            <w:r w:rsidRPr="000A4491">
              <w:rPr>
                <w:rFonts w:ascii="Verdana" w:hAnsi="Verdana"/>
                <w:sz w:val="20"/>
              </w:rPr>
              <w:fldChar w:fldCharType="begin"/>
            </w:r>
            <w:r w:rsidRPr="000A4491">
              <w:rPr>
                <w:rFonts w:ascii="Verdana" w:hAnsi="Verdana"/>
                <w:sz w:val="20"/>
              </w:rPr>
              <w:instrText>xe "Local Area Networks"</w:instrText>
            </w:r>
            <w:r w:rsidRPr="000A4491">
              <w:rPr>
                <w:rFonts w:ascii="Verdana" w:hAnsi="Verdana"/>
                <w:sz w:val="20"/>
              </w:rPr>
              <w:fldChar w:fldCharType="end"/>
            </w:r>
            <w:r w:rsidRPr="000A4491">
              <w:rPr>
                <w:rFonts w:ascii="Verdana" w:hAnsi="Verdana"/>
                <w:sz w:val="20"/>
              </w:rPr>
              <w:t xml:space="preserve"> Area Network (LAN</w:t>
            </w:r>
            <w:r w:rsidRPr="000A4491">
              <w:rPr>
                <w:rFonts w:ascii="Verdana" w:hAnsi="Verdana"/>
                <w:sz w:val="20"/>
              </w:rPr>
              <w:fldChar w:fldCharType="begin"/>
            </w:r>
            <w:r w:rsidRPr="000A4491">
              <w:rPr>
                <w:rFonts w:ascii="Verdana" w:hAnsi="Verdana"/>
                <w:sz w:val="20"/>
              </w:rPr>
              <w:instrText>xe "LAN"</w:instrText>
            </w:r>
            <w:r w:rsidRPr="000A4491">
              <w:rPr>
                <w:rFonts w:ascii="Verdana" w:hAnsi="Verdana"/>
                <w:sz w:val="20"/>
              </w:rPr>
              <w:fldChar w:fldCharType="end"/>
            </w:r>
            <w:r w:rsidRPr="000A4491">
              <w:rPr>
                <w:rFonts w:ascii="Verdana" w:hAnsi="Verdana"/>
                <w:sz w:val="20"/>
              </w:rPr>
              <w:t>) is a short distance data communications network used to link together computers and peripheral devices under some form of standard control.  The LAN is most often connected by cabling or wireless</w:t>
            </w:r>
            <w:r w:rsidRPr="000A4491">
              <w:rPr>
                <w:rFonts w:ascii="Verdana" w:hAnsi="Verdana"/>
                <w:sz w:val="20"/>
              </w:rPr>
              <w:fldChar w:fldCharType="begin"/>
            </w:r>
            <w:r w:rsidRPr="000A4491">
              <w:rPr>
                <w:rFonts w:ascii="Verdana" w:hAnsi="Verdana"/>
                <w:sz w:val="20"/>
              </w:rPr>
              <w:instrText>xe "Wireless"</w:instrText>
            </w:r>
            <w:r w:rsidRPr="000A4491">
              <w:rPr>
                <w:rFonts w:ascii="Verdana" w:hAnsi="Verdana"/>
                <w:sz w:val="20"/>
              </w:rPr>
              <w:fldChar w:fldCharType="end"/>
            </w:r>
            <w:r w:rsidRPr="000A4491">
              <w:rPr>
                <w:rFonts w:ascii="Verdana" w:hAnsi="Verdana"/>
                <w:sz w:val="20"/>
              </w:rPr>
              <w:t xml:space="preserve"> links within the same building.  A LAN consists of several components, including cabling, servers</w:t>
            </w:r>
            <w:r w:rsidRPr="000A4491">
              <w:rPr>
                <w:rFonts w:ascii="Verdana" w:hAnsi="Verdana"/>
                <w:sz w:val="20"/>
              </w:rPr>
              <w:fldChar w:fldCharType="begin"/>
            </w:r>
            <w:r w:rsidRPr="000A4491">
              <w:rPr>
                <w:rFonts w:ascii="Verdana" w:hAnsi="Verdana"/>
                <w:sz w:val="20"/>
              </w:rPr>
              <w:instrText>xe "Servers"</w:instrText>
            </w:r>
            <w:r w:rsidRPr="000A4491">
              <w:rPr>
                <w:rFonts w:ascii="Verdana" w:hAnsi="Verdana"/>
                <w:sz w:val="20"/>
              </w:rPr>
              <w:fldChar w:fldCharType="end"/>
            </w:r>
            <w:r w:rsidRPr="000A4491">
              <w:rPr>
                <w:rFonts w:ascii="Verdana" w:hAnsi="Verdana"/>
                <w:sz w:val="20"/>
              </w:rPr>
              <w:t>, computer workstations</w:t>
            </w:r>
            <w:r w:rsidRPr="000A4491">
              <w:rPr>
                <w:rFonts w:ascii="Verdana" w:hAnsi="Verdana"/>
                <w:sz w:val="20"/>
              </w:rPr>
              <w:fldChar w:fldCharType="begin"/>
            </w:r>
            <w:r w:rsidRPr="000A4491">
              <w:rPr>
                <w:rFonts w:ascii="Verdana" w:hAnsi="Verdana"/>
                <w:sz w:val="20"/>
              </w:rPr>
              <w:instrText>xe "Workstations"</w:instrText>
            </w:r>
            <w:r w:rsidRPr="000A4491">
              <w:rPr>
                <w:rFonts w:ascii="Verdana" w:hAnsi="Verdana"/>
                <w:sz w:val="20"/>
              </w:rPr>
              <w:fldChar w:fldCharType="end"/>
            </w:r>
            <w:r w:rsidRPr="000A4491">
              <w:rPr>
                <w:rFonts w:ascii="Verdana" w:hAnsi="Verdana"/>
                <w:sz w:val="20"/>
              </w:rPr>
              <w:t>, network interface cards, printers, and data distribution</w:t>
            </w:r>
            <w:r w:rsidRPr="000A4491">
              <w:rPr>
                <w:rFonts w:ascii="Verdana" w:hAnsi="Verdana"/>
                <w:sz w:val="20"/>
              </w:rPr>
              <w:fldChar w:fldCharType="begin"/>
            </w:r>
            <w:r w:rsidRPr="000A4491">
              <w:rPr>
                <w:rFonts w:ascii="Verdana" w:hAnsi="Verdana"/>
                <w:sz w:val="20"/>
              </w:rPr>
              <w:instrText>xe "Data Distribution"</w:instrText>
            </w:r>
            <w:r w:rsidRPr="000A4491">
              <w:rPr>
                <w:rFonts w:ascii="Verdana" w:hAnsi="Verdana"/>
                <w:sz w:val="20"/>
              </w:rPr>
              <w:fldChar w:fldCharType="end"/>
            </w:r>
            <w:r w:rsidRPr="000A4491">
              <w:rPr>
                <w:rFonts w:ascii="Verdana" w:hAnsi="Verdana"/>
                <w:sz w:val="20"/>
              </w:rPr>
              <w:t xml:space="preserve"> equipment, such as network switches, hubs, and routers.</w:t>
            </w:r>
          </w:p>
        </w:tc>
      </w:tr>
      <w:tr w:rsidR="00F935B1" w14:paraId="4C001BBB" w14:textId="77777777" w:rsidTr="0083602C">
        <w:trPr>
          <w:tblCellSpacing w:w="15" w:type="dxa"/>
        </w:trPr>
        <w:tc>
          <w:tcPr>
            <w:tcW w:w="3656" w:type="dxa"/>
          </w:tcPr>
          <w:p w14:paraId="15536A52" w14:textId="77777777" w:rsidR="00F935B1" w:rsidRPr="000A4491" w:rsidRDefault="00F935B1" w:rsidP="0083602C">
            <w:pPr>
              <w:rPr>
                <w:rFonts w:ascii="Verdana" w:hAnsi="Verdana"/>
                <w:sz w:val="20"/>
              </w:rPr>
            </w:pPr>
            <w:r w:rsidRPr="000A4491">
              <w:rPr>
                <w:rFonts w:ascii="Verdana" w:hAnsi="Verdana"/>
                <w:sz w:val="20"/>
              </w:rPr>
              <w:t>Local</w:t>
            </w:r>
            <w:r w:rsidRPr="000A4491">
              <w:rPr>
                <w:rFonts w:ascii="Verdana" w:hAnsi="Verdana"/>
                <w:sz w:val="20"/>
              </w:rPr>
              <w:fldChar w:fldCharType="begin"/>
            </w:r>
            <w:r w:rsidRPr="000A4491">
              <w:rPr>
                <w:rFonts w:ascii="Verdana" w:hAnsi="Verdana"/>
                <w:sz w:val="20"/>
              </w:rPr>
              <w:instrText>xe "Local Measured Service"</w:instrText>
            </w:r>
            <w:r w:rsidRPr="000A4491">
              <w:rPr>
                <w:rFonts w:ascii="Verdana" w:hAnsi="Verdana"/>
                <w:sz w:val="20"/>
              </w:rPr>
              <w:fldChar w:fldCharType="end"/>
            </w:r>
            <w:r w:rsidRPr="000A4491">
              <w:rPr>
                <w:rFonts w:ascii="Verdana" w:hAnsi="Verdana"/>
                <w:sz w:val="20"/>
              </w:rPr>
              <w:t xml:space="preserve"> Measured Service</w:t>
            </w:r>
          </w:p>
          <w:p w14:paraId="3C22979E" w14:textId="77777777" w:rsidR="00F935B1" w:rsidRPr="000A4491" w:rsidRDefault="00F935B1" w:rsidP="0083602C">
            <w:pPr>
              <w:rPr>
                <w:rFonts w:ascii="Verdana" w:hAnsi="Verdana"/>
                <w:sz w:val="20"/>
              </w:rPr>
            </w:pPr>
            <w:r w:rsidRPr="000A4491">
              <w:rPr>
                <w:rFonts w:ascii="Verdana" w:hAnsi="Verdana"/>
                <w:sz w:val="20"/>
              </w:rPr>
              <w:t>(</w:t>
            </w:r>
            <w:hyperlink w:anchor="aattTelephoneService" w:history="1">
              <w:r w:rsidRPr="000A4491">
                <w:rPr>
                  <w:rStyle w:val="Hyperlink"/>
                  <w:rFonts w:ascii="Verdana" w:hAnsi="Verdana"/>
                  <w:sz w:val="20"/>
                </w:rPr>
                <w:t>Telephone Service</w:t>
              </w:r>
              <w:r w:rsidRPr="000A4491">
                <w:rPr>
                  <w:rFonts w:ascii="Verdana" w:hAnsi="Verdana"/>
                  <w:sz w:val="20"/>
                </w:rPr>
                <w:fldChar w:fldCharType="begin"/>
              </w:r>
              <w:r w:rsidRPr="000A4491">
                <w:rPr>
                  <w:rFonts w:ascii="Verdana" w:hAnsi="Verdana"/>
                  <w:sz w:val="20"/>
                </w:rPr>
                <w:instrText>xe "Telephone Service"</w:instrText>
              </w:r>
              <w:r w:rsidRPr="000A4491">
                <w:rPr>
                  <w:rFonts w:ascii="Verdana" w:hAnsi="Verdana"/>
                  <w:sz w:val="20"/>
                </w:rPr>
                <w:fldChar w:fldCharType="end"/>
              </w:r>
            </w:hyperlink>
            <w:r w:rsidRPr="000A4491">
              <w:rPr>
                <w:rFonts w:ascii="Verdana" w:hAnsi="Verdana"/>
                <w:sz w:val="20"/>
              </w:rPr>
              <w:t>)</w:t>
            </w:r>
          </w:p>
        </w:tc>
        <w:tc>
          <w:tcPr>
            <w:tcW w:w="5441" w:type="dxa"/>
          </w:tcPr>
          <w:p w14:paraId="161F5B59" w14:textId="77777777" w:rsidR="00F935B1" w:rsidRPr="000A4491" w:rsidRDefault="00F935B1" w:rsidP="0083602C">
            <w:pPr>
              <w:pStyle w:val="NormalWeb"/>
              <w:spacing w:before="0" w:beforeAutospacing="0" w:after="0"/>
              <w:rPr>
                <w:rFonts w:ascii="Verdana" w:hAnsi="Verdana"/>
                <w:sz w:val="20"/>
              </w:rPr>
            </w:pPr>
            <w:r w:rsidRPr="000A4491">
              <w:rPr>
                <w:rFonts w:ascii="Verdana" w:hAnsi="Verdana"/>
                <w:sz w:val="20"/>
              </w:rPr>
              <w:t>Local telephone companies use several methods to bill customers for local phone</w:t>
            </w:r>
            <w:r w:rsidRPr="000A4491">
              <w:rPr>
                <w:rFonts w:ascii="Verdana" w:hAnsi="Verdana"/>
                <w:sz w:val="20"/>
              </w:rPr>
              <w:fldChar w:fldCharType="begin"/>
            </w:r>
            <w:r w:rsidRPr="000A4491">
              <w:rPr>
                <w:rFonts w:ascii="Verdana" w:hAnsi="Verdana"/>
                <w:sz w:val="20"/>
              </w:rPr>
              <w:instrText>xe "Local Phone Service"</w:instrText>
            </w:r>
            <w:r w:rsidRPr="000A4491">
              <w:rPr>
                <w:rFonts w:ascii="Verdana" w:hAnsi="Verdana"/>
                <w:sz w:val="20"/>
              </w:rPr>
              <w:fldChar w:fldCharType="end"/>
            </w:r>
            <w:r w:rsidRPr="000A4491">
              <w:rPr>
                <w:rFonts w:ascii="Verdana" w:hAnsi="Verdana"/>
                <w:sz w:val="20"/>
              </w:rPr>
              <w:t xml:space="preserve"> service, such as Flat Rate</w:t>
            </w:r>
            <w:r w:rsidRPr="000A4491">
              <w:rPr>
                <w:rFonts w:ascii="Verdana" w:hAnsi="Verdana"/>
                <w:sz w:val="20"/>
              </w:rPr>
              <w:fldChar w:fldCharType="begin"/>
            </w:r>
            <w:r w:rsidRPr="000A4491">
              <w:rPr>
                <w:rFonts w:ascii="Verdana" w:hAnsi="Verdana"/>
                <w:sz w:val="20"/>
              </w:rPr>
              <w:instrText>xe "Flat Rate"</w:instrText>
            </w:r>
            <w:r w:rsidRPr="000A4491">
              <w:rPr>
                <w:rFonts w:ascii="Verdana" w:hAnsi="Verdana"/>
                <w:sz w:val="20"/>
              </w:rPr>
              <w:fldChar w:fldCharType="end"/>
            </w:r>
            <w:r w:rsidRPr="000A4491">
              <w:rPr>
                <w:rFonts w:ascii="Verdana" w:hAnsi="Verdana"/>
                <w:sz w:val="20"/>
              </w:rPr>
              <w:t xml:space="preserve">, Message Rate, and Local Measured Service.  Local Measured Service typically allows an unlimited number of incoming calls.  Outgoing calls beyond a certain </w:t>
            </w:r>
            <w:r w:rsidRPr="000A4491">
              <w:rPr>
                <w:rFonts w:ascii="Verdana" w:hAnsi="Verdana"/>
                <w:sz w:val="20"/>
              </w:rPr>
              <w:lastRenderedPageBreak/>
              <w:t>threshold result in extra charges.</w:t>
            </w:r>
          </w:p>
        </w:tc>
      </w:tr>
      <w:tr w:rsidR="00F935B1" w14:paraId="2244A829" w14:textId="77777777" w:rsidTr="0083602C">
        <w:trPr>
          <w:tblCellSpacing w:w="15" w:type="dxa"/>
        </w:trPr>
        <w:tc>
          <w:tcPr>
            <w:tcW w:w="3656" w:type="dxa"/>
          </w:tcPr>
          <w:p w14:paraId="3B34A9D4" w14:textId="77777777" w:rsidR="00F935B1" w:rsidRPr="000A4491" w:rsidRDefault="00F935B1" w:rsidP="0083602C">
            <w:pPr>
              <w:rPr>
                <w:rFonts w:ascii="Verdana" w:hAnsi="Verdana"/>
                <w:sz w:val="20"/>
              </w:rPr>
            </w:pPr>
            <w:r w:rsidRPr="000A4491">
              <w:rPr>
                <w:rFonts w:ascii="Verdana" w:hAnsi="Verdana"/>
                <w:sz w:val="20"/>
              </w:rPr>
              <w:lastRenderedPageBreak/>
              <w:t>Local</w:t>
            </w:r>
            <w:r w:rsidRPr="000A4491">
              <w:rPr>
                <w:rFonts w:ascii="Verdana" w:hAnsi="Verdana"/>
                <w:sz w:val="20"/>
              </w:rPr>
              <w:fldChar w:fldCharType="begin"/>
            </w:r>
            <w:r w:rsidRPr="000A4491">
              <w:rPr>
                <w:rFonts w:ascii="Verdana" w:hAnsi="Verdana"/>
                <w:sz w:val="20"/>
              </w:rPr>
              <w:instrText>xe "Local Phone Service"</w:instrText>
            </w:r>
            <w:r w:rsidRPr="000A4491">
              <w:rPr>
                <w:rFonts w:ascii="Verdana" w:hAnsi="Verdana"/>
                <w:sz w:val="20"/>
              </w:rPr>
              <w:fldChar w:fldCharType="end"/>
            </w:r>
            <w:r w:rsidRPr="000A4491">
              <w:rPr>
                <w:rFonts w:ascii="Verdana" w:hAnsi="Verdana"/>
                <w:sz w:val="20"/>
              </w:rPr>
              <w:t xml:space="preserve"> Phone Service</w:t>
            </w:r>
          </w:p>
          <w:p w14:paraId="6E63FC22" w14:textId="77777777" w:rsidR="00F935B1" w:rsidRPr="000A4491" w:rsidRDefault="00F935B1" w:rsidP="0083602C">
            <w:pPr>
              <w:rPr>
                <w:rFonts w:ascii="Verdana" w:hAnsi="Verdana"/>
                <w:sz w:val="20"/>
              </w:rPr>
            </w:pPr>
            <w:r w:rsidRPr="000A4491">
              <w:rPr>
                <w:rFonts w:ascii="Verdana" w:hAnsi="Verdana"/>
                <w:sz w:val="20"/>
              </w:rPr>
              <w:t>(</w:t>
            </w:r>
            <w:hyperlink w:anchor="aattTelephoneService" w:history="1">
              <w:r w:rsidRPr="000A4491">
                <w:rPr>
                  <w:rStyle w:val="Hyperlink"/>
                  <w:rFonts w:ascii="Verdana" w:hAnsi="Verdana"/>
                  <w:sz w:val="20"/>
                </w:rPr>
                <w:t>Telephone Service</w:t>
              </w:r>
              <w:r w:rsidRPr="000A4491">
                <w:rPr>
                  <w:rFonts w:ascii="Verdana" w:hAnsi="Verdana"/>
                  <w:sz w:val="20"/>
                </w:rPr>
                <w:fldChar w:fldCharType="begin"/>
              </w:r>
              <w:r w:rsidRPr="000A4491">
                <w:rPr>
                  <w:rFonts w:ascii="Verdana" w:hAnsi="Verdana"/>
                  <w:sz w:val="20"/>
                </w:rPr>
                <w:instrText>xe "Telephone Service"</w:instrText>
              </w:r>
              <w:r w:rsidRPr="000A4491">
                <w:rPr>
                  <w:rFonts w:ascii="Verdana" w:hAnsi="Verdana"/>
                  <w:sz w:val="20"/>
                </w:rPr>
                <w:fldChar w:fldCharType="end"/>
              </w:r>
            </w:hyperlink>
            <w:r w:rsidRPr="000A4491">
              <w:rPr>
                <w:rFonts w:ascii="Verdana" w:hAnsi="Verdana"/>
                <w:sz w:val="20"/>
              </w:rPr>
              <w:t>)</w:t>
            </w:r>
          </w:p>
        </w:tc>
        <w:tc>
          <w:tcPr>
            <w:tcW w:w="5441" w:type="dxa"/>
          </w:tcPr>
          <w:p w14:paraId="0CCCA78E" w14:textId="77777777" w:rsidR="00F935B1" w:rsidRPr="000A4491" w:rsidRDefault="00F935B1" w:rsidP="0083602C">
            <w:pPr>
              <w:rPr>
                <w:rFonts w:ascii="Verdana" w:hAnsi="Verdana"/>
                <w:sz w:val="20"/>
              </w:rPr>
            </w:pPr>
            <w:r w:rsidRPr="000A4491">
              <w:rPr>
                <w:rFonts w:ascii="Verdana" w:hAnsi="Verdana"/>
                <w:sz w:val="20"/>
              </w:rPr>
              <w:t>Local phone service</w:t>
            </w:r>
            <w:r w:rsidRPr="000A4491">
              <w:rPr>
                <w:rFonts w:ascii="Verdana" w:hAnsi="Verdana"/>
                <w:sz w:val="20"/>
              </w:rPr>
              <w:fldChar w:fldCharType="begin"/>
            </w:r>
            <w:r w:rsidRPr="000A4491">
              <w:rPr>
                <w:rFonts w:ascii="Verdana" w:hAnsi="Verdana"/>
                <w:sz w:val="20"/>
              </w:rPr>
              <w:instrText>xe "</w:instrText>
            </w:r>
            <w:r w:rsidRPr="000A4491">
              <w:rPr>
                <w:rStyle w:val="Hyperlink"/>
                <w:rFonts w:ascii="Verdana" w:hAnsi="Verdana"/>
                <w:bCs/>
                <w:sz w:val="20"/>
              </w:rPr>
              <w:instrText>Local Phone Service</w:instrText>
            </w:r>
            <w:r w:rsidRPr="000A4491">
              <w:rPr>
                <w:rFonts w:ascii="Verdana" w:hAnsi="Verdana"/>
                <w:sz w:val="20"/>
              </w:rPr>
              <w:instrText>"</w:instrText>
            </w:r>
            <w:r w:rsidRPr="000A4491">
              <w:rPr>
                <w:rFonts w:ascii="Verdana" w:hAnsi="Verdana"/>
                <w:sz w:val="20"/>
              </w:rPr>
              <w:fldChar w:fldCharType="end"/>
            </w:r>
            <w:r w:rsidRPr="000A4491">
              <w:rPr>
                <w:rFonts w:ascii="Verdana" w:hAnsi="Verdana"/>
                <w:sz w:val="20"/>
              </w:rPr>
              <w:t xml:space="preserve"> is a service provided by a local exchange carrier (LEC).  Phone lines from homes and businesses terminate at a central office of a LEC, which in turn connects to other local exchanges and to carriers for long distance</w:t>
            </w:r>
            <w:r w:rsidRPr="000A4491">
              <w:rPr>
                <w:rFonts w:ascii="Verdana" w:hAnsi="Verdana"/>
                <w:sz w:val="20"/>
              </w:rPr>
              <w:fldChar w:fldCharType="begin"/>
            </w:r>
            <w:r w:rsidRPr="000A4491">
              <w:rPr>
                <w:rFonts w:ascii="Verdana" w:hAnsi="Verdana"/>
                <w:sz w:val="20"/>
              </w:rPr>
              <w:instrText>xe "Long Distance"</w:instrText>
            </w:r>
            <w:r w:rsidRPr="000A4491">
              <w:rPr>
                <w:rFonts w:ascii="Verdana" w:hAnsi="Verdana"/>
                <w:sz w:val="20"/>
              </w:rPr>
              <w:fldChar w:fldCharType="end"/>
            </w:r>
            <w:r w:rsidRPr="000A4491">
              <w:rPr>
                <w:rFonts w:ascii="Verdana" w:hAnsi="Verdana"/>
                <w:sz w:val="20"/>
              </w:rPr>
              <w:t xml:space="preserve"> service.</w:t>
            </w:r>
          </w:p>
        </w:tc>
      </w:tr>
      <w:tr w:rsidR="00F935B1" w14:paraId="3CC7E018" w14:textId="77777777" w:rsidTr="0083602C">
        <w:trPr>
          <w:tblCellSpacing w:w="15" w:type="dxa"/>
        </w:trPr>
        <w:tc>
          <w:tcPr>
            <w:tcW w:w="3656" w:type="dxa"/>
          </w:tcPr>
          <w:p w14:paraId="3EF401DD" w14:textId="77777777" w:rsidR="00F935B1" w:rsidRPr="000A4491" w:rsidRDefault="00F935B1" w:rsidP="0083602C">
            <w:pPr>
              <w:rPr>
                <w:rFonts w:ascii="Verdana" w:hAnsi="Verdana"/>
                <w:sz w:val="20"/>
              </w:rPr>
            </w:pPr>
            <w:r w:rsidRPr="000A4491">
              <w:rPr>
                <w:rFonts w:ascii="Verdana" w:hAnsi="Verdana"/>
                <w:sz w:val="20"/>
              </w:rPr>
              <w:t>Long Distance Telephone Service</w:t>
            </w:r>
            <w:r w:rsidRPr="000A4491">
              <w:rPr>
                <w:rFonts w:ascii="Verdana" w:hAnsi="Verdana"/>
                <w:sz w:val="20"/>
              </w:rPr>
              <w:fldChar w:fldCharType="begin"/>
            </w:r>
            <w:r w:rsidRPr="000A4491">
              <w:rPr>
                <w:rFonts w:ascii="Verdana" w:hAnsi="Verdana"/>
                <w:sz w:val="20"/>
              </w:rPr>
              <w:instrText>xe "Telephone Service"</w:instrText>
            </w:r>
            <w:r w:rsidRPr="000A4491">
              <w:rPr>
                <w:rFonts w:ascii="Verdana" w:hAnsi="Verdana"/>
                <w:sz w:val="20"/>
              </w:rPr>
              <w:fldChar w:fldCharType="end"/>
            </w:r>
          </w:p>
          <w:p w14:paraId="31F85460" w14:textId="77777777" w:rsidR="00F935B1" w:rsidRPr="000A4491" w:rsidRDefault="00F935B1" w:rsidP="0083602C">
            <w:pPr>
              <w:rPr>
                <w:rFonts w:ascii="Verdana" w:hAnsi="Verdana"/>
                <w:sz w:val="20"/>
              </w:rPr>
            </w:pPr>
            <w:r w:rsidRPr="000A4491">
              <w:rPr>
                <w:rFonts w:ascii="Verdana" w:hAnsi="Verdana"/>
                <w:sz w:val="20"/>
              </w:rPr>
              <w:t>(</w:t>
            </w:r>
            <w:hyperlink w:anchor="aattTelephoneService" w:history="1">
              <w:r w:rsidRPr="000A4491">
                <w:rPr>
                  <w:rStyle w:val="Hyperlink"/>
                  <w:rFonts w:ascii="Verdana" w:hAnsi="Verdana"/>
                  <w:sz w:val="20"/>
                </w:rPr>
                <w:t>Telephone Service</w:t>
              </w:r>
              <w:r w:rsidRPr="000A4491">
                <w:rPr>
                  <w:rFonts w:ascii="Verdana" w:hAnsi="Verdana"/>
                  <w:sz w:val="20"/>
                </w:rPr>
                <w:fldChar w:fldCharType="begin"/>
              </w:r>
              <w:r w:rsidRPr="000A4491">
                <w:rPr>
                  <w:rFonts w:ascii="Verdana" w:hAnsi="Verdana"/>
                  <w:sz w:val="20"/>
                </w:rPr>
                <w:instrText>xe "Telephone Service"</w:instrText>
              </w:r>
              <w:r w:rsidRPr="000A4491">
                <w:rPr>
                  <w:rFonts w:ascii="Verdana" w:hAnsi="Verdana"/>
                  <w:sz w:val="20"/>
                </w:rPr>
                <w:fldChar w:fldCharType="end"/>
              </w:r>
            </w:hyperlink>
            <w:r w:rsidRPr="000A4491">
              <w:rPr>
                <w:rFonts w:ascii="Verdana" w:hAnsi="Verdana"/>
                <w:sz w:val="20"/>
              </w:rPr>
              <w:t>)</w:t>
            </w:r>
          </w:p>
        </w:tc>
        <w:tc>
          <w:tcPr>
            <w:tcW w:w="5441" w:type="dxa"/>
          </w:tcPr>
          <w:p w14:paraId="1EC9BF98" w14:textId="77777777" w:rsidR="00F935B1" w:rsidRPr="000A4491" w:rsidRDefault="00F935B1" w:rsidP="0083602C">
            <w:pPr>
              <w:rPr>
                <w:rFonts w:ascii="Verdana" w:hAnsi="Verdana"/>
                <w:sz w:val="20"/>
              </w:rPr>
            </w:pPr>
            <w:r w:rsidRPr="000A4491">
              <w:rPr>
                <w:rFonts w:ascii="Verdana" w:hAnsi="Verdana"/>
                <w:sz w:val="20"/>
              </w:rPr>
              <w:t>Long distance</w:t>
            </w:r>
            <w:r w:rsidRPr="000A4491">
              <w:rPr>
                <w:rFonts w:ascii="Verdana" w:hAnsi="Verdana"/>
                <w:sz w:val="20"/>
              </w:rPr>
              <w:fldChar w:fldCharType="begin"/>
            </w:r>
            <w:r w:rsidRPr="000A4491">
              <w:rPr>
                <w:rFonts w:ascii="Verdana" w:hAnsi="Verdana"/>
                <w:sz w:val="20"/>
              </w:rPr>
              <w:instrText>xe "</w:instrText>
            </w:r>
            <w:r w:rsidRPr="000A4491">
              <w:rPr>
                <w:rStyle w:val="Hyperlink"/>
                <w:rFonts w:ascii="Verdana" w:hAnsi="Verdana"/>
                <w:bCs/>
                <w:sz w:val="20"/>
              </w:rPr>
              <w:instrText>Long Distance</w:instrText>
            </w:r>
            <w:r w:rsidRPr="000A4491">
              <w:rPr>
                <w:rFonts w:ascii="Verdana" w:hAnsi="Verdana"/>
                <w:sz w:val="20"/>
              </w:rPr>
              <w:instrText>"</w:instrText>
            </w:r>
            <w:r w:rsidRPr="000A4491">
              <w:rPr>
                <w:rFonts w:ascii="Verdana" w:hAnsi="Verdana"/>
                <w:sz w:val="20"/>
              </w:rPr>
              <w:fldChar w:fldCharType="end"/>
            </w:r>
            <w:r w:rsidRPr="000A4491">
              <w:rPr>
                <w:rFonts w:ascii="Verdana" w:hAnsi="Verdana"/>
                <w:sz w:val="20"/>
              </w:rPr>
              <w:t xml:space="preserve"> telephone service</w:t>
            </w:r>
            <w:r w:rsidRPr="000A4491">
              <w:rPr>
                <w:rFonts w:ascii="Verdana" w:hAnsi="Verdana"/>
                <w:sz w:val="20"/>
              </w:rPr>
              <w:fldChar w:fldCharType="begin"/>
            </w:r>
            <w:r w:rsidRPr="000A4491">
              <w:rPr>
                <w:rFonts w:ascii="Verdana" w:hAnsi="Verdana"/>
                <w:sz w:val="20"/>
              </w:rPr>
              <w:instrText>xe "Telephone Service"</w:instrText>
            </w:r>
            <w:r w:rsidRPr="000A4491">
              <w:rPr>
                <w:rFonts w:ascii="Verdana" w:hAnsi="Verdana"/>
                <w:sz w:val="20"/>
              </w:rPr>
              <w:fldChar w:fldCharType="end"/>
            </w:r>
            <w:r w:rsidRPr="000A4491">
              <w:rPr>
                <w:rFonts w:ascii="Verdana" w:hAnsi="Verdana"/>
                <w:sz w:val="20"/>
              </w:rPr>
              <w:t xml:space="preserve"> is provided by interexchange carriers and provides telephone service outside of a local calling area.</w:t>
            </w:r>
          </w:p>
        </w:tc>
      </w:tr>
      <w:tr w:rsidR="00F935B1" w14:paraId="2687A691" w14:textId="77777777" w:rsidTr="0083602C">
        <w:trPr>
          <w:tblCellSpacing w:w="15" w:type="dxa"/>
        </w:trPr>
        <w:tc>
          <w:tcPr>
            <w:tcW w:w="3656" w:type="dxa"/>
          </w:tcPr>
          <w:p w14:paraId="5AECC332" w14:textId="77777777" w:rsidR="00F935B1" w:rsidRPr="000A4491" w:rsidRDefault="00F935B1" w:rsidP="0083602C">
            <w:pPr>
              <w:rPr>
                <w:rFonts w:ascii="Verdana" w:hAnsi="Verdana"/>
                <w:sz w:val="20"/>
              </w:rPr>
            </w:pPr>
            <w:r w:rsidRPr="000A4491">
              <w:rPr>
                <w:rFonts w:ascii="Verdana" w:hAnsi="Verdana"/>
                <w:sz w:val="20"/>
              </w:rPr>
              <w:t>Mast</w:t>
            </w:r>
            <w:r w:rsidRPr="000A4491">
              <w:rPr>
                <w:rFonts w:ascii="Verdana" w:hAnsi="Verdana"/>
                <w:sz w:val="20"/>
              </w:rPr>
              <w:fldChar w:fldCharType="begin"/>
            </w:r>
            <w:r w:rsidRPr="000A4491">
              <w:rPr>
                <w:rFonts w:ascii="Verdana" w:hAnsi="Verdana"/>
                <w:sz w:val="20"/>
              </w:rPr>
              <w:instrText>xe "Masts"</w:instrText>
            </w:r>
            <w:r w:rsidRPr="000A4491">
              <w:rPr>
                <w:rFonts w:ascii="Verdana" w:hAnsi="Verdana"/>
                <w:sz w:val="20"/>
              </w:rPr>
              <w:fldChar w:fldCharType="end"/>
            </w:r>
            <w:r w:rsidRPr="000A4491">
              <w:rPr>
                <w:rFonts w:ascii="Verdana" w:hAnsi="Verdana"/>
                <w:sz w:val="20"/>
              </w:rPr>
              <w:t xml:space="preserve"> </w:t>
            </w:r>
            <w:r w:rsidRPr="000A4491">
              <w:rPr>
                <w:rFonts w:ascii="Verdana" w:hAnsi="Verdana"/>
                <w:sz w:val="20"/>
              </w:rPr>
              <w:br/>
              <w:t>(</w:t>
            </w:r>
            <w:hyperlink w:anchor="aaInterfacesGatewaysAntennas" w:history="1">
              <w:r w:rsidRPr="000A4491">
                <w:rPr>
                  <w:rStyle w:val="Hyperlink"/>
                  <w:rFonts w:ascii="Verdana" w:hAnsi="Verdana"/>
                  <w:sz w:val="20"/>
                </w:rPr>
                <w:t>Interfaces</w:t>
              </w:r>
              <w:r w:rsidRPr="000A4491">
                <w:rPr>
                  <w:rFonts w:ascii="Verdana" w:hAnsi="Verdana"/>
                  <w:sz w:val="20"/>
                </w:rPr>
                <w:fldChar w:fldCharType="begin"/>
              </w:r>
              <w:r w:rsidRPr="000A4491">
                <w:rPr>
                  <w:rFonts w:ascii="Verdana" w:hAnsi="Verdana"/>
                  <w:sz w:val="20"/>
                </w:rPr>
                <w:instrText>xe "</w:instrText>
              </w:r>
              <w:r w:rsidRPr="000A4491">
                <w:rPr>
                  <w:rFonts w:ascii="Verdana" w:hAnsi="Verdana"/>
                  <w:bCs/>
                  <w:sz w:val="20"/>
                </w:rPr>
                <w:instrText>Interfaces</w:instrText>
              </w:r>
              <w:r w:rsidRPr="000A4491">
                <w:rPr>
                  <w:rFonts w:ascii="Verdana" w:hAnsi="Verdana"/>
                  <w:sz w:val="20"/>
                </w:rPr>
                <w:instrText>"</w:instrText>
              </w:r>
              <w:r w:rsidRPr="000A4491">
                <w:rPr>
                  <w:rFonts w:ascii="Verdana" w:hAnsi="Verdana"/>
                  <w:sz w:val="20"/>
                </w:rPr>
                <w:fldChar w:fldCharType="end"/>
              </w:r>
            </w:hyperlink>
            <w:r w:rsidRPr="000A4491">
              <w:rPr>
                <w:rFonts w:ascii="Verdana" w:hAnsi="Verdana"/>
                <w:sz w:val="20"/>
              </w:rPr>
              <w:t>)</w:t>
            </w:r>
          </w:p>
        </w:tc>
        <w:tc>
          <w:tcPr>
            <w:tcW w:w="5441" w:type="dxa"/>
          </w:tcPr>
          <w:p w14:paraId="48094422" w14:textId="77777777" w:rsidR="00F935B1" w:rsidRPr="000A4491" w:rsidRDefault="00F935B1" w:rsidP="0083602C">
            <w:pPr>
              <w:pStyle w:val="NormalWeb"/>
              <w:spacing w:before="0" w:beforeAutospacing="0" w:after="0"/>
              <w:rPr>
                <w:rFonts w:ascii="Verdana" w:hAnsi="Verdana"/>
                <w:sz w:val="20"/>
              </w:rPr>
            </w:pPr>
            <w:r w:rsidRPr="000A4491">
              <w:rPr>
                <w:rFonts w:ascii="Verdana" w:hAnsi="Verdana"/>
                <w:sz w:val="20"/>
              </w:rPr>
              <w:t>A mast</w:t>
            </w:r>
            <w:r w:rsidRPr="000A4491">
              <w:rPr>
                <w:rFonts w:ascii="Verdana" w:hAnsi="Verdana"/>
                <w:sz w:val="20"/>
              </w:rPr>
              <w:fldChar w:fldCharType="begin"/>
            </w:r>
            <w:r w:rsidRPr="000A4491">
              <w:rPr>
                <w:rFonts w:ascii="Verdana" w:hAnsi="Verdana"/>
                <w:sz w:val="20"/>
              </w:rPr>
              <w:instrText>xe "Masts"</w:instrText>
            </w:r>
            <w:r w:rsidRPr="000A4491">
              <w:rPr>
                <w:rFonts w:ascii="Verdana" w:hAnsi="Verdana"/>
                <w:sz w:val="20"/>
              </w:rPr>
              <w:fldChar w:fldCharType="end"/>
            </w:r>
            <w:r w:rsidRPr="000A4491">
              <w:rPr>
                <w:rFonts w:ascii="Verdana" w:hAnsi="Verdana"/>
                <w:sz w:val="20"/>
              </w:rPr>
              <w:t xml:space="preserve"> is a pole or structure on which an antenna</w:t>
            </w:r>
            <w:r w:rsidRPr="000A4491">
              <w:rPr>
                <w:rFonts w:ascii="Verdana" w:hAnsi="Verdana"/>
                <w:sz w:val="20"/>
              </w:rPr>
              <w:fldChar w:fldCharType="begin"/>
            </w:r>
            <w:r w:rsidRPr="000A4491">
              <w:rPr>
                <w:rFonts w:ascii="Verdana" w:hAnsi="Verdana"/>
                <w:sz w:val="20"/>
              </w:rPr>
              <w:instrText>xe "Antennas"</w:instrText>
            </w:r>
            <w:r w:rsidRPr="000A4491">
              <w:rPr>
                <w:rFonts w:ascii="Verdana" w:hAnsi="Verdana"/>
                <w:sz w:val="20"/>
              </w:rPr>
              <w:fldChar w:fldCharType="end"/>
            </w:r>
            <w:r w:rsidRPr="000A4491">
              <w:rPr>
                <w:rFonts w:ascii="Verdana" w:hAnsi="Verdana"/>
                <w:sz w:val="20"/>
              </w:rPr>
              <w:t xml:space="preserve"> is placed.</w:t>
            </w:r>
          </w:p>
        </w:tc>
      </w:tr>
      <w:tr w:rsidR="00F935B1" w14:paraId="40B4E88C" w14:textId="77777777" w:rsidTr="0083602C">
        <w:trPr>
          <w:tblCellSpacing w:w="15" w:type="dxa"/>
        </w:trPr>
        <w:tc>
          <w:tcPr>
            <w:tcW w:w="3656" w:type="dxa"/>
          </w:tcPr>
          <w:p w14:paraId="3D0DD6D4" w14:textId="77777777" w:rsidR="00F935B1" w:rsidRPr="000A4491" w:rsidRDefault="00F935B1" w:rsidP="0083602C">
            <w:pPr>
              <w:rPr>
                <w:rFonts w:ascii="Verdana" w:hAnsi="Verdana"/>
                <w:sz w:val="20"/>
              </w:rPr>
            </w:pPr>
            <w:r w:rsidRPr="000A4491">
              <w:rPr>
                <w:rFonts w:ascii="Verdana" w:hAnsi="Verdana"/>
                <w:sz w:val="20"/>
              </w:rPr>
              <w:t>Master Control Unit</w:t>
            </w:r>
            <w:r w:rsidRPr="000A4491">
              <w:rPr>
                <w:rFonts w:ascii="Verdana" w:hAnsi="Verdana"/>
                <w:sz w:val="20"/>
              </w:rPr>
              <w:fldChar w:fldCharType="begin"/>
            </w:r>
            <w:r w:rsidRPr="000A4491">
              <w:rPr>
                <w:rFonts w:ascii="Verdana" w:hAnsi="Verdana"/>
                <w:sz w:val="20"/>
              </w:rPr>
              <w:instrText>xe "</w:instrText>
            </w:r>
            <w:r w:rsidRPr="000A4491">
              <w:rPr>
                <w:rStyle w:val="Hyperlink"/>
                <w:rFonts w:ascii="Verdana" w:hAnsi="Verdana"/>
                <w:bCs/>
                <w:sz w:val="20"/>
              </w:rPr>
              <w:instrText>Master Control Unit</w:instrText>
            </w:r>
            <w:r w:rsidRPr="000A4491">
              <w:rPr>
                <w:rFonts w:ascii="Verdana" w:hAnsi="Verdana"/>
                <w:sz w:val="20"/>
              </w:rPr>
              <w:instrText>"</w:instrText>
            </w:r>
            <w:r w:rsidRPr="000A4491">
              <w:rPr>
                <w:rFonts w:ascii="Verdana" w:hAnsi="Verdana"/>
                <w:sz w:val="20"/>
              </w:rPr>
              <w:fldChar w:fldCharType="end"/>
            </w:r>
          </w:p>
          <w:p w14:paraId="56F747CC" w14:textId="77777777" w:rsidR="00F935B1" w:rsidRPr="000A4491" w:rsidRDefault="00F935B1" w:rsidP="0083602C">
            <w:pPr>
              <w:rPr>
                <w:rFonts w:ascii="Verdana" w:hAnsi="Verdana"/>
                <w:sz w:val="20"/>
              </w:rPr>
            </w:pPr>
            <w:r w:rsidRPr="000A4491">
              <w:rPr>
                <w:rFonts w:ascii="Verdana" w:hAnsi="Verdana"/>
                <w:sz w:val="20"/>
              </w:rPr>
              <w:t>(</w:t>
            </w:r>
            <w:hyperlink w:anchor="aaVideo" w:history="1">
              <w:r w:rsidRPr="000A4491">
                <w:rPr>
                  <w:rStyle w:val="Hyperlink"/>
                  <w:rFonts w:ascii="Verdana" w:hAnsi="Verdana"/>
                  <w:sz w:val="20"/>
                </w:rPr>
                <w:t>Video Components</w:t>
              </w:r>
              <w:r w:rsidRPr="000A4491">
                <w:rPr>
                  <w:rFonts w:ascii="Verdana" w:hAnsi="Verdana"/>
                  <w:sz w:val="20"/>
                </w:rPr>
                <w:fldChar w:fldCharType="begin"/>
              </w:r>
              <w:r w:rsidRPr="000A4491">
                <w:rPr>
                  <w:rFonts w:ascii="Verdana" w:hAnsi="Verdana"/>
                  <w:sz w:val="20"/>
                </w:rPr>
                <w:instrText>xe "Video Components"</w:instrText>
              </w:r>
              <w:r w:rsidRPr="000A4491">
                <w:rPr>
                  <w:rFonts w:ascii="Verdana" w:hAnsi="Verdana"/>
                  <w:sz w:val="20"/>
                </w:rPr>
                <w:fldChar w:fldCharType="end"/>
              </w:r>
            </w:hyperlink>
            <w:r w:rsidRPr="000A4491">
              <w:rPr>
                <w:rFonts w:ascii="Verdana" w:hAnsi="Verdana"/>
                <w:sz w:val="20"/>
              </w:rPr>
              <w:t>)</w:t>
            </w:r>
          </w:p>
        </w:tc>
        <w:tc>
          <w:tcPr>
            <w:tcW w:w="5441" w:type="dxa"/>
          </w:tcPr>
          <w:p w14:paraId="678A5392" w14:textId="77777777" w:rsidR="00F935B1" w:rsidRPr="000A4491" w:rsidRDefault="00F935B1" w:rsidP="0083602C">
            <w:pPr>
              <w:pStyle w:val="NormalWeb"/>
              <w:spacing w:before="0" w:beforeAutospacing="0" w:after="0"/>
              <w:rPr>
                <w:rFonts w:ascii="Verdana" w:hAnsi="Verdana"/>
                <w:sz w:val="20"/>
              </w:rPr>
            </w:pPr>
            <w:r w:rsidRPr="000A4491">
              <w:rPr>
                <w:rFonts w:ascii="Verdana" w:hAnsi="Verdana"/>
                <w:sz w:val="20"/>
              </w:rPr>
              <w:t>A Master Control Unit</w:t>
            </w:r>
            <w:r w:rsidRPr="000A4491">
              <w:rPr>
                <w:rFonts w:ascii="Verdana" w:hAnsi="Verdana"/>
                <w:sz w:val="20"/>
              </w:rPr>
              <w:fldChar w:fldCharType="begin"/>
            </w:r>
            <w:r w:rsidRPr="000A4491">
              <w:rPr>
                <w:rFonts w:ascii="Verdana" w:hAnsi="Verdana"/>
                <w:sz w:val="20"/>
              </w:rPr>
              <w:instrText>xe "</w:instrText>
            </w:r>
            <w:r w:rsidRPr="000A4491">
              <w:rPr>
                <w:rStyle w:val="Hyperlink"/>
                <w:rFonts w:ascii="Verdana" w:hAnsi="Verdana"/>
                <w:bCs/>
                <w:sz w:val="20"/>
              </w:rPr>
              <w:instrText>Master Control Unit</w:instrText>
            </w:r>
            <w:r w:rsidRPr="000A4491">
              <w:rPr>
                <w:rFonts w:ascii="Verdana" w:hAnsi="Verdana"/>
                <w:sz w:val="20"/>
              </w:rPr>
              <w:instrText>"</w:instrText>
            </w:r>
            <w:r w:rsidRPr="000A4491">
              <w:rPr>
                <w:rFonts w:ascii="Verdana" w:hAnsi="Verdana"/>
                <w:sz w:val="20"/>
              </w:rPr>
              <w:fldChar w:fldCharType="end"/>
            </w:r>
            <w:r w:rsidRPr="000A4491">
              <w:rPr>
                <w:rFonts w:ascii="Verdana" w:hAnsi="Verdana"/>
                <w:sz w:val="20"/>
              </w:rPr>
              <w:t xml:space="preserve"> (MCU</w:t>
            </w:r>
            <w:r w:rsidRPr="000A4491">
              <w:rPr>
                <w:rFonts w:ascii="Verdana" w:hAnsi="Verdana"/>
                <w:sz w:val="20"/>
              </w:rPr>
              <w:fldChar w:fldCharType="begin"/>
            </w:r>
            <w:r w:rsidRPr="000A4491">
              <w:rPr>
                <w:rFonts w:ascii="Verdana" w:hAnsi="Verdana"/>
                <w:sz w:val="20"/>
              </w:rPr>
              <w:instrText>xe "MCU"</w:instrText>
            </w:r>
            <w:r w:rsidRPr="000A4491">
              <w:rPr>
                <w:rFonts w:ascii="Verdana" w:hAnsi="Verdana"/>
                <w:sz w:val="20"/>
              </w:rPr>
              <w:fldChar w:fldCharType="end"/>
            </w:r>
            <w:r w:rsidRPr="000A4491">
              <w:rPr>
                <w:rFonts w:ascii="Verdana" w:hAnsi="Verdana"/>
                <w:sz w:val="20"/>
              </w:rPr>
              <w:t>) is a device that controls the main operating functions of a video</w:t>
            </w:r>
            <w:r w:rsidRPr="000A4491">
              <w:rPr>
                <w:rFonts w:ascii="Verdana" w:hAnsi="Verdana"/>
                <w:sz w:val="20"/>
              </w:rPr>
              <w:fldChar w:fldCharType="begin"/>
            </w:r>
            <w:r w:rsidRPr="000A4491">
              <w:rPr>
                <w:rFonts w:ascii="Verdana" w:hAnsi="Verdana"/>
                <w:sz w:val="20"/>
              </w:rPr>
              <w:instrText>xe "Video"</w:instrText>
            </w:r>
            <w:r w:rsidRPr="000A4491">
              <w:rPr>
                <w:rFonts w:ascii="Verdana" w:hAnsi="Verdana"/>
                <w:sz w:val="20"/>
              </w:rPr>
              <w:fldChar w:fldCharType="end"/>
            </w:r>
            <w:r w:rsidRPr="000A4491">
              <w:rPr>
                <w:rFonts w:ascii="Verdana" w:hAnsi="Verdana"/>
                <w:sz w:val="20"/>
              </w:rPr>
              <w:t xml:space="preserve"> system.</w:t>
            </w:r>
            <w:r w:rsidRPr="000A4491" w:rsidDel="00300E71">
              <w:rPr>
                <w:rFonts w:ascii="Verdana" w:hAnsi="Verdana"/>
                <w:sz w:val="20"/>
              </w:rPr>
              <w:t xml:space="preserve"> </w:t>
            </w:r>
          </w:p>
        </w:tc>
      </w:tr>
      <w:tr w:rsidR="00F935B1" w14:paraId="48284F0A" w14:textId="77777777" w:rsidTr="0083602C">
        <w:trPr>
          <w:tblCellSpacing w:w="15" w:type="dxa"/>
        </w:trPr>
        <w:tc>
          <w:tcPr>
            <w:tcW w:w="3656" w:type="dxa"/>
          </w:tcPr>
          <w:p w14:paraId="774A1AE6" w14:textId="77777777" w:rsidR="00F935B1" w:rsidRPr="000A4491" w:rsidRDefault="00F935B1" w:rsidP="0083602C">
            <w:pPr>
              <w:rPr>
                <w:rFonts w:ascii="Verdana" w:hAnsi="Verdana"/>
                <w:sz w:val="20"/>
              </w:rPr>
            </w:pPr>
            <w:r w:rsidRPr="000A4491">
              <w:rPr>
                <w:rFonts w:ascii="Verdana" w:hAnsi="Verdana"/>
                <w:sz w:val="20"/>
              </w:rPr>
              <w:t>Media Converter</w:t>
            </w:r>
            <w:r w:rsidRPr="000A4491">
              <w:rPr>
                <w:rFonts w:ascii="Verdana" w:hAnsi="Verdana"/>
                <w:sz w:val="20"/>
              </w:rPr>
              <w:fldChar w:fldCharType="begin"/>
            </w:r>
            <w:r w:rsidRPr="000A4491">
              <w:rPr>
                <w:rFonts w:ascii="Verdana" w:hAnsi="Verdana"/>
                <w:sz w:val="20"/>
              </w:rPr>
              <w:instrText>xe "</w:instrText>
            </w:r>
            <w:r w:rsidRPr="000A4491">
              <w:rPr>
                <w:rStyle w:val="Hyperlink"/>
                <w:rFonts w:ascii="Verdana" w:hAnsi="Verdana"/>
                <w:bCs/>
                <w:sz w:val="20"/>
              </w:rPr>
              <w:instrText>Media Converter</w:instrText>
            </w:r>
            <w:r w:rsidRPr="000A4491">
              <w:rPr>
                <w:rFonts w:ascii="Verdana" w:hAnsi="Verdana"/>
                <w:sz w:val="20"/>
              </w:rPr>
              <w:instrText>"</w:instrText>
            </w:r>
            <w:r w:rsidRPr="000A4491">
              <w:rPr>
                <w:rFonts w:ascii="Verdana" w:hAnsi="Verdana"/>
                <w:sz w:val="20"/>
              </w:rPr>
              <w:fldChar w:fldCharType="end"/>
            </w:r>
            <w:r w:rsidRPr="000A4491">
              <w:rPr>
                <w:rFonts w:ascii="Verdana" w:hAnsi="Verdana"/>
                <w:sz w:val="20"/>
              </w:rPr>
              <w:t xml:space="preserve"> </w:t>
            </w:r>
            <w:r w:rsidRPr="000A4491">
              <w:rPr>
                <w:rFonts w:ascii="Verdana" w:hAnsi="Verdana"/>
                <w:sz w:val="20"/>
              </w:rPr>
              <w:br/>
              <w:t>(</w:t>
            </w:r>
            <w:hyperlink w:anchor="aaInterfacesGatewaysAntennas" w:history="1">
              <w:r w:rsidRPr="000A4491">
                <w:rPr>
                  <w:rStyle w:val="Hyperlink"/>
                  <w:rFonts w:ascii="Verdana" w:hAnsi="Verdana"/>
                  <w:sz w:val="20"/>
                </w:rPr>
                <w:t>Interfaces</w:t>
              </w:r>
              <w:r w:rsidRPr="000A4491">
                <w:rPr>
                  <w:rFonts w:ascii="Verdana" w:hAnsi="Verdana"/>
                  <w:sz w:val="20"/>
                </w:rPr>
                <w:fldChar w:fldCharType="begin"/>
              </w:r>
              <w:r w:rsidRPr="000A4491">
                <w:rPr>
                  <w:rFonts w:ascii="Verdana" w:hAnsi="Verdana"/>
                  <w:sz w:val="20"/>
                </w:rPr>
                <w:instrText>xe "</w:instrText>
              </w:r>
              <w:r w:rsidRPr="000A4491">
                <w:rPr>
                  <w:rFonts w:ascii="Verdana" w:hAnsi="Verdana"/>
                  <w:bCs/>
                  <w:sz w:val="20"/>
                </w:rPr>
                <w:instrText>Interfaces</w:instrText>
              </w:r>
              <w:r w:rsidRPr="000A4491">
                <w:rPr>
                  <w:rFonts w:ascii="Verdana" w:hAnsi="Verdana"/>
                  <w:sz w:val="20"/>
                </w:rPr>
                <w:instrText>"</w:instrText>
              </w:r>
              <w:r w:rsidRPr="000A4491">
                <w:rPr>
                  <w:rFonts w:ascii="Verdana" w:hAnsi="Verdana"/>
                  <w:sz w:val="20"/>
                </w:rPr>
                <w:fldChar w:fldCharType="end"/>
              </w:r>
            </w:hyperlink>
            <w:r w:rsidRPr="000A4491">
              <w:rPr>
                <w:rFonts w:ascii="Verdana" w:hAnsi="Verdana"/>
                <w:sz w:val="20"/>
              </w:rPr>
              <w:t>)</w:t>
            </w:r>
          </w:p>
        </w:tc>
        <w:tc>
          <w:tcPr>
            <w:tcW w:w="5441" w:type="dxa"/>
          </w:tcPr>
          <w:p w14:paraId="70F6D3CD" w14:textId="77777777" w:rsidR="00F935B1" w:rsidRPr="000A4491" w:rsidRDefault="00F935B1" w:rsidP="0083602C">
            <w:pPr>
              <w:pStyle w:val="NormalWeb"/>
              <w:spacing w:before="0" w:beforeAutospacing="0" w:after="0"/>
              <w:rPr>
                <w:rFonts w:ascii="Verdana" w:hAnsi="Verdana"/>
                <w:sz w:val="20"/>
              </w:rPr>
            </w:pPr>
            <w:r w:rsidRPr="000A4491">
              <w:rPr>
                <w:rFonts w:ascii="Verdana" w:hAnsi="Verdana"/>
                <w:sz w:val="20"/>
              </w:rPr>
              <w:t>A media converter</w:t>
            </w:r>
            <w:r w:rsidRPr="000A4491">
              <w:rPr>
                <w:rFonts w:ascii="Verdana" w:hAnsi="Verdana"/>
                <w:sz w:val="20"/>
              </w:rPr>
              <w:fldChar w:fldCharType="begin"/>
            </w:r>
            <w:r w:rsidRPr="000A4491">
              <w:rPr>
                <w:rFonts w:ascii="Verdana" w:hAnsi="Verdana"/>
                <w:sz w:val="20"/>
              </w:rPr>
              <w:instrText>xe "Media Converter"</w:instrText>
            </w:r>
            <w:r w:rsidRPr="000A4491">
              <w:rPr>
                <w:rFonts w:ascii="Verdana" w:hAnsi="Verdana"/>
                <w:sz w:val="20"/>
              </w:rPr>
              <w:fldChar w:fldCharType="end"/>
            </w:r>
            <w:r w:rsidRPr="000A4491">
              <w:rPr>
                <w:rFonts w:ascii="Verdana" w:hAnsi="Verdana"/>
                <w:sz w:val="20"/>
              </w:rPr>
              <w:t xml:space="preserve"> is a module</w:t>
            </w:r>
            <w:r w:rsidRPr="000A4491">
              <w:rPr>
                <w:rFonts w:ascii="Verdana" w:hAnsi="Verdana"/>
                <w:sz w:val="20"/>
              </w:rPr>
              <w:fldChar w:fldCharType="begin"/>
            </w:r>
            <w:r w:rsidRPr="000A4491">
              <w:rPr>
                <w:rFonts w:ascii="Verdana" w:hAnsi="Verdana"/>
                <w:sz w:val="20"/>
              </w:rPr>
              <w:instrText>xe "Module"</w:instrText>
            </w:r>
            <w:r w:rsidRPr="000A4491">
              <w:rPr>
                <w:rFonts w:ascii="Verdana" w:hAnsi="Verdana"/>
                <w:sz w:val="20"/>
              </w:rPr>
              <w:fldChar w:fldCharType="end"/>
            </w:r>
            <w:r w:rsidRPr="000A4491">
              <w:rPr>
                <w:rFonts w:ascii="Verdana" w:hAnsi="Verdana"/>
                <w:sz w:val="20"/>
              </w:rPr>
              <w:t xml:space="preserve"> that converts one type of media to another type of media for network compatibility. The actual media can vary, such as fiber</w:t>
            </w:r>
            <w:r w:rsidRPr="000A4491">
              <w:rPr>
                <w:rFonts w:ascii="Verdana" w:hAnsi="Verdana"/>
                <w:sz w:val="20"/>
              </w:rPr>
              <w:fldChar w:fldCharType="begin"/>
            </w:r>
            <w:r w:rsidRPr="000A4491">
              <w:rPr>
                <w:rFonts w:ascii="Verdana" w:hAnsi="Verdana"/>
                <w:sz w:val="20"/>
              </w:rPr>
              <w:instrText>xe "Fiber Coax"</w:instrText>
            </w:r>
            <w:r w:rsidRPr="000A4491">
              <w:rPr>
                <w:rFonts w:ascii="Verdana" w:hAnsi="Verdana"/>
                <w:sz w:val="20"/>
              </w:rPr>
              <w:fldChar w:fldCharType="end"/>
            </w:r>
            <w:r w:rsidRPr="000A4491">
              <w:rPr>
                <w:rFonts w:ascii="Verdana" w:hAnsi="Verdana"/>
                <w:sz w:val="20"/>
              </w:rPr>
              <w:t>, coax</w:t>
            </w:r>
            <w:r w:rsidRPr="000A4491">
              <w:rPr>
                <w:rFonts w:ascii="Verdana" w:hAnsi="Verdana"/>
                <w:sz w:val="20"/>
              </w:rPr>
              <w:fldChar w:fldCharType="begin"/>
            </w:r>
            <w:r w:rsidRPr="000A4491">
              <w:rPr>
                <w:rFonts w:ascii="Verdana" w:hAnsi="Verdana"/>
                <w:sz w:val="20"/>
              </w:rPr>
              <w:instrText>xe "C</w:instrText>
            </w:r>
            <w:r w:rsidRPr="000A4491">
              <w:rPr>
                <w:rFonts w:ascii="Verdana" w:hAnsi="Verdana"/>
                <w:bCs/>
                <w:sz w:val="20"/>
              </w:rPr>
              <w:instrText>oax</w:instrText>
            </w:r>
            <w:r w:rsidRPr="000A4491">
              <w:rPr>
                <w:rFonts w:ascii="Verdana" w:hAnsi="Verdana"/>
                <w:sz w:val="20"/>
              </w:rPr>
              <w:instrText>"</w:instrText>
            </w:r>
            <w:r w:rsidRPr="000A4491">
              <w:rPr>
                <w:rFonts w:ascii="Verdana" w:hAnsi="Verdana"/>
                <w:sz w:val="20"/>
              </w:rPr>
              <w:fldChar w:fldCharType="end"/>
            </w:r>
            <w:r w:rsidRPr="000A4491">
              <w:rPr>
                <w:rFonts w:ascii="Verdana" w:hAnsi="Verdana"/>
                <w:sz w:val="20"/>
              </w:rPr>
              <w:t>, or twisted pair</w:t>
            </w:r>
            <w:r w:rsidRPr="000A4491">
              <w:rPr>
                <w:rFonts w:ascii="Verdana" w:hAnsi="Verdana"/>
                <w:sz w:val="20"/>
              </w:rPr>
              <w:fldChar w:fldCharType="begin"/>
            </w:r>
            <w:r w:rsidRPr="000A4491">
              <w:rPr>
                <w:rFonts w:ascii="Verdana" w:hAnsi="Verdana"/>
                <w:sz w:val="20"/>
              </w:rPr>
              <w:instrText>xe "</w:instrText>
            </w:r>
            <w:r w:rsidRPr="000A4491">
              <w:rPr>
                <w:rFonts w:ascii="Verdana" w:hAnsi="Verdana"/>
                <w:bCs/>
                <w:sz w:val="20"/>
              </w:rPr>
              <w:instrText>Twisted Pair</w:instrText>
            </w:r>
            <w:r w:rsidRPr="000A4491">
              <w:rPr>
                <w:rFonts w:ascii="Verdana" w:hAnsi="Verdana"/>
                <w:sz w:val="20"/>
              </w:rPr>
              <w:instrText>"</w:instrText>
            </w:r>
            <w:r w:rsidRPr="000A4491">
              <w:rPr>
                <w:rFonts w:ascii="Verdana" w:hAnsi="Verdana"/>
                <w:sz w:val="20"/>
              </w:rPr>
              <w:fldChar w:fldCharType="end"/>
            </w:r>
            <w:r w:rsidRPr="000A4491">
              <w:rPr>
                <w:rFonts w:ascii="Verdana" w:hAnsi="Verdana"/>
                <w:sz w:val="20"/>
              </w:rPr>
              <w:t>.</w:t>
            </w:r>
          </w:p>
        </w:tc>
      </w:tr>
      <w:tr w:rsidR="00F935B1" w14:paraId="53661EDB" w14:textId="77777777" w:rsidTr="0083602C">
        <w:trPr>
          <w:tblCellSpacing w:w="15" w:type="dxa"/>
        </w:trPr>
        <w:tc>
          <w:tcPr>
            <w:tcW w:w="3656" w:type="dxa"/>
          </w:tcPr>
          <w:p w14:paraId="4D6D1E4E" w14:textId="77777777" w:rsidR="00F935B1" w:rsidRPr="000A4491" w:rsidRDefault="00F935B1" w:rsidP="0083602C">
            <w:pPr>
              <w:rPr>
                <w:rFonts w:ascii="Verdana" w:hAnsi="Verdana"/>
                <w:sz w:val="20"/>
              </w:rPr>
            </w:pPr>
            <w:r w:rsidRPr="000A4491">
              <w:rPr>
                <w:rFonts w:ascii="Verdana" w:hAnsi="Verdana"/>
                <w:sz w:val="20"/>
              </w:rPr>
              <w:t>Memory</w:t>
            </w:r>
            <w:r w:rsidRPr="000A4491">
              <w:rPr>
                <w:rFonts w:ascii="Verdana" w:hAnsi="Verdana"/>
                <w:sz w:val="20"/>
              </w:rPr>
              <w:fldChar w:fldCharType="begin"/>
            </w:r>
            <w:r w:rsidRPr="000A4491">
              <w:rPr>
                <w:rFonts w:ascii="Verdana" w:hAnsi="Verdana"/>
                <w:sz w:val="20"/>
              </w:rPr>
              <w:instrText>xe "Memory"</w:instrText>
            </w:r>
            <w:r w:rsidRPr="000A4491">
              <w:rPr>
                <w:rFonts w:ascii="Verdana" w:hAnsi="Verdana"/>
                <w:sz w:val="20"/>
              </w:rPr>
              <w:fldChar w:fldCharType="end"/>
            </w:r>
            <w:r w:rsidRPr="000A4491">
              <w:rPr>
                <w:rFonts w:ascii="Verdana" w:hAnsi="Verdana"/>
                <w:sz w:val="20"/>
              </w:rPr>
              <w:t xml:space="preserve"> Modules / Random Access Memory (RAM) </w:t>
            </w:r>
            <w:r w:rsidRPr="000A4491">
              <w:rPr>
                <w:rFonts w:ascii="Verdana" w:hAnsi="Verdana"/>
                <w:sz w:val="20"/>
              </w:rPr>
              <w:br/>
              <w:t>(</w:t>
            </w:r>
            <w:hyperlink w:anchor="aaCircuitCardsComponents" w:history="1">
              <w:r w:rsidRPr="000A4491">
                <w:rPr>
                  <w:rStyle w:val="Hyperlink"/>
                  <w:rFonts w:ascii="Verdana" w:hAnsi="Verdana"/>
                  <w:sz w:val="20"/>
                </w:rPr>
                <w:t>Circuit Cards</w:t>
              </w:r>
              <w:r w:rsidRPr="000A4491">
                <w:rPr>
                  <w:rFonts w:ascii="Verdana" w:hAnsi="Verdana"/>
                  <w:sz w:val="20"/>
                </w:rPr>
                <w:fldChar w:fldCharType="begin"/>
              </w:r>
              <w:r w:rsidRPr="000A4491">
                <w:rPr>
                  <w:rFonts w:ascii="Verdana" w:hAnsi="Verdana"/>
                  <w:sz w:val="20"/>
                </w:rPr>
                <w:instrText>xe "Circuit"</w:instrText>
              </w:r>
              <w:r w:rsidRPr="000A4491">
                <w:rPr>
                  <w:rFonts w:ascii="Verdana" w:hAnsi="Verdana"/>
                  <w:sz w:val="20"/>
                </w:rPr>
                <w:fldChar w:fldCharType="end"/>
              </w:r>
            </w:hyperlink>
            <w:r w:rsidRPr="000A4491">
              <w:rPr>
                <w:rFonts w:ascii="Verdana" w:hAnsi="Verdana"/>
                <w:sz w:val="20"/>
              </w:rPr>
              <w:t>)</w:t>
            </w:r>
          </w:p>
        </w:tc>
        <w:tc>
          <w:tcPr>
            <w:tcW w:w="5441" w:type="dxa"/>
          </w:tcPr>
          <w:p w14:paraId="6E3070D9" w14:textId="77777777" w:rsidR="00F935B1" w:rsidRPr="000A4491" w:rsidRDefault="00F935B1" w:rsidP="0083602C">
            <w:pPr>
              <w:pStyle w:val="NormalWeb"/>
              <w:spacing w:before="0" w:beforeAutospacing="0" w:after="0"/>
              <w:rPr>
                <w:rFonts w:ascii="Verdana" w:hAnsi="Verdana"/>
                <w:sz w:val="20"/>
              </w:rPr>
            </w:pPr>
            <w:r w:rsidRPr="000A4491">
              <w:rPr>
                <w:rFonts w:ascii="Verdana" w:hAnsi="Verdana"/>
                <w:sz w:val="20"/>
              </w:rPr>
              <w:t>A memory module</w:t>
            </w:r>
            <w:r w:rsidRPr="000A4491">
              <w:rPr>
                <w:rFonts w:ascii="Verdana" w:hAnsi="Verdana"/>
                <w:sz w:val="20"/>
              </w:rPr>
              <w:fldChar w:fldCharType="begin"/>
            </w:r>
            <w:r w:rsidRPr="000A4491">
              <w:rPr>
                <w:rFonts w:ascii="Verdana" w:hAnsi="Verdana"/>
                <w:sz w:val="20"/>
              </w:rPr>
              <w:instrText>xe "Module"</w:instrText>
            </w:r>
            <w:r w:rsidRPr="000A4491">
              <w:rPr>
                <w:rFonts w:ascii="Verdana" w:hAnsi="Verdana"/>
                <w:sz w:val="20"/>
              </w:rPr>
              <w:fldChar w:fldCharType="end"/>
            </w:r>
            <w:r w:rsidRPr="000A4491">
              <w:rPr>
                <w:rFonts w:ascii="Verdana" w:hAnsi="Verdana"/>
                <w:sz w:val="20"/>
              </w:rPr>
              <w:t xml:space="preserve"> is the electronic holding place for instructions and data that a computer’s microprocessor can reach quickly.  The module usually holds multiple Random Access Memory</w:t>
            </w:r>
            <w:r w:rsidRPr="000A4491">
              <w:rPr>
                <w:rFonts w:ascii="Verdana" w:hAnsi="Verdana"/>
                <w:sz w:val="20"/>
              </w:rPr>
              <w:fldChar w:fldCharType="begin"/>
            </w:r>
            <w:r w:rsidRPr="000A4491">
              <w:rPr>
                <w:rFonts w:ascii="Verdana" w:hAnsi="Verdana"/>
                <w:sz w:val="20"/>
              </w:rPr>
              <w:instrText>xe "Memory"</w:instrText>
            </w:r>
            <w:r w:rsidRPr="000A4491">
              <w:rPr>
                <w:rFonts w:ascii="Verdana" w:hAnsi="Verdana"/>
                <w:sz w:val="20"/>
              </w:rPr>
              <w:fldChar w:fldCharType="end"/>
            </w:r>
            <w:r w:rsidRPr="000A4491">
              <w:rPr>
                <w:rFonts w:ascii="Verdana" w:hAnsi="Verdana"/>
                <w:sz w:val="20"/>
              </w:rPr>
              <w:t xml:space="preserve"> (RAM) chips.  Common types are SIMM, DIMM, RDRAM, and SDRAM. </w:t>
            </w:r>
          </w:p>
        </w:tc>
      </w:tr>
      <w:tr w:rsidR="00F935B1" w14:paraId="2D0F8507" w14:textId="77777777" w:rsidTr="0083602C">
        <w:trPr>
          <w:tblCellSpacing w:w="15" w:type="dxa"/>
        </w:trPr>
        <w:tc>
          <w:tcPr>
            <w:tcW w:w="3656" w:type="dxa"/>
          </w:tcPr>
          <w:p w14:paraId="0FBA924D" w14:textId="77777777" w:rsidR="00F935B1" w:rsidRPr="000A4491" w:rsidRDefault="00F935B1" w:rsidP="0083602C">
            <w:pPr>
              <w:rPr>
                <w:rFonts w:ascii="Verdana" w:hAnsi="Verdana"/>
                <w:sz w:val="20"/>
              </w:rPr>
            </w:pPr>
            <w:r w:rsidRPr="000A4491">
              <w:rPr>
                <w:rFonts w:ascii="Verdana" w:hAnsi="Verdana"/>
                <w:sz w:val="20"/>
              </w:rPr>
              <w:t>Message Rate Service</w:t>
            </w:r>
          </w:p>
          <w:p w14:paraId="038B462E" w14:textId="77777777" w:rsidR="00F935B1" w:rsidRPr="000A4491" w:rsidRDefault="00F935B1" w:rsidP="0083602C">
            <w:pPr>
              <w:rPr>
                <w:rFonts w:ascii="Verdana" w:hAnsi="Verdana"/>
                <w:sz w:val="20"/>
              </w:rPr>
            </w:pPr>
            <w:r w:rsidRPr="000A4491">
              <w:rPr>
                <w:rFonts w:ascii="Verdana" w:hAnsi="Verdana"/>
                <w:sz w:val="20"/>
              </w:rPr>
              <w:t>(</w:t>
            </w:r>
            <w:hyperlink w:anchor="aattTelephoneService" w:history="1">
              <w:r w:rsidRPr="000A4491">
                <w:rPr>
                  <w:rStyle w:val="Hyperlink"/>
                  <w:rFonts w:ascii="Verdana" w:hAnsi="Verdana"/>
                  <w:sz w:val="20"/>
                </w:rPr>
                <w:t>Telephone Service</w:t>
              </w:r>
              <w:r w:rsidRPr="000A4491">
                <w:rPr>
                  <w:rFonts w:ascii="Verdana" w:hAnsi="Verdana"/>
                  <w:sz w:val="20"/>
                </w:rPr>
                <w:fldChar w:fldCharType="begin"/>
              </w:r>
              <w:r w:rsidRPr="000A4491">
                <w:rPr>
                  <w:rFonts w:ascii="Verdana" w:hAnsi="Verdana"/>
                  <w:sz w:val="20"/>
                </w:rPr>
                <w:instrText>xe "Telephone Service"</w:instrText>
              </w:r>
              <w:r w:rsidRPr="000A4491">
                <w:rPr>
                  <w:rFonts w:ascii="Verdana" w:hAnsi="Verdana"/>
                  <w:sz w:val="20"/>
                </w:rPr>
                <w:fldChar w:fldCharType="end"/>
              </w:r>
            </w:hyperlink>
            <w:r w:rsidRPr="000A4491">
              <w:rPr>
                <w:rFonts w:ascii="Verdana" w:hAnsi="Verdana"/>
                <w:sz w:val="20"/>
              </w:rPr>
              <w:t>)</w:t>
            </w:r>
          </w:p>
        </w:tc>
        <w:tc>
          <w:tcPr>
            <w:tcW w:w="5441" w:type="dxa"/>
          </w:tcPr>
          <w:p w14:paraId="110FFAA7" w14:textId="77777777" w:rsidR="00F935B1" w:rsidRPr="000A4491" w:rsidRDefault="00F935B1" w:rsidP="0083602C">
            <w:pPr>
              <w:rPr>
                <w:rFonts w:ascii="Verdana" w:hAnsi="Verdana"/>
                <w:sz w:val="20"/>
              </w:rPr>
            </w:pPr>
            <w:r w:rsidRPr="000A4491">
              <w:rPr>
                <w:rFonts w:ascii="Verdana" w:hAnsi="Verdana"/>
                <w:sz w:val="20"/>
              </w:rPr>
              <w:t>Local telephone companies use several methods to bill customers for local wireline service, such as Flat Rate</w:t>
            </w:r>
            <w:r w:rsidRPr="000A4491">
              <w:rPr>
                <w:rFonts w:ascii="Verdana" w:hAnsi="Verdana"/>
                <w:sz w:val="20"/>
              </w:rPr>
              <w:fldChar w:fldCharType="begin"/>
            </w:r>
            <w:r w:rsidRPr="000A4491">
              <w:rPr>
                <w:rFonts w:ascii="Verdana" w:hAnsi="Verdana"/>
                <w:sz w:val="20"/>
              </w:rPr>
              <w:instrText>xe "Flat Rate"</w:instrText>
            </w:r>
            <w:r w:rsidRPr="000A4491">
              <w:rPr>
                <w:rFonts w:ascii="Verdana" w:hAnsi="Verdana"/>
                <w:sz w:val="20"/>
              </w:rPr>
              <w:fldChar w:fldCharType="end"/>
            </w:r>
            <w:r w:rsidRPr="000A4491">
              <w:rPr>
                <w:rFonts w:ascii="Verdana" w:hAnsi="Verdana"/>
                <w:sz w:val="20"/>
              </w:rPr>
              <w:t>, Message Rate, and Local Measured Service.  Message Rate Service provides a certain number of “call units.”  Various call lengths and distances can use a different number of call units.  Calls in excess of the message rate allocation result in additional charges.</w:t>
            </w:r>
          </w:p>
        </w:tc>
      </w:tr>
      <w:tr w:rsidR="00F935B1" w14:paraId="44D8AFDA" w14:textId="77777777" w:rsidTr="0083602C">
        <w:trPr>
          <w:tblCellSpacing w:w="15" w:type="dxa"/>
        </w:trPr>
        <w:tc>
          <w:tcPr>
            <w:tcW w:w="3656" w:type="dxa"/>
          </w:tcPr>
          <w:p w14:paraId="476F2566" w14:textId="77777777" w:rsidR="00F935B1" w:rsidRPr="000A4491" w:rsidRDefault="00F935B1" w:rsidP="0083602C">
            <w:pPr>
              <w:rPr>
                <w:rFonts w:ascii="Verdana" w:hAnsi="Verdana"/>
                <w:bCs/>
                <w:color w:val="0000FF"/>
                <w:sz w:val="20"/>
                <w:u w:val="single"/>
              </w:rPr>
            </w:pPr>
            <w:r w:rsidRPr="000A4491">
              <w:rPr>
                <w:rFonts w:ascii="Verdana" w:hAnsi="Verdana"/>
                <w:sz w:val="20"/>
              </w:rPr>
              <w:t xml:space="preserve">Mobile </w:t>
            </w:r>
            <w:r w:rsidRPr="000A4491">
              <w:rPr>
                <w:rFonts w:ascii="Verdana" w:hAnsi="Verdana"/>
                <w:bCs/>
                <w:sz w:val="20"/>
              </w:rPr>
              <w:t>Hotspot Service</w:t>
            </w:r>
            <w:r w:rsidRPr="000A4491">
              <w:rPr>
                <w:rFonts w:ascii="Verdana" w:hAnsi="Verdana"/>
                <w:sz w:val="20"/>
              </w:rPr>
              <w:fldChar w:fldCharType="begin"/>
            </w:r>
            <w:r w:rsidRPr="000A4491">
              <w:rPr>
                <w:rFonts w:ascii="Verdana" w:hAnsi="Verdana"/>
                <w:sz w:val="20"/>
              </w:rPr>
              <w:instrText xml:space="preserve">xe "Mobile </w:instrText>
            </w:r>
            <w:r w:rsidRPr="000A4491">
              <w:rPr>
                <w:rFonts w:ascii="Verdana" w:hAnsi="Verdana"/>
                <w:bCs/>
                <w:sz w:val="20"/>
              </w:rPr>
              <w:instrText>Hotspot Service</w:instrText>
            </w:r>
            <w:r w:rsidRPr="000A4491">
              <w:rPr>
                <w:rFonts w:ascii="Verdana" w:hAnsi="Verdana"/>
                <w:sz w:val="20"/>
              </w:rPr>
              <w:instrText>"</w:instrText>
            </w:r>
            <w:r w:rsidRPr="000A4491">
              <w:rPr>
                <w:rFonts w:ascii="Verdana" w:hAnsi="Verdana"/>
                <w:sz w:val="20"/>
              </w:rPr>
              <w:fldChar w:fldCharType="end"/>
            </w:r>
          </w:p>
          <w:p w14:paraId="0DFA9B51" w14:textId="77777777" w:rsidR="00F935B1" w:rsidRPr="000A4491" w:rsidRDefault="00F935B1" w:rsidP="0083602C">
            <w:pPr>
              <w:rPr>
                <w:rFonts w:ascii="Verdana" w:hAnsi="Verdana"/>
                <w:sz w:val="20"/>
              </w:rPr>
            </w:pPr>
            <w:r w:rsidRPr="000A4491">
              <w:rPr>
                <w:rFonts w:ascii="Verdana" w:hAnsi="Verdana"/>
                <w:sz w:val="20"/>
              </w:rPr>
              <w:t>(</w:t>
            </w:r>
            <w:hyperlink w:anchor="InternetInternetAccess" w:history="1">
              <w:r w:rsidRPr="000A4491">
                <w:rPr>
                  <w:rStyle w:val="Hyperlink"/>
                  <w:rFonts w:ascii="Verdana" w:hAnsi="Verdana"/>
                  <w:sz w:val="20"/>
                </w:rPr>
                <w:t>Internet Access</w:t>
              </w:r>
              <w:r w:rsidRPr="000A4491">
                <w:rPr>
                  <w:rFonts w:ascii="Verdana" w:hAnsi="Verdana"/>
                  <w:sz w:val="20"/>
                </w:rPr>
                <w:fldChar w:fldCharType="begin"/>
              </w:r>
              <w:r w:rsidRPr="000A4491">
                <w:rPr>
                  <w:rFonts w:ascii="Verdana" w:hAnsi="Verdana"/>
                  <w:sz w:val="20"/>
                </w:rPr>
                <w:instrText>xe "Internet Access"</w:instrText>
              </w:r>
              <w:r w:rsidRPr="000A4491">
                <w:rPr>
                  <w:rFonts w:ascii="Verdana" w:hAnsi="Verdana"/>
                  <w:sz w:val="20"/>
                </w:rPr>
                <w:fldChar w:fldCharType="end"/>
              </w:r>
            </w:hyperlink>
            <w:r w:rsidRPr="000A4491">
              <w:rPr>
                <w:rFonts w:ascii="Verdana" w:hAnsi="Verdana"/>
                <w:sz w:val="20"/>
              </w:rPr>
              <w:t>)</w:t>
            </w:r>
          </w:p>
        </w:tc>
        <w:tc>
          <w:tcPr>
            <w:tcW w:w="5441" w:type="dxa"/>
          </w:tcPr>
          <w:p w14:paraId="62251D0F" w14:textId="77777777" w:rsidR="00F935B1" w:rsidRPr="000A4491" w:rsidRDefault="00F935B1" w:rsidP="0083602C">
            <w:pPr>
              <w:rPr>
                <w:rFonts w:ascii="Verdana" w:hAnsi="Verdana"/>
                <w:sz w:val="20"/>
              </w:rPr>
            </w:pPr>
            <w:r w:rsidRPr="000A4491">
              <w:rPr>
                <w:rFonts w:ascii="Verdana" w:hAnsi="Verdana"/>
                <w:sz w:val="20"/>
              </w:rPr>
              <w:t>Mobile hotspot service</w:t>
            </w:r>
            <w:r w:rsidRPr="000A4491">
              <w:rPr>
                <w:rFonts w:ascii="Verdana" w:hAnsi="Verdana"/>
                <w:sz w:val="20"/>
              </w:rPr>
              <w:fldChar w:fldCharType="begin"/>
            </w:r>
            <w:r w:rsidRPr="000A4491">
              <w:rPr>
                <w:rFonts w:ascii="Verdana" w:hAnsi="Verdana"/>
                <w:sz w:val="20"/>
              </w:rPr>
              <w:instrText>xe "</w:instrText>
            </w:r>
            <w:r w:rsidRPr="000A4491">
              <w:rPr>
                <w:rStyle w:val="Hyperlink"/>
                <w:rFonts w:ascii="Verdana" w:hAnsi="Verdana"/>
                <w:sz w:val="20"/>
              </w:rPr>
              <w:instrText>Mobile Hotspot Service</w:instrText>
            </w:r>
            <w:r w:rsidRPr="000A4491">
              <w:rPr>
                <w:rFonts w:ascii="Verdana" w:hAnsi="Verdana"/>
                <w:sz w:val="20"/>
              </w:rPr>
              <w:instrText>"</w:instrText>
            </w:r>
            <w:r w:rsidRPr="000A4491">
              <w:rPr>
                <w:rFonts w:ascii="Verdana" w:hAnsi="Verdana"/>
                <w:sz w:val="20"/>
              </w:rPr>
              <w:fldChar w:fldCharType="end"/>
            </w:r>
            <w:r w:rsidRPr="000A4491">
              <w:rPr>
                <w:rFonts w:ascii="Verdana" w:hAnsi="Verdana"/>
                <w:sz w:val="20"/>
              </w:rPr>
              <w:t xml:space="preserve"> allows certain mobile devices to share their high speed mobile broadband with other users wirelessly.</w:t>
            </w:r>
          </w:p>
        </w:tc>
      </w:tr>
      <w:tr w:rsidR="00F935B1" w14:paraId="7D24EBBE" w14:textId="77777777" w:rsidTr="0083602C">
        <w:trPr>
          <w:tblCellSpacing w:w="15" w:type="dxa"/>
        </w:trPr>
        <w:tc>
          <w:tcPr>
            <w:tcW w:w="3656" w:type="dxa"/>
          </w:tcPr>
          <w:p w14:paraId="47DF0B26" w14:textId="77777777" w:rsidR="00F935B1" w:rsidRPr="000A4491" w:rsidRDefault="00F935B1" w:rsidP="0083602C">
            <w:pPr>
              <w:rPr>
                <w:rFonts w:ascii="Verdana" w:hAnsi="Verdana"/>
                <w:sz w:val="20"/>
              </w:rPr>
            </w:pPr>
            <w:r w:rsidRPr="000A4491">
              <w:rPr>
                <w:rFonts w:ascii="Verdana" w:hAnsi="Verdana"/>
                <w:sz w:val="20"/>
              </w:rPr>
              <w:t xml:space="preserve">Monitor </w:t>
            </w:r>
            <w:r w:rsidRPr="000A4491">
              <w:rPr>
                <w:rFonts w:ascii="Verdana" w:hAnsi="Verdana"/>
                <w:sz w:val="20"/>
              </w:rPr>
              <w:br/>
              <w:t>(</w:t>
            </w:r>
            <w:hyperlink w:anchor="aaServers" w:history="1">
              <w:r w:rsidRPr="000A4491">
                <w:rPr>
                  <w:rStyle w:val="Hyperlink"/>
                  <w:rFonts w:ascii="Verdana" w:hAnsi="Verdana"/>
                  <w:sz w:val="20"/>
                </w:rPr>
                <w:t>Servers</w:t>
              </w:r>
              <w:r w:rsidRPr="000A4491">
                <w:rPr>
                  <w:rFonts w:ascii="Verdana" w:hAnsi="Verdana"/>
                  <w:sz w:val="20"/>
                </w:rPr>
                <w:fldChar w:fldCharType="begin"/>
              </w:r>
              <w:r w:rsidRPr="000A4491">
                <w:rPr>
                  <w:rFonts w:ascii="Verdana" w:hAnsi="Verdana"/>
                  <w:sz w:val="20"/>
                </w:rPr>
                <w:instrText>xe "Servers"</w:instrText>
              </w:r>
              <w:r w:rsidRPr="000A4491">
                <w:rPr>
                  <w:rFonts w:ascii="Verdana" w:hAnsi="Verdana"/>
                  <w:sz w:val="20"/>
                </w:rPr>
                <w:fldChar w:fldCharType="end"/>
              </w:r>
            </w:hyperlink>
            <w:r w:rsidRPr="000A4491">
              <w:rPr>
                <w:rFonts w:ascii="Verdana" w:hAnsi="Verdana"/>
                <w:sz w:val="20"/>
              </w:rPr>
              <w:t>)</w:t>
            </w:r>
          </w:p>
        </w:tc>
        <w:tc>
          <w:tcPr>
            <w:tcW w:w="5441" w:type="dxa"/>
          </w:tcPr>
          <w:p w14:paraId="52BB792F" w14:textId="77777777" w:rsidR="00F935B1" w:rsidRPr="000A4491" w:rsidRDefault="00F935B1" w:rsidP="0083602C">
            <w:pPr>
              <w:pStyle w:val="NormalWeb"/>
              <w:spacing w:before="0" w:beforeAutospacing="0" w:after="0"/>
              <w:rPr>
                <w:rFonts w:ascii="Verdana" w:hAnsi="Verdana"/>
                <w:sz w:val="20"/>
              </w:rPr>
            </w:pPr>
            <w:r w:rsidRPr="000A4491">
              <w:rPr>
                <w:rFonts w:ascii="Verdana" w:hAnsi="Verdana"/>
                <w:sz w:val="20"/>
              </w:rPr>
              <w:t>A monitor</w:t>
            </w:r>
            <w:r w:rsidRPr="000A4491">
              <w:rPr>
                <w:rFonts w:ascii="Verdana" w:hAnsi="Verdana"/>
                <w:sz w:val="20"/>
              </w:rPr>
              <w:fldChar w:fldCharType="begin"/>
            </w:r>
            <w:r w:rsidRPr="000A4491">
              <w:rPr>
                <w:rFonts w:ascii="Verdana" w:hAnsi="Verdana"/>
                <w:sz w:val="20"/>
              </w:rPr>
              <w:instrText>xe "</w:instrText>
            </w:r>
            <w:r w:rsidRPr="000A4491">
              <w:rPr>
                <w:rStyle w:val="Hyperlink"/>
                <w:rFonts w:ascii="Verdana" w:hAnsi="Verdana"/>
                <w:bCs/>
                <w:sz w:val="20"/>
              </w:rPr>
              <w:instrText>Monitor</w:instrText>
            </w:r>
            <w:r w:rsidRPr="000A4491">
              <w:rPr>
                <w:rFonts w:ascii="Verdana" w:hAnsi="Verdana"/>
                <w:sz w:val="20"/>
              </w:rPr>
              <w:instrText>"</w:instrText>
            </w:r>
            <w:r w:rsidRPr="000A4491">
              <w:rPr>
                <w:rFonts w:ascii="Verdana" w:hAnsi="Verdana"/>
                <w:sz w:val="20"/>
              </w:rPr>
              <w:fldChar w:fldCharType="end"/>
            </w:r>
            <w:r w:rsidRPr="000A4491">
              <w:rPr>
                <w:rFonts w:ascii="Verdana" w:hAnsi="Verdana"/>
                <w:sz w:val="20"/>
              </w:rPr>
              <w:t xml:space="preserve"> is the video</w:t>
            </w:r>
            <w:r w:rsidRPr="000A4491">
              <w:rPr>
                <w:rFonts w:ascii="Verdana" w:hAnsi="Verdana"/>
                <w:sz w:val="20"/>
              </w:rPr>
              <w:fldChar w:fldCharType="begin"/>
            </w:r>
            <w:r w:rsidRPr="000A4491">
              <w:rPr>
                <w:rFonts w:ascii="Verdana" w:hAnsi="Verdana"/>
                <w:sz w:val="20"/>
              </w:rPr>
              <w:instrText>xe "Video"</w:instrText>
            </w:r>
            <w:r w:rsidRPr="000A4491">
              <w:rPr>
                <w:rFonts w:ascii="Verdana" w:hAnsi="Verdana"/>
                <w:sz w:val="20"/>
              </w:rPr>
              <w:fldChar w:fldCharType="end"/>
            </w:r>
            <w:r w:rsidRPr="000A4491">
              <w:rPr>
                <w:rFonts w:ascii="Verdana" w:hAnsi="Verdana"/>
                <w:sz w:val="20"/>
              </w:rPr>
              <w:t xml:space="preserve"> display unit (television</w:t>
            </w:r>
            <w:r w:rsidRPr="000A4491">
              <w:rPr>
                <w:rFonts w:ascii="Verdana" w:hAnsi="Verdana"/>
                <w:sz w:val="20"/>
              </w:rPr>
              <w:fldChar w:fldCharType="begin"/>
            </w:r>
            <w:r w:rsidRPr="000A4491">
              <w:rPr>
                <w:rFonts w:ascii="Verdana" w:hAnsi="Verdana"/>
                <w:sz w:val="20"/>
              </w:rPr>
              <w:instrText>xe "Television"</w:instrText>
            </w:r>
            <w:r w:rsidRPr="000A4491">
              <w:rPr>
                <w:rFonts w:ascii="Verdana" w:hAnsi="Verdana"/>
                <w:sz w:val="20"/>
              </w:rPr>
              <w:fldChar w:fldCharType="end"/>
            </w:r>
            <w:r w:rsidRPr="000A4491">
              <w:rPr>
                <w:rFonts w:ascii="Verdana" w:hAnsi="Verdana"/>
                <w:sz w:val="20"/>
              </w:rPr>
              <w:t xml:space="preserve"> screen) that is used to display information from a computer.</w:t>
            </w:r>
          </w:p>
        </w:tc>
      </w:tr>
      <w:tr w:rsidR="00F935B1" w14:paraId="6ADF968E" w14:textId="77777777" w:rsidTr="0083602C">
        <w:trPr>
          <w:tblCellSpacing w:w="15" w:type="dxa"/>
        </w:trPr>
        <w:tc>
          <w:tcPr>
            <w:tcW w:w="3656" w:type="dxa"/>
          </w:tcPr>
          <w:p w14:paraId="0C74D8E7" w14:textId="77777777" w:rsidR="00F935B1" w:rsidRPr="000A4491" w:rsidRDefault="00F935B1" w:rsidP="0083602C">
            <w:pPr>
              <w:rPr>
                <w:rFonts w:ascii="Verdana" w:hAnsi="Verdana"/>
                <w:sz w:val="20"/>
              </w:rPr>
            </w:pPr>
            <w:r w:rsidRPr="000A4491">
              <w:rPr>
                <w:rFonts w:ascii="Verdana" w:hAnsi="Verdana"/>
                <w:sz w:val="20"/>
              </w:rPr>
              <w:t>Multimedia</w:t>
            </w:r>
            <w:r w:rsidRPr="000A4491">
              <w:rPr>
                <w:rFonts w:ascii="Verdana" w:hAnsi="Verdana"/>
                <w:sz w:val="20"/>
              </w:rPr>
              <w:fldChar w:fldCharType="begin"/>
            </w:r>
            <w:r w:rsidRPr="000A4491">
              <w:rPr>
                <w:rFonts w:ascii="Verdana" w:hAnsi="Verdana"/>
                <w:sz w:val="20"/>
              </w:rPr>
              <w:instrText>xe "</w:instrText>
            </w:r>
            <w:r w:rsidRPr="000A4491">
              <w:rPr>
                <w:rFonts w:ascii="Verdana" w:hAnsi="Verdana"/>
                <w:bCs/>
                <w:sz w:val="20"/>
              </w:rPr>
              <w:instrText>Multimedia</w:instrText>
            </w:r>
            <w:r w:rsidRPr="000A4491">
              <w:rPr>
                <w:rFonts w:ascii="Verdana" w:hAnsi="Verdana"/>
                <w:sz w:val="20"/>
              </w:rPr>
              <w:instrText>"</w:instrText>
            </w:r>
            <w:r w:rsidRPr="000A4491">
              <w:rPr>
                <w:rFonts w:ascii="Verdana" w:hAnsi="Verdana"/>
                <w:sz w:val="20"/>
              </w:rPr>
              <w:fldChar w:fldCharType="end"/>
            </w:r>
            <w:r w:rsidRPr="000A4491">
              <w:rPr>
                <w:rFonts w:ascii="Verdana" w:hAnsi="Verdana"/>
                <w:sz w:val="20"/>
              </w:rPr>
              <w:t xml:space="preserve"> Kits</w:t>
            </w:r>
          </w:p>
          <w:p w14:paraId="79B1D993" w14:textId="77777777" w:rsidR="00F935B1" w:rsidRPr="000A4491" w:rsidRDefault="00F935B1" w:rsidP="0083602C">
            <w:pPr>
              <w:rPr>
                <w:rFonts w:ascii="Verdana" w:hAnsi="Verdana"/>
                <w:sz w:val="20"/>
              </w:rPr>
            </w:pPr>
            <w:r w:rsidRPr="000A4491">
              <w:rPr>
                <w:rFonts w:ascii="Verdana" w:hAnsi="Verdana"/>
                <w:sz w:val="20"/>
              </w:rPr>
              <w:t>(</w:t>
            </w:r>
            <w:hyperlink w:anchor="aaIneligibleComponents" w:history="1">
              <w:r w:rsidRPr="000A4491">
                <w:rPr>
                  <w:rStyle w:val="Hyperlink"/>
                  <w:rFonts w:ascii="Verdana" w:hAnsi="Verdana"/>
                  <w:sz w:val="20"/>
                </w:rPr>
                <w:t>Ineligible Internal Connections Components</w:t>
              </w:r>
            </w:hyperlink>
            <w:r w:rsidRPr="000A4491">
              <w:rPr>
                <w:rFonts w:ascii="Verdana" w:hAnsi="Verdana"/>
                <w:sz w:val="20"/>
              </w:rPr>
              <w:t>)</w:t>
            </w:r>
          </w:p>
        </w:tc>
        <w:tc>
          <w:tcPr>
            <w:tcW w:w="5441" w:type="dxa"/>
          </w:tcPr>
          <w:p w14:paraId="36F4DD6E" w14:textId="77777777" w:rsidR="00F935B1" w:rsidRPr="000A4491" w:rsidRDefault="00F935B1" w:rsidP="0083602C">
            <w:pPr>
              <w:pStyle w:val="NormalWeb"/>
              <w:spacing w:before="0" w:beforeAutospacing="0" w:after="0"/>
              <w:rPr>
                <w:rFonts w:ascii="Verdana" w:hAnsi="Verdana"/>
                <w:sz w:val="20"/>
              </w:rPr>
            </w:pPr>
            <w:r w:rsidRPr="000A4491">
              <w:rPr>
                <w:rFonts w:ascii="Verdana" w:hAnsi="Verdana"/>
                <w:sz w:val="20"/>
              </w:rPr>
              <w:t>Multimedia kits provide a package of hardware and software</w:t>
            </w:r>
            <w:r w:rsidRPr="000A4491">
              <w:rPr>
                <w:rFonts w:ascii="Verdana" w:hAnsi="Verdana"/>
                <w:sz w:val="20"/>
              </w:rPr>
              <w:fldChar w:fldCharType="begin"/>
            </w:r>
            <w:r w:rsidRPr="000A4491">
              <w:rPr>
                <w:rFonts w:ascii="Verdana" w:hAnsi="Verdana"/>
                <w:sz w:val="20"/>
              </w:rPr>
              <w:instrText>xe "Software"</w:instrText>
            </w:r>
            <w:r w:rsidRPr="000A4491">
              <w:rPr>
                <w:rFonts w:ascii="Verdana" w:hAnsi="Verdana"/>
                <w:sz w:val="20"/>
              </w:rPr>
              <w:fldChar w:fldCharType="end"/>
            </w:r>
            <w:r w:rsidRPr="000A4491">
              <w:rPr>
                <w:rFonts w:ascii="Verdana" w:hAnsi="Verdana"/>
                <w:sz w:val="20"/>
              </w:rPr>
              <w:t xml:space="preserve"> that adds multimedia capabilities to a computer.  A multimedia kit may include a CD</w:t>
            </w:r>
            <w:r w:rsidRPr="000A4491">
              <w:rPr>
                <w:rFonts w:ascii="Verdana" w:hAnsi="Verdana"/>
                <w:sz w:val="20"/>
              </w:rPr>
              <w:fldChar w:fldCharType="begin"/>
            </w:r>
            <w:r w:rsidRPr="000A4491">
              <w:rPr>
                <w:rFonts w:ascii="Verdana" w:hAnsi="Verdana"/>
                <w:sz w:val="20"/>
              </w:rPr>
              <w:instrText>xe "CD"</w:instrText>
            </w:r>
            <w:r w:rsidRPr="000A4491">
              <w:rPr>
                <w:rFonts w:ascii="Verdana" w:hAnsi="Verdana"/>
                <w:sz w:val="20"/>
              </w:rPr>
              <w:fldChar w:fldCharType="end"/>
            </w:r>
            <w:r w:rsidRPr="000A4491">
              <w:rPr>
                <w:rFonts w:ascii="Verdana" w:hAnsi="Verdana"/>
                <w:sz w:val="20"/>
              </w:rPr>
              <w:t xml:space="preserve"> ROM</w:t>
            </w:r>
            <w:r w:rsidRPr="000A4491">
              <w:rPr>
                <w:rFonts w:ascii="Verdana" w:hAnsi="Verdana"/>
                <w:sz w:val="20"/>
              </w:rPr>
              <w:fldChar w:fldCharType="begin"/>
            </w:r>
            <w:r w:rsidRPr="000A4491">
              <w:rPr>
                <w:rFonts w:ascii="Verdana" w:hAnsi="Verdana"/>
                <w:sz w:val="20"/>
              </w:rPr>
              <w:instrText>xe "</w:instrText>
            </w:r>
            <w:r w:rsidRPr="000A4491">
              <w:rPr>
                <w:rFonts w:ascii="Verdana" w:hAnsi="Verdana"/>
                <w:bCs/>
                <w:sz w:val="20"/>
              </w:rPr>
              <w:instrText>CD ROM</w:instrText>
            </w:r>
            <w:r w:rsidRPr="000A4491">
              <w:rPr>
                <w:rFonts w:ascii="Verdana" w:hAnsi="Verdana"/>
                <w:sz w:val="20"/>
              </w:rPr>
              <w:instrText>"</w:instrText>
            </w:r>
            <w:r w:rsidRPr="000A4491">
              <w:rPr>
                <w:rFonts w:ascii="Verdana" w:hAnsi="Verdana"/>
                <w:sz w:val="20"/>
              </w:rPr>
              <w:fldChar w:fldCharType="end"/>
            </w:r>
            <w:r w:rsidRPr="000A4491">
              <w:rPr>
                <w:rFonts w:ascii="Verdana" w:hAnsi="Verdana"/>
                <w:sz w:val="20"/>
              </w:rPr>
              <w:t xml:space="preserve"> or DVD</w:t>
            </w:r>
            <w:r w:rsidRPr="000A4491">
              <w:rPr>
                <w:rFonts w:ascii="Verdana" w:hAnsi="Verdana"/>
                <w:sz w:val="20"/>
              </w:rPr>
              <w:fldChar w:fldCharType="begin"/>
            </w:r>
            <w:r w:rsidRPr="000A4491">
              <w:rPr>
                <w:rFonts w:ascii="Verdana" w:hAnsi="Verdana"/>
                <w:sz w:val="20"/>
              </w:rPr>
              <w:instrText>xe "DVD"</w:instrText>
            </w:r>
            <w:r w:rsidRPr="000A4491">
              <w:rPr>
                <w:rFonts w:ascii="Verdana" w:hAnsi="Verdana"/>
                <w:sz w:val="20"/>
              </w:rPr>
              <w:fldChar w:fldCharType="end"/>
            </w:r>
            <w:r w:rsidRPr="000A4491">
              <w:rPr>
                <w:rFonts w:ascii="Verdana" w:hAnsi="Verdana"/>
                <w:sz w:val="20"/>
              </w:rPr>
              <w:t xml:space="preserve"> player, a sound card, speakers</w:t>
            </w:r>
            <w:r w:rsidRPr="000A4491">
              <w:rPr>
                <w:rFonts w:ascii="Verdana" w:hAnsi="Verdana"/>
                <w:sz w:val="20"/>
              </w:rPr>
              <w:fldChar w:fldCharType="begin"/>
            </w:r>
            <w:r w:rsidRPr="000A4491">
              <w:rPr>
                <w:rFonts w:ascii="Verdana" w:hAnsi="Verdana"/>
                <w:sz w:val="20"/>
              </w:rPr>
              <w:instrText>xe "</w:instrText>
            </w:r>
            <w:r w:rsidRPr="000A4491">
              <w:rPr>
                <w:rStyle w:val="Hyperlink"/>
                <w:rFonts w:ascii="Verdana" w:hAnsi="Verdana"/>
                <w:bCs/>
                <w:sz w:val="20"/>
              </w:rPr>
              <w:instrText>Speakers</w:instrText>
            </w:r>
            <w:r w:rsidRPr="000A4491">
              <w:rPr>
                <w:rFonts w:ascii="Verdana" w:hAnsi="Verdana"/>
                <w:sz w:val="20"/>
              </w:rPr>
              <w:instrText>"</w:instrText>
            </w:r>
            <w:r w:rsidRPr="000A4491">
              <w:rPr>
                <w:rFonts w:ascii="Verdana" w:hAnsi="Verdana"/>
                <w:sz w:val="20"/>
              </w:rPr>
              <w:fldChar w:fldCharType="end"/>
            </w:r>
            <w:r w:rsidRPr="000A4491">
              <w:rPr>
                <w:rFonts w:ascii="Verdana" w:hAnsi="Verdana"/>
                <w:sz w:val="20"/>
              </w:rPr>
              <w:t>, and a bundle of CD ROMs.</w:t>
            </w:r>
          </w:p>
        </w:tc>
      </w:tr>
      <w:tr w:rsidR="00F935B1" w14:paraId="34C8074D" w14:textId="77777777" w:rsidTr="0083602C">
        <w:trPr>
          <w:tblCellSpacing w:w="15" w:type="dxa"/>
        </w:trPr>
        <w:tc>
          <w:tcPr>
            <w:tcW w:w="3656" w:type="dxa"/>
          </w:tcPr>
          <w:p w14:paraId="1E9FBE5F" w14:textId="77777777" w:rsidR="00F935B1" w:rsidRPr="000A4491" w:rsidRDefault="00F935B1" w:rsidP="0083602C">
            <w:pPr>
              <w:rPr>
                <w:rFonts w:ascii="Verdana" w:hAnsi="Verdana"/>
                <w:sz w:val="20"/>
              </w:rPr>
            </w:pPr>
            <w:r w:rsidRPr="000A4491">
              <w:rPr>
                <w:rFonts w:ascii="Verdana" w:hAnsi="Verdana"/>
                <w:sz w:val="20"/>
              </w:rPr>
              <w:lastRenderedPageBreak/>
              <w:t>Multiplexer</w:t>
            </w:r>
            <w:r w:rsidRPr="000A4491">
              <w:rPr>
                <w:rFonts w:ascii="Verdana" w:hAnsi="Verdana"/>
                <w:sz w:val="20"/>
              </w:rPr>
              <w:fldChar w:fldCharType="begin"/>
            </w:r>
            <w:r w:rsidRPr="000A4491">
              <w:rPr>
                <w:rFonts w:ascii="Verdana" w:hAnsi="Verdana"/>
                <w:sz w:val="20"/>
              </w:rPr>
              <w:instrText>xe "</w:instrText>
            </w:r>
            <w:r w:rsidRPr="000A4491">
              <w:rPr>
                <w:rStyle w:val="Hyperlink"/>
                <w:rFonts w:ascii="Verdana" w:hAnsi="Verdana"/>
                <w:bCs/>
                <w:sz w:val="20"/>
              </w:rPr>
              <w:instrText>Multiplexer</w:instrText>
            </w:r>
            <w:r w:rsidRPr="000A4491">
              <w:rPr>
                <w:rFonts w:ascii="Verdana" w:hAnsi="Verdana"/>
                <w:sz w:val="20"/>
              </w:rPr>
              <w:instrText>"</w:instrText>
            </w:r>
            <w:r w:rsidRPr="000A4491">
              <w:rPr>
                <w:rFonts w:ascii="Verdana" w:hAnsi="Verdana"/>
                <w:sz w:val="20"/>
              </w:rPr>
              <w:fldChar w:fldCharType="end"/>
            </w:r>
            <w:r w:rsidRPr="000A4491">
              <w:rPr>
                <w:rFonts w:ascii="Verdana" w:hAnsi="Verdana"/>
                <w:sz w:val="20"/>
              </w:rPr>
              <w:t xml:space="preserve"> </w:t>
            </w:r>
            <w:r w:rsidRPr="000A4491">
              <w:rPr>
                <w:rFonts w:ascii="Verdana" w:hAnsi="Verdana"/>
                <w:sz w:val="20"/>
              </w:rPr>
              <w:br/>
              <w:t>(</w:t>
            </w:r>
            <w:hyperlink w:anchor="aaDataDistribution" w:history="1">
              <w:r w:rsidRPr="000A4491">
                <w:rPr>
                  <w:rStyle w:val="Hyperlink"/>
                  <w:rFonts w:ascii="Verdana" w:hAnsi="Verdana"/>
                  <w:sz w:val="20"/>
                </w:rPr>
                <w:t>Data Distribution</w:t>
              </w:r>
              <w:r w:rsidRPr="000A4491">
                <w:rPr>
                  <w:rFonts w:ascii="Verdana" w:hAnsi="Verdana"/>
                  <w:sz w:val="20"/>
                </w:rPr>
                <w:fldChar w:fldCharType="begin"/>
              </w:r>
              <w:r w:rsidRPr="000A4491">
                <w:rPr>
                  <w:rFonts w:ascii="Verdana" w:hAnsi="Verdana"/>
                  <w:sz w:val="20"/>
                </w:rPr>
                <w:instrText>xe "Data Distribution"</w:instrText>
              </w:r>
              <w:r w:rsidRPr="000A4491">
                <w:rPr>
                  <w:rFonts w:ascii="Verdana" w:hAnsi="Verdana"/>
                  <w:sz w:val="20"/>
                </w:rPr>
                <w:fldChar w:fldCharType="end"/>
              </w:r>
            </w:hyperlink>
            <w:r w:rsidRPr="000A4491">
              <w:rPr>
                <w:rFonts w:ascii="Verdana" w:hAnsi="Verdana"/>
                <w:sz w:val="20"/>
              </w:rPr>
              <w:t>)</w:t>
            </w:r>
          </w:p>
        </w:tc>
        <w:tc>
          <w:tcPr>
            <w:tcW w:w="5441" w:type="dxa"/>
          </w:tcPr>
          <w:p w14:paraId="715714DB" w14:textId="77777777" w:rsidR="00F935B1" w:rsidRPr="000A4491" w:rsidRDefault="00F935B1" w:rsidP="0083602C">
            <w:pPr>
              <w:pStyle w:val="NormalWeb"/>
              <w:spacing w:before="0" w:beforeAutospacing="0" w:after="0"/>
              <w:rPr>
                <w:rFonts w:ascii="Verdana" w:hAnsi="Verdana"/>
                <w:sz w:val="20"/>
              </w:rPr>
            </w:pPr>
            <w:r w:rsidRPr="000A4491">
              <w:rPr>
                <w:rFonts w:ascii="Verdana" w:hAnsi="Verdana"/>
                <w:sz w:val="20"/>
              </w:rPr>
              <w:t>A multiplexer</w:t>
            </w:r>
            <w:r w:rsidRPr="000A4491">
              <w:rPr>
                <w:rFonts w:ascii="Verdana" w:hAnsi="Verdana"/>
                <w:sz w:val="20"/>
              </w:rPr>
              <w:fldChar w:fldCharType="begin"/>
            </w:r>
            <w:r w:rsidRPr="000A4491">
              <w:rPr>
                <w:rFonts w:ascii="Verdana" w:hAnsi="Verdana"/>
                <w:sz w:val="20"/>
              </w:rPr>
              <w:instrText>xe "Multiplexer"</w:instrText>
            </w:r>
            <w:r w:rsidRPr="000A4491">
              <w:rPr>
                <w:rFonts w:ascii="Verdana" w:hAnsi="Verdana"/>
                <w:sz w:val="20"/>
              </w:rPr>
              <w:fldChar w:fldCharType="end"/>
            </w:r>
            <w:r w:rsidRPr="000A4491">
              <w:rPr>
                <w:rFonts w:ascii="Verdana" w:hAnsi="Verdana"/>
                <w:sz w:val="20"/>
              </w:rPr>
              <w:t xml:space="preserve"> is electronic equipment that allows two or more signals to pass over one communications circuit.  The circuit may be a telephone line, dedicated line, or radio</w:t>
            </w:r>
            <w:r w:rsidRPr="000A4491">
              <w:rPr>
                <w:rFonts w:ascii="Verdana" w:hAnsi="Verdana"/>
                <w:sz w:val="20"/>
              </w:rPr>
              <w:fldChar w:fldCharType="begin"/>
            </w:r>
            <w:r w:rsidRPr="000A4491">
              <w:rPr>
                <w:rFonts w:ascii="Verdana" w:hAnsi="Verdana"/>
                <w:sz w:val="20"/>
              </w:rPr>
              <w:instrText>xe "Radio"</w:instrText>
            </w:r>
            <w:r w:rsidRPr="000A4491">
              <w:rPr>
                <w:rFonts w:ascii="Verdana" w:hAnsi="Verdana"/>
                <w:sz w:val="20"/>
              </w:rPr>
              <w:fldChar w:fldCharType="end"/>
            </w:r>
            <w:r w:rsidRPr="000A4491">
              <w:rPr>
                <w:rFonts w:ascii="Verdana" w:hAnsi="Verdana"/>
                <w:sz w:val="20"/>
              </w:rPr>
              <w:t xml:space="preserve"> signal.  It provides an economic approach for transporting, for example, up to 24 voice-grade lines on a single circuit.</w:t>
            </w:r>
          </w:p>
        </w:tc>
      </w:tr>
      <w:tr w:rsidR="00F935B1" w14:paraId="1B0D29AF" w14:textId="77777777" w:rsidTr="0083602C">
        <w:trPr>
          <w:tblCellSpacing w:w="15" w:type="dxa"/>
        </w:trPr>
        <w:tc>
          <w:tcPr>
            <w:tcW w:w="3656" w:type="dxa"/>
          </w:tcPr>
          <w:p w14:paraId="78CCE478" w14:textId="77777777" w:rsidR="00F935B1" w:rsidRPr="000A4491" w:rsidRDefault="00F935B1" w:rsidP="0083602C">
            <w:pPr>
              <w:rPr>
                <w:rFonts w:ascii="Verdana" w:hAnsi="Verdana"/>
                <w:sz w:val="20"/>
              </w:rPr>
            </w:pPr>
            <w:r w:rsidRPr="000A4491">
              <w:rPr>
                <w:rFonts w:ascii="Verdana" w:hAnsi="Verdana"/>
                <w:sz w:val="20"/>
              </w:rPr>
              <w:t>Multipoint Control Unit</w:t>
            </w:r>
            <w:r w:rsidRPr="000A4491">
              <w:rPr>
                <w:rFonts w:ascii="Verdana" w:hAnsi="Verdana"/>
                <w:sz w:val="20"/>
              </w:rPr>
              <w:fldChar w:fldCharType="begin"/>
            </w:r>
            <w:r w:rsidRPr="000A4491">
              <w:rPr>
                <w:rFonts w:ascii="Verdana" w:hAnsi="Verdana"/>
                <w:sz w:val="20"/>
              </w:rPr>
              <w:instrText>xe "</w:instrText>
            </w:r>
            <w:r w:rsidRPr="000A4491">
              <w:rPr>
                <w:rStyle w:val="Hyperlink"/>
                <w:rFonts w:ascii="Verdana" w:hAnsi="Verdana"/>
                <w:bCs/>
                <w:sz w:val="20"/>
              </w:rPr>
              <w:instrText>Multipoint Control Unit</w:instrText>
            </w:r>
            <w:r w:rsidRPr="000A4491">
              <w:rPr>
                <w:rFonts w:ascii="Verdana" w:hAnsi="Verdana"/>
                <w:sz w:val="20"/>
              </w:rPr>
              <w:instrText>"</w:instrText>
            </w:r>
            <w:r w:rsidRPr="000A4491">
              <w:rPr>
                <w:rFonts w:ascii="Verdana" w:hAnsi="Verdana"/>
                <w:sz w:val="20"/>
              </w:rPr>
              <w:fldChar w:fldCharType="end"/>
            </w:r>
          </w:p>
          <w:p w14:paraId="6765C514" w14:textId="77777777" w:rsidR="00F935B1" w:rsidRPr="000A4491" w:rsidRDefault="00F935B1" w:rsidP="0083602C">
            <w:pPr>
              <w:rPr>
                <w:rFonts w:ascii="Verdana" w:hAnsi="Verdana"/>
                <w:sz w:val="20"/>
              </w:rPr>
            </w:pPr>
            <w:r w:rsidRPr="000A4491">
              <w:rPr>
                <w:rFonts w:ascii="Verdana" w:hAnsi="Verdana"/>
                <w:sz w:val="20"/>
              </w:rPr>
              <w:t>(</w:t>
            </w:r>
            <w:hyperlink w:anchor="aaVideo" w:history="1">
              <w:r w:rsidRPr="000A4491">
                <w:rPr>
                  <w:rStyle w:val="Hyperlink"/>
                  <w:rFonts w:ascii="Verdana" w:hAnsi="Verdana"/>
                  <w:sz w:val="20"/>
                </w:rPr>
                <w:t>Video Components</w:t>
              </w:r>
              <w:r w:rsidRPr="000A4491">
                <w:rPr>
                  <w:rFonts w:ascii="Verdana" w:hAnsi="Verdana"/>
                  <w:sz w:val="20"/>
                </w:rPr>
                <w:fldChar w:fldCharType="begin"/>
              </w:r>
              <w:r w:rsidRPr="000A4491">
                <w:rPr>
                  <w:rFonts w:ascii="Verdana" w:hAnsi="Verdana"/>
                  <w:sz w:val="20"/>
                </w:rPr>
                <w:instrText>xe "Video Components"</w:instrText>
              </w:r>
              <w:r w:rsidRPr="000A4491">
                <w:rPr>
                  <w:rFonts w:ascii="Verdana" w:hAnsi="Verdana"/>
                  <w:sz w:val="20"/>
                </w:rPr>
                <w:fldChar w:fldCharType="end"/>
              </w:r>
            </w:hyperlink>
            <w:r w:rsidRPr="000A4491">
              <w:rPr>
                <w:rFonts w:ascii="Verdana" w:hAnsi="Verdana"/>
                <w:sz w:val="20"/>
              </w:rPr>
              <w:t>)</w:t>
            </w:r>
          </w:p>
        </w:tc>
        <w:tc>
          <w:tcPr>
            <w:tcW w:w="5441" w:type="dxa"/>
          </w:tcPr>
          <w:p w14:paraId="46468946" w14:textId="77777777" w:rsidR="00F935B1" w:rsidRPr="000A4491" w:rsidRDefault="00F935B1" w:rsidP="0083602C">
            <w:pPr>
              <w:pStyle w:val="NormalWeb"/>
              <w:spacing w:before="0" w:beforeAutospacing="0" w:after="0"/>
              <w:rPr>
                <w:rFonts w:ascii="Verdana" w:hAnsi="Verdana"/>
                <w:sz w:val="20"/>
              </w:rPr>
            </w:pPr>
            <w:r w:rsidRPr="000A4491">
              <w:rPr>
                <w:rFonts w:ascii="Verdana" w:hAnsi="Verdana"/>
                <w:sz w:val="20"/>
              </w:rPr>
              <w:t>A Multipoint Control Unit</w:t>
            </w:r>
            <w:r w:rsidRPr="000A4491">
              <w:rPr>
                <w:rFonts w:ascii="Verdana" w:hAnsi="Verdana"/>
                <w:sz w:val="20"/>
              </w:rPr>
              <w:fldChar w:fldCharType="begin"/>
            </w:r>
            <w:r w:rsidRPr="000A4491">
              <w:rPr>
                <w:rFonts w:ascii="Verdana" w:hAnsi="Verdana"/>
                <w:sz w:val="20"/>
              </w:rPr>
              <w:instrText>xe "</w:instrText>
            </w:r>
            <w:r w:rsidRPr="000A4491">
              <w:rPr>
                <w:rStyle w:val="Hyperlink"/>
                <w:rFonts w:ascii="Verdana" w:hAnsi="Verdana"/>
                <w:bCs/>
                <w:sz w:val="20"/>
              </w:rPr>
              <w:instrText>Multipoint Control Unit</w:instrText>
            </w:r>
            <w:r w:rsidRPr="000A4491">
              <w:rPr>
                <w:rFonts w:ascii="Verdana" w:hAnsi="Verdana"/>
                <w:sz w:val="20"/>
              </w:rPr>
              <w:instrText>"</w:instrText>
            </w:r>
            <w:r w:rsidRPr="000A4491">
              <w:rPr>
                <w:rFonts w:ascii="Verdana" w:hAnsi="Verdana"/>
                <w:sz w:val="20"/>
              </w:rPr>
              <w:fldChar w:fldCharType="end"/>
            </w:r>
            <w:r w:rsidRPr="000A4491">
              <w:rPr>
                <w:rFonts w:ascii="Verdana" w:hAnsi="Verdana"/>
                <w:sz w:val="20"/>
              </w:rPr>
              <w:t xml:space="preserve"> (MCU</w:t>
            </w:r>
            <w:r w:rsidRPr="000A4491">
              <w:rPr>
                <w:rFonts w:ascii="Verdana" w:hAnsi="Verdana"/>
                <w:sz w:val="20"/>
              </w:rPr>
              <w:fldChar w:fldCharType="begin"/>
            </w:r>
            <w:r w:rsidRPr="000A4491">
              <w:rPr>
                <w:rFonts w:ascii="Verdana" w:hAnsi="Verdana"/>
                <w:sz w:val="20"/>
              </w:rPr>
              <w:instrText>xe "MCU"</w:instrText>
            </w:r>
            <w:r w:rsidRPr="000A4491">
              <w:rPr>
                <w:rFonts w:ascii="Verdana" w:hAnsi="Verdana"/>
                <w:sz w:val="20"/>
              </w:rPr>
              <w:fldChar w:fldCharType="end"/>
            </w:r>
            <w:r w:rsidRPr="000A4491">
              <w:rPr>
                <w:rFonts w:ascii="Verdana" w:hAnsi="Verdana"/>
                <w:sz w:val="20"/>
              </w:rPr>
              <w:t>) is a bridging or switching device used for multipoint videoconferencing.</w:t>
            </w:r>
          </w:p>
        </w:tc>
      </w:tr>
      <w:tr w:rsidR="00F935B1" w14:paraId="72BFC53D" w14:textId="77777777" w:rsidTr="0083602C">
        <w:trPr>
          <w:tblCellSpacing w:w="15" w:type="dxa"/>
        </w:trPr>
        <w:tc>
          <w:tcPr>
            <w:tcW w:w="3656" w:type="dxa"/>
          </w:tcPr>
          <w:p w14:paraId="6304DD96" w14:textId="77777777" w:rsidR="00F935B1" w:rsidRPr="000A4491" w:rsidRDefault="00F935B1" w:rsidP="0083602C">
            <w:pPr>
              <w:rPr>
                <w:rFonts w:ascii="Verdana" w:hAnsi="Verdana"/>
                <w:sz w:val="20"/>
              </w:rPr>
            </w:pPr>
            <w:r w:rsidRPr="000A4491">
              <w:rPr>
                <w:rFonts w:ascii="Verdana" w:hAnsi="Verdana"/>
                <w:sz w:val="20"/>
              </w:rPr>
              <w:t>Network Interface Cards (NICs</w:t>
            </w:r>
            <w:r w:rsidRPr="000A4491">
              <w:rPr>
                <w:rFonts w:ascii="Verdana" w:hAnsi="Verdana"/>
                <w:sz w:val="20"/>
              </w:rPr>
              <w:fldChar w:fldCharType="begin"/>
            </w:r>
            <w:r w:rsidRPr="000A4491">
              <w:rPr>
                <w:rFonts w:ascii="Verdana" w:hAnsi="Verdana"/>
                <w:sz w:val="20"/>
              </w:rPr>
              <w:instrText>xe "NIC"</w:instrText>
            </w:r>
            <w:r w:rsidRPr="000A4491">
              <w:rPr>
                <w:rFonts w:ascii="Verdana" w:hAnsi="Verdana"/>
                <w:sz w:val="20"/>
              </w:rPr>
              <w:fldChar w:fldCharType="end"/>
            </w:r>
            <w:r w:rsidRPr="000A4491">
              <w:rPr>
                <w:rFonts w:ascii="Verdana" w:hAnsi="Verdana"/>
                <w:sz w:val="20"/>
              </w:rPr>
              <w:t xml:space="preserve">) </w:t>
            </w:r>
            <w:r w:rsidRPr="000A4491">
              <w:rPr>
                <w:rFonts w:ascii="Verdana" w:hAnsi="Verdana"/>
                <w:sz w:val="20"/>
              </w:rPr>
              <w:br/>
              <w:t>(</w:t>
            </w:r>
            <w:hyperlink w:anchor="aaCircuitCardsComponents" w:history="1">
              <w:r w:rsidRPr="000A4491">
                <w:rPr>
                  <w:rStyle w:val="Hyperlink"/>
                  <w:rFonts w:ascii="Verdana" w:hAnsi="Verdana"/>
                  <w:sz w:val="20"/>
                </w:rPr>
                <w:t>Circuit Cards</w:t>
              </w:r>
              <w:r w:rsidRPr="000A4491">
                <w:rPr>
                  <w:rFonts w:ascii="Verdana" w:hAnsi="Verdana"/>
                  <w:sz w:val="20"/>
                </w:rPr>
                <w:fldChar w:fldCharType="begin"/>
              </w:r>
              <w:r w:rsidRPr="000A4491">
                <w:rPr>
                  <w:rFonts w:ascii="Verdana" w:hAnsi="Verdana"/>
                  <w:sz w:val="20"/>
                </w:rPr>
                <w:instrText>xe "Circuit"</w:instrText>
              </w:r>
              <w:r w:rsidRPr="000A4491">
                <w:rPr>
                  <w:rFonts w:ascii="Verdana" w:hAnsi="Verdana"/>
                  <w:sz w:val="20"/>
                </w:rPr>
                <w:fldChar w:fldCharType="end"/>
              </w:r>
            </w:hyperlink>
            <w:r w:rsidRPr="000A4491">
              <w:rPr>
                <w:rFonts w:ascii="Verdana" w:hAnsi="Verdana"/>
                <w:sz w:val="20"/>
              </w:rPr>
              <w:t>)</w:t>
            </w:r>
          </w:p>
        </w:tc>
        <w:tc>
          <w:tcPr>
            <w:tcW w:w="5441" w:type="dxa"/>
          </w:tcPr>
          <w:p w14:paraId="4CB5BA7A" w14:textId="77777777" w:rsidR="00F935B1" w:rsidRPr="000A4491" w:rsidRDefault="00F935B1" w:rsidP="0083602C">
            <w:pPr>
              <w:pStyle w:val="NormalWeb"/>
              <w:spacing w:before="0" w:beforeAutospacing="0" w:after="0"/>
              <w:rPr>
                <w:rFonts w:ascii="Verdana" w:hAnsi="Verdana"/>
                <w:sz w:val="20"/>
              </w:rPr>
            </w:pPr>
            <w:r w:rsidRPr="000A4491">
              <w:rPr>
                <w:rFonts w:ascii="Verdana" w:hAnsi="Verdana"/>
                <w:sz w:val="20"/>
              </w:rPr>
              <w:t>Network interface cards</w:t>
            </w:r>
            <w:r w:rsidRPr="000A4491">
              <w:rPr>
                <w:rFonts w:ascii="Verdana" w:hAnsi="Verdana"/>
                <w:sz w:val="20"/>
              </w:rPr>
              <w:fldChar w:fldCharType="begin"/>
            </w:r>
            <w:r w:rsidRPr="000A4491">
              <w:rPr>
                <w:rFonts w:ascii="Verdana" w:hAnsi="Verdana"/>
                <w:sz w:val="20"/>
              </w:rPr>
              <w:instrText>xe "Network Interface Cards"</w:instrText>
            </w:r>
            <w:r w:rsidRPr="000A4491">
              <w:rPr>
                <w:rFonts w:ascii="Verdana" w:hAnsi="Verdana"/>
                <w:sz w:val="20"/>
              </w:rPr>
              <w:fldChar w:fldCharType="end"/>
            </w:r>
            <w:r w:rsidRPr="000A4491">
              <w:rPr>
                <w:rFonts w:ascii="Verdana" w:hAnsi="Verdana"/>
                <w:sz w:val="20"/>
              </w:rPr>
              <w:t xml:space="preserve"> (NICs</w:t>
            </w:r>
            <w:r w:rsidRPr="000A4491">
              <w:rPr>
                <w:rFonts w:ascii="Verdana" w:hAnsi="Verdana"/>
                <w:sz w:val="20"/>
              </w:rPr>
              <w:fldChar w:fldCharType="begin"/>
            </w:r>
            <w:r w:rsidRPr="000A4491">
              <w:rPr>
                <w:rFonts w:ascii="Verdana" w:hAnsi="Verdana"/>
                <w:sz w:val="20"/>
              </w:rPr>
              <w:instrText>xe "NIC"</w:instrText>
            </w:r>
            <w:r w:rsidRPr="000A4491">
              <w:rPr>
                <w:rFonts w:ascii="Verdana" w:hAnsi="Verdana"/>
                <w:sz w:val="20"/>
              </w:rPr>
              <w:fldChar w:fldCharType="end"/>
            </w:r>
            <w:r w:rsidRPr="000A4491">
              <w:rPr>
                <w:rFonts w:ascii="Verdana" w:hAnsi="Verdana"/>
                <w:sz w:val="20"/>
              </w:rPr>
              <w:t>) are electronic devices that connect workstations, servers</w:t>
            </w:r>
            <w:r w:rsidRPr="000A4491">
              <w:rPr>
                <w:rFonts w:ascii="Verdana" w:hAnsi="Verdana"/>
                <w:sz w:val="20"/>
              </w:rPr>
              <w:fldChar w:fldCharType="begin"/>
            </w:r>
            <w:r w:rsidRPr="000A4491">
              <w:rPr>
                <w:rFonts w:ascii="Verdana" w:hAnsi="Verdana"/>
                <w:sz w:val="20"/>
              </w:rPr>
              <w:instrText>xe "Servers"</w:instrText>
            </w:r>
            <w:r w:rsidRPr="000A4491">
              <w:rPr>
                <w:rFonts w:ascii="Verdana" w:hAnsi="Verdana"/>
                <w:sz w:val="20"/>
              </w:rPr>
              <w:fldChar w:fldCharType="end"/>
            </w:r>
            <w:r w:rsidRPr="000A4491">
              <w:rPr>
                <w:rFonts w:ascii="Verdana" w:hAnsi="Verdana"/>
                <w:sz w:val="20"/>
              </w:rPr>
              <w:t>, or other devices to a network.  NICs work with the network software</w:t>
            </w:r>
            <w:r w:rsidRPr="000A4491">
              <w:rPr>
                <w:rFonts w:ascii="Verdana" w:hAnsi="Verdana"/>
                <w:sz w:val="20"/>
              </w:rPr>
              <w:fldChar w:fldCharType="begin"/>
            </w:r>
            <w:r w:rsidRPr="000A4491">
              <w:rPr>
                <w:rFonts w:ascii="Verdana" w:hAnsi="Verdana"/>
                <w:sz w:val="20"/>
              </w:rPr>
              <w:instrText>xe "Software"</w:instrText>
            </w:r>
            <w:r w:rsidRPr="000A4491">
              <w:rPr>
                <w:rFonts w:ascii="Verdana" w:hAnsi="Verdana"/>
                <w:sz w:val="20"/>
              </w:rPr>
              <w:fldChar w:fldCharType="end"/>
            </w:r>
            <w:r w:rsidRPr="000A4491">
              <w:rPr>
                <w:rFonts w:ascii="Verdana" w:hAnsi="Verdana"/>
                <w:sz w:val="20"/>
              </w:rPr>
              <w:t xml:space="preserve"> and computer operating system</w:t>
            </w:r>
            <w:r w:rsidRPr="000A4491">
              <w:rPr>
                <w:rFonts w:ascii="Verdana" w:hAnsi="Verdana"/>
                <w:sz w:val="20"/>
              </w:rPr>
              <w:fldChar w:fldCharType="begin"/>
            </w:r>
            <w:r w:rsidRPr="000A4491">
              <w:rPr>
                <w:rFonts w:ascii="Verdana" w:hAnsi="Verdana"/>
                <w:sz w:val="20"/>
              </w:rPr>
              <w:instrText>xe "Operating System"</w:instrText>
            </w:r>
            <w:r w:rsidRPr="000A4491">
              <w:rPr>
                <w:rFonts w:ascii="Verdana" w:hAnsi="Verdana"/>
                <w:sz w:val="20"/>
              </w:rPr>
              <w:fldChar w:fldCharType="end"/>
            </w:r>
            <w:r w:rsidRPr="000A4491">
              <w:rPr>
                <w:rFonts w:ascii="Verdana" w:hAnsi="Verdana"/>
                <w:sz w:val="20"/>
              </w:rPr>
              <w:t xml:space="preserve"> to transmit and receive messages on the network.</w:t>
            </w:r>
          </w:p>
        </w:tc>
      </w:tr>
      <w:tr w:rsidR="00F935B1" w14:paraId="326E36A2" w14:textId="77777777" w:rsidTr="0083602C">
        <w:trPr>
          <w:tblCellSpacing w:w="15" w:type="dxa"/>
        </w:trPr>
        <w:tc>
          <w:tcPr>
            <w:tcW w:w="3656" w:type="dxa"/>
          </w:tcPr>
          <w:p w14:paraId="41FEBD15" w14:textId="77777777" w:rsidR="00F935B1" w:rsidRPr="000A4491" w:rsidRDefault="00F935B1" w:rsidP="0083602C">
            <w:pPr>
              <w:rPr>
                <w:rFonts w:ascii="Verdana" w:hAnsi="Verdana"/>
                <w:sz w:val="20"/>
              </w:rPr>
            </w:pPr>
            <w:r w:rsidRPr="000A4491">
              <w:rPr>
                <w:rFonts w:ascii="Verdana" w:hAnsi="Verdana"/>
                <w:sz w:val="20"/>
              </w:rPr>
              <w:t>Network Interface Device</w:t>
            </w:r>
            <w:r w:rsidRPr="000A4491">
              <w:rPr>
                <w:rFonts w:ascii="Verdana" w:hAnsi="Verdana"/>
                <w:sz w:val="20"/>
              </w:rPr>
              <w:fldChar w:fldCharType="begin"/>
            </w:r>
            <w:r w:rsidRPr="000A4491">
              <w:rPr>
                <w:rFonts w:ascii="Verdana" w:hAnsi="Verdana"/>
                <w:sz w:val="20"/>
              </w:rPr>
              <w:instrText>xe "</w:instrText>
            </w:r>
            <w:r w:rsidRPr="000A4491">
              <w:rPr>
                <w:rStyle w:val="Hyperlink"/>
                <w:rFonts w:ascii="Verdana" w:hAnsi="Verdana"/>
                <w:bCs/>
                <w:sz w:val="20"/>
              </w:rPr>
              <w:instrText>Network Interface Device</w:instrText>
            </w:r>
            <w:r w:rsidRPr="000A4491">
              <w:rPr>
                <w:rFonts w:ascii="Verdana" w:hAnsi="Verdana"/>
                <w:sz w:val="20"/>
              </w:rPr>
              <w:instrText>"</w:instrText>
            </w:r>
            <w:r w:rsidRPr="000A4491">
              <w:rPr>
                <w:rFonts w:ascii="Verdana" w:hAnsi="Verdana"/>
                <w:sz w:val="20"/>
              </w:rPr>
              <w:fldChar w:fldCharType="end"/>
            </w:r>
            <w:r w:rsidRPr="000A4491">
              <w:rPr>
                <w:rFonts w:ascii="Verdana" w:hAnsi="Verdana"/>
                <w:sz w:val="20"/>
              </w:rPr>
              <w:t xml:space="preserve"> </w:t>
            </w:r>
            <w:r w:rsidRPr="000A4491">
              <w:rPr>
                <w:rFonts w:ascii="Verdana" w:hAnsi="Verdana"/>
                <w:sz w:val="20"/>
              </w:rPr>
              <w:br/>
              <w:t>(</w:t>
            </w:r>
            <w:hyperlink w:anchor="aaInterfacesGatewaysAntennas" w:history="1">
              <w:r w:rsidRPr="000A4491">
                <w:rPr>
                  <w:rStyle w:val="Hyperlink"/>
                  <w:rFonts w:ascii="Verdana" w:hAnsi="Verdana"/>
                  <w:sz w:val="20"/>
                </w:rPr>
                <w:t>Interfaces</w:t>
              </w:r>
              <w:r w:rsidRPr="000A4491">
                <w:rPr>
                  <w:rFonts w:ascii="Verdana" w:hAnsi="Verdana"/>
                  <w:sz w:val="20"/>
                </w:rPr>
                <w:fldChar w:fldCharType="begin"/>
              </w:r>
              <w:r w:rsidRPr="000A4491">
                <w:rPr>
                  <w:rFonts w:ascii="Verdana" w:hAnsi="Verdana"/>
                  <w:sz w:val="20"/>
                </w:rPr>
                <w:instrText>xe "</w:instrText>
              </w:r>
              <w:r w:rsidRPr="000A4491">
                <w:rPr>
                  <w:rFonts w:ascii="Verdana" w:hAnsi="Verdana"/>
                  <w:bCs/>
                  <w:sz w:val="20"/>
                </w:rPr>
                <w:instrText>Interfaces</w:instrText>
              </w:r>
              <w:r w:rsidRPr="000A4491">
                <w:rPr>
                  <w:rFonts w:ascii="Verdana" w:hAnsi="Verdana"/>
                  <w:sz w:val="20"/>
                </w:rPr>
                <w:instrText>"</w:instrText>
              </w:r>
              <w:r w:rsidRPr="000A4491">
                <w:rPr>
                  <w:rFonts w:ascii="Verdana" w:hAnsi="Verdana"/>
                  <w:sz w:val="20"/>
                </w:rPr>
                <w:fldChar w:fldCharType="end"/>
              </w:r>
            </w:hyperlink>
            <w:r w:rsidRPr="000A4491">
              <w:rPr>
                <w:rFonts w:ascii="Verdana" w:hAnsi="Verdana"/>
                <w:sz w:val="20"/>
              </w:rPr>
              <w:t>)</w:t>
            </w:r>
          </w:p>
        </w:tc>
        <w:tc>
          <w:tcPr>
            <w:tcW w:w="5441" w:type="dxa"/>
          </w:tcPr>
          <w:p w14:paraId="64A89522" w14:textId="77777777" w:rsidR="00F935B1" w:rsidRPr="000A4491" w:rsidRDefault="00F935B1" w:rsidP="0083602C">
            <w:pPr>
              <w:pStyle w:val="NormalWeb"/>
              <w:spacing w:before="0" w:beforeAutospacing="0" w:after="0"/>
              <w:rPr>
                <w:rFonts w:ascii="Verdana" w:hAnsi="Verdana"/>
                <w:sz w:val="20"/>
              </w:rPr>
            </w:pPr>
            <w:r w:rsidRPr="000A4491">
              <w:rPr>
                <w:rFonts w:ascii="Verdana" w:hAnsi="Verdana"/>
                <w:sz w:val="20"/>
              </w:rPr>
              <w:t>A Network Interface Device</w:t>
            </w:r>
            <w:r w:rsidRPr="000A4491">
              <w:rPr>
                <w:rFonts w:ascii="Verdana" w:hAnsi="Verdana"/>
                <w:sz w:val="20"/>
              </w:rPr>
              <w:fldChar w:fldCharType="begin"/>
            </w:r>
            <w:r w:rsidRPr="000A4491">
              <w:rPr>
                <w:rFonts w:ascii="Verdana" w:hAnsi="Verdana"/>
                <w:sz w:val="20"/>
              </w:rPr>
              <w:instrText>xe "</w:instrText>
            </w:r>
            <w:r w:rsidRPr="000A4491">
              <w:rPr>
                <w:rStyle w:val="Hyperlink"/>
                <w:rFonts w:ascii="Verdana" w:hAnsi="Verdana"/>
                <w:bCs/>
                <w:sz w:val="20"/>
              </w:rPr>
              <w:instrText>Network Interface Device</w:instrText>
            </w:r>
            <w:r w:rsidRPr="000A4491">
              <w:rPr>
                <w:rFonts w:ascii="Verdana" w:hAnsi="Verdana"/>
                <w:sz w:val="20"/>
              </w:rPr>
              <w:instrText>"</w:instrText>
            </w:r>
            <w:r w:rsidRPr="000A4491">
              <w:rPr>
                <w:rFonts w:ascii="Verdana" w:hAnsi="Verdana"/>
                <w:sz w:val="20"/>
              </w:rPr>
              <w:fldChar w:fldCharType="end"/>
            </w:r>
            <w:r w:rsidRPr="000A4491">
              <w:rPr>
                <w:rFonts w:ascii="Verdana" w:hAnsi="Verdana"/>
                <w:sz w:val="20"/>
              </w:rPr>
              <w:t xml:space="preserve"> (NID) is a component installed between a telephone network and the inside wire of a customer premises.  The NID is usually provided by the telephone company and is the transition, or demarcation point, between the company’s network and the customer’s inside wiring.</w:t>
            </w:r>
          </w:p>
        </w:tc>
      </w:tr>
      <w:tr w:rsidR="00F935B1" w14:paraId="06B51378" w14:textId="77777777" w:rsidTr="0083602C">
        <w:trPr>
          <w:tblCellSpacing w:w="15" w:type="dxa"/>
        </w:trPr>
        <w:tc>
          <w:tcPr>
            <w:tcW w:w="3656" w:type="dxa"/>
          </w:tcPr>
          <w:p w14:paraId="4932B34D" w14:textId="77777777" w:rsidR="00F935B1" w:rsidRPr="000A4491" w:rsidRDefault="00F935B1" w:rsidP="0083602C">
            <w:pPr>
              <w:rPr>
                <w:rFonts w:ascii="Verdana" w:hAnsi="Verdana"/>
                <w:sz w:val="20"/>
              </w:rPr>
            </w:pPr>
            <w:r w:rsidRPr="000A4491">
              <w:rPr>
                <w:rFonts w:ascii="Verdana" w:hAnsi="Verdana"/>
                <w:sz w:val="20"/>
              </w:rPr>
              <w:t>Network Management</w:t>
            </w:r>
            <w:r w:rsidRPr="000A4491">
              <w:rPr>
                <w:rFonts w:ascii="Verdana" w:hAnsi="Verdana"/>
                <w:sz w:val="20"/>
              </w:rPr>
              <w:fldChar w:fldCharType="begin"/>
            </w:r>
            <w:r w:rsidRPr="000A4491">
              <w:rPr>
                <w:rFonts w:ascii="Verdana" w:hAnsi="Verdana"/>
                <w:sz w:val="20"/>
              </w:rPr>
              <w:instrText>xe "Network Management"</w:instrText>
            </w:r>
            <w:r w:rsidRPr="000A4491">
              <w:rPr>
                <w:rFonts w:ascii="Verdana" w:hAnsi="Verdana"/>
                <w:sz w:val="20"/>
              </w:rPr>
              <w:fldChar w:fldCharType="end"/>
            </w:r>
            <w:r w:rsidRPr="000A4491">
              <w:rPr>
                <w:rFonts w:ascii="Verdana" w:hAnsi="Verdana"/>
                <w:sz w:val="20"/>
              </w:rPr>
              <w:t xml:space="preserve"> </w:t>
            </w:r>
            <w:r w:rsidRPr="000A4491">
              <w:rPr>
                <w:rFonts w:ascii="Verdana" w:hAnsi="Verdana"/>
                <w:sz w:val="20"/>
              </w:rPr>
              <w:br/>
              <w:t>(</w:t>
            </w:r>
            <w:hyperlink w:anchor="aaSoftware" w:history="1">
              <w:r w:rsidRPr="000A4491">
                <w:rPr>
                  <w:rStyle w:val="Hyperlink"/>
                  <w:rFonts w:ascii="Verdana" w:hAnsi="Verdana"/>
                  <w:sz w:val="20"/>
                </w:rPr>
                <w:t>Software</w:t>
              </w:r>
            </w:hyperlink>
            <w:r w:rsidRPr="000A4491">
              <w:rPr>
                <w:rFonts w:ascii="Verdana" w:hAnsi="Verdana"/>
                <w:sz w:val="20"/>
              </w:rPr>
              <w:t>—Ineligible)</w:t>
            </w:r>
          </w:p>
        </w:tc>
        <w:tc>
          <w:tcPr>
            <w:tcW w:w="5441" w:type="dxa"/>
          </w:tcPr>
          <w:p w14:paraId="391571A2" w14:textId="77777777" w:rsidR="00F935B1" w:rsidRPr="000A4491" w:rsidRDefault="00F935B1" w:rsidP="0083602C">
            <w:pPr>
              <w:pStyle w:val="NormalWeb"/>
              <w:spacing w:before="0" w:beforeAutospacing="0" w:after="0"/>
              <w:rPr>
                <w:rFonts w:ascii="Verdana" w:hAnsi="Verdana"/>
                <w:sz w:val="20"/>
              </w:rPr>
            </w:pPr>
            <w:r w:rsidRPr="000A4491">
              <w:rPr>
                <w:rFonts w:ascii="Verdana" w:hAnsi="Verdana"/>
                <w:sz w:val="20"/>
              </w:rPr>
              <w:t>Network Management</w:t>
            </w:r>
            <w:r w:rsidRPr="000A4491">
              <w:rPr>
                <w:rFonts w:ascii="Verdana" w:hAnsi="Verdana"/>
                <w:sz w:val="20"/>
              </w:rPr>
              <w:fldChar w:fldCharType="begin"/>
            </w:r>
            <w:r w:rsidRPr="000A4491">
              <w:rPr>
                <w:rFonts w:ascii="Verdana" w:hAnsi="Verdana"/>
                <w:sz w:val="20"/>
              </w:rPr>
              <w:instrText>xe "Network Management"</w:instrText>
            </w:r>
            <w:r w:rsidRPr="000A4491">
              <w:rPr>
                <w:rFonts w:ascii="Verdana" w:hAnsi="Verdana"/>
                <w:sz w:val="20"/>
              </w:rPr>
              <w:fldChar w:fldCharType="end"/>
            </w:r>
            <w:r w:rsidRPr="000A4491">
              <w:rPr>
                <w:rFonts w:ascii="Verdana" w:hAnsi="Verdana"/>
                <w:sz w:val="20"/>
              </w:rPr>
              <w:t xml:space="preserve"> is a system of equipment or software</w:t>
            </w:r>
            <w:r w:rsidRPr="000A4491">
              <w:rPr>
                <w:rFonts w:ascii="Verdana" w:hAnsi="Verdana"/>
                <w:sz w:val="20"/>
              </w:rPr>
              <w:fldChar w:fldCharType="begin"/>
            </w:r>
            <w:r w:rsidRPr="000A4491">
              <w:rPr>
                <w:rFonts w:ascii="Verdana" w:hAnsi="Verdana"/>
                <w:sz w:val="20"/>
              </w:rPr>
              <w:instrText>xe "Software"</w:instrText>
            </w:r>
            <w:r w:rsidRPr="000A4491">
              <w:rPr>
                <w:rFonts w:ascii="Verdana" w:hAnsi="Verdana"/>
                <w:sz w:val="20"/>
              </w:rPr>
              <w:fldChar w:fldCharType="end"/>
            </w:r>
            <w:r w:rsidRPr="000A4491">
              <w:rPr>
                <w:rFonts w:ascii="Verdana" w:hAnsi="Verdana"/>
                <w:sz w:val="20"/>
              </w:rPr>
              <w:t xml:space="preserve"> used in monitoring, controlling, and managing a communications network.</w:t>
            </w:r>
          </w:p>
        </w:tc>
      </w:tr>
      <w:tr w:rsidR="00F935B1" w14:paraId="75F6C129" w14:textId="77777777" w:rsidTr="0083602C">
        <w:trPr>
          <w:tblCellSpacing w:w="15" w:type="dxa"/>
        </w:trPr>
        <w:tc>
          <w:tcPr>
            <w:tcW w:w="3656" w:type="dxa"/>
          </w:tcPr>
          <w:p w14:paraId="6BB89E3C" w14:textId="77777777" w:rsidR="00F935B1" w:rsidRPr="000A4491" w:rsidRDefault="00F935B1" w:rsidP="0083602C">
            <w:pPr>
              <w:rPr>
                <w:rFonts w:ascii="Verdana" w:hAnsi="Verdana"/>
                <w:sz w:val="20"/>
              </w:rPr>
            </w:pPr>
            <w:r w:rsidRPr="000A4491">
              <w:rPr>
                <w:rFonts w:ascii="Verdana" w:hAnsi="Verdana"/>
                <w:sz w:val="20"/>
              </w:rPr>
              <w:t>Network Switch</w:t>
            </w:r>
            <w:r w:rsidRPr="000A4491">
              <w:rPr>
                <w:rFonts w:ascii="Verdana" w:hAnsi="Verdana"/>
                <w:sz w:val="20"/>
              </w:rPr>
              <w:fldChar w:fldCharType="begin"/>
            </w:r>
            <w:r w:rsidRPr="000A4491">
              <w:rPr>
                <w:rFonts w:ascii="Verdana" w:hAnsi="Verdana"/>
                <w:sz w:val="20"/>
              </w:rPr>
              <w:instrText>xe "</w:instrText>
            </w:r>
            <w:r w:rsidRPr="000A4491">
              <w:rPr>
                <w:rStyle w:val="Hyperlink"/>
                <w:rFonts w:ascii="Verdana" w:hAnsi="Verdana"/>
                <w:bCs/>
                <w:sz w:val="20"/>
              </w:rPr>
              <w:instrText>Network Switch</w:instrText>
            </w:r>
            <w:r w:rsidRPr="000A4491">
              <w:rPr>
                <w:rFonts w:ascii="Verdana" w:hAnsi="Verdana"/>
                <w:sz w:val="20"/>
              </w:rPr>
              <w:instrText>"</w:instrText>
            </w:r>
            <w:r w:rsidRPr="000A4491">
              <w:rPr>
                <w:rFonts w:ascii="Verdana" w:hAnsi="Verdana"/>
                <w:sz w:val="20"/>
              </w:rPr>
              <w:fldChar w:fldCharType="end"/>
            </w:r>
            <w:r w:rsidRPr="000A4491">
              <w:rPr>
                <w:rFonts w:ascii="Verdana" w:hAnsi="Verdana"/>
                <w:sz w:val="20"/>
              </w:rPr>
              <w:t xml:space="preserve"> </w:t>
            </w:r>
            <w:r w:rsidRPr="000A4491">
              <w:rPr>
                <w:rFonts w:ascii="Verdana" w:hAnsi="Verdana"/>
                <w:sz w:val="20"/>
              </w:rPr>
              <w:br/>
              <w:t>(</w:t>
            </w:r>
            <w:hyperlink w:anchor="aaDataDistribution" w:history="1">
              <w:r w:rsidRPr="000A4491">
                <w:rPr>
                  <w:rStyle w:val="Hyperlink"/>
                  <w:rFonts w:ascii="Verdana" w:hAnsi="Verdana"/>
                  <w:sz w:val="20"/>
                </w:rPr>
                <w:t>Data Distribution</w:t>
              </w:r>
              <w:r w:rsidRPr="000A4491">
                <w:rPr>
                  <w:rFonts w:ascii="Verdana" w:hAnsi="Verdana"/>
                  <w:sz w:val="20"/>
                </w:rPr>
                <w:fldChar w:fldCharType="begin"/>
              </w:r>
              <w:r w:rsidRPr="000A4491">
                <w:rPr>
                  <w:rFonts w:ascii="Verdana" w:hAnsi="Verdana"/>
                  <w:sz w:val="20"/>
                </w:rPr>
                <w:instrText>xe "Data Distribution"</w:instrText>
              </w:r>
              <w:r w:rsidRPr="000A4491">
                <w:rPr>
                  <w:rFonts w:ascii="Verdana" w:hAnsi="Verdana"/>
                  <w:sz w:val="20"/>
                </w:rPr>
                <w:fldChar w:fldCharType="end"/>
              </w:r>
            </w:hyperlink>
            <w:r w:rsidRPr="000A4491">
              <w:rPr>
                <w:rFonts w:ascii="Verdana" w:hAnsi="Verdana"/>
                <w:sz w:val="20"/>
              </w:rPr>
              <w:t>)</w:t>
            </w:r>
          </w:p>
        </w:tc>
        <w:tc>
          <w:tcPr>
            <w:tcW w:w="5441" w:type="dxa"/>
          </w:tcPr>
          <w:p w14:paraId="249B541E" w14:textId="77777777" w:rsidR="00F935B1" w:rsidRPr="000A4491" w:rsidRDefault="00F935B1" w:rsidP="0083602C">
            <w:pPr>
              <w:pStyle w:val="NormalWeb"/>
              <w:spacing w:before="0" w:beforeAutospacing="0" w:after="0"/>
              <w:rPr>
                <w:rFonts w:ascii="Verdana" w:hAnsi="Verdana"/>
                <w:sz w:val="20"/>
              </w:rPr>
            </w:pPr>
            <w:r w:rsidRPr="000A4491">
              <w:rPr>
                <w:rFonts w:ascii="Verdana" w:hAnsi="Verdana"/>
                <w:sz w:val="20"/>
              </w:rPr>
              <w:t>A switch</w:t>
            </w:r>
            <w:r w:rsidRPr="000A4491">
              <w:rPr>
                <w:rFonts w:ascii="Verdana" w:hAnsi="Verdana"/>
                <w:sz w:val="20"/>
              </w:rPr>
              <w:fldChar w:fldCharType="begin"/>
            </w:r>
            <w:r w:rsidRPr="000A4491">
              <w:rPr>
                <w:rFonts w:ascii="Verdana" w:hAnsi="Verdana"/>
                <w:sz w:val="20"/>
              </w:rPr>
              <w:instrText>xe "Network Switch"</w:instrText>
            </w:r>
            <w:r w:rsidRPr="000A4491">
              <w:rPr>
                <w:rFonts w:ascii="Verdana" w:hAnsi="Verdana"/>
                <w:sz w:val="20"/>
              </w:rPr>
              <w:fldChar w:fldCharType="end"/>
            </w:r>
            <w:r w:rsidRPr="000A4491">
              <w:rPr>
                <w:rFonts w:ascii="Verdana" w:hAnsi="Verdana"/>
                <w:sz w:val="20"/>
              </w:rPr>
              <w:t xml:space="preserve"> is a mechanical or electronic device that completes or breaks an electrical path or that selects the paths for communication.  More specifically, network switches provide capability similar to a network </w:t>
            </w:r>
            <w:hyperlink w:anchor="Hub" w:history="1">
              <w:r w:rsidRPr="000A4491">
                <w:rPr>
                  <w:rStyle w:val="Hyperlink"/>
                  <w:rFonts w:ascii="Verdana" w:hAnsi="Verdana"/>
                  <w:sz w:val="20"/>
                </w:rPr>
                <w:t>hub</w:t>
              </w:r>
            </w:hyperlink>
            <w:r w:rsidRPr="000A4491">
              <w:rPr>
                <w:rFonts w:ascii="Verdana" w:hAnsi="Verdana"/>
                <w:sz w:val="20"/>
              </w:rPr>
              <w:t xml:space="preserve"> but provide a dedicated bandwidth at each network port, rather than shared bandwidth among all ports.</w:t>
            </w:r>
          </w:p>
        </w:tc>
      </w:tr>
      <w:tr w:rsidR="00F935B1" w14:paraId="6898F835" w14:textId="77777777" w:rsidTr="0083602C">
        <w:trPr>
          <w:tblCellSpacing w:w="15" w:type="dxa"/>
        </w:trPr>
        <w:tc>
          <w:tcPr>
            <w:tcW w:w="3656" w:type="dxa"/>
          </w:tcPr>
          <w:p w14:paraId="165D3FED" w14:textId="77777777" w:rsidR="00F935B1" w:rsidRPr="000A4491" w:rsidRDefault="00F935B1" w:rsidP="0083602C">
            <w:pPr>
              <w:rPr>
                <w:rFonts w:ascii="Verdana" w:hAnsi="Verdana"/>
                <w:sz w:val="20"/>
              </w:rPr>
            </w:pPr>
            <w:r w:rsidRPr="000A4491">
              <w:rPr>
                <w:rFonts w:ascii="Verdana" w:hAnsi="Verdana"/>
                <w:sz w:val="20"/>
              </w:rPr>
              <w:t>OC-1</w:t>
            </w:r>
            <w:r w:rsidRPr="000A4491">
              <w:rPr>
                <w:rFonts w:ascii="Verdana" w:hAnsi="Verdana"/>
                <w:sz w:val="20"/>
              </w:rPr>
              <w:fldChar w:fldCharType="begin"/>
            </w:r>
            <w:r w:rsidRPr="000A4491">
              <w:rPr>
                <w:rFonts w:ascii="Verdana" w:hAnsi="Verdana"/>
                <w:sz w:val="20"/>
              </w:rPr>
              <w:instrText>xe "</w:instrText>
            </w:r>
            <w:r w:rsidRPr="000A4491">
              <w:rPr>
                <w:rStyle w:val="Hyperlink"/>
                <w:rFonts w:ascii="Verdana" w:hAnsi="Verdana"/>
                <w:sz w:val="20"/>
              </w:rPr>
              <w:instrText>OC-1</w:instrText>
            </w:r>
            <w:r w:rsidRPr="000A4491">
              <w:rPr>
                <w:rFonts w:ascii="Verdana" w:hAnsi="Verdana"/>
                <w:sz w:val="20"/>
              </w:rPr>
              <w:instrText>"</w:instrText>
            </w:r>
            <w:r w:rsidRPr="000A4491">
              <w:rPr>
                <w:rFonts w:ascii="Verdana" w:hAnsi="Verdana"/>
                <w:sz w:val="20"/>
              </w:rPr>
              <w:fldChar w:fldCharType="end"/>
            </w:r>
          </w:p>
          <w:p w14:paraId="126A2E82" w14:textId="77777777" w:rsidR="00F935B1" w:rsidRPr="000A4491" w:rsidRDefault="00F935B1" w:rsidP="0083602C">
            <w:pPr>
              <w:rPr>
                <w:rFonts w:ascii="Verdana" w:hAnsi="Verdana"/>
                <w:sz w:val="20"/>
              </w:rPr>
            </w:pPr>
            <w:r w:rsidRPr="000A4491">
              <w:rPr>
                <w:rFonts w:ascii="Verdana" w:hAnsi="Verdana"/>
                <w:sz w:val="20"/>
              </w:rPr>
              <w:t>(</w:t>
            </w:r>
            <w:hyperlink w:anchor="aattDigitalTransmissionServices" w:history="1">
              <w:r w:rsidRPr="000A4491">
                <w:rPr>
                  <w:rStyle w:val="Hyperlink"/>
                  <w:rFonts w:ascii="Verdana" w:hAnsi="Verdana"/>
                  <w:sz w:val="20"/>
                </w:rPr>
                <w:t>Digital Transmission Services</w:t>
              </w:r>
            </w:hyperlink>
            <w:r w:rsidRPr="000A4491">
              <w:rPr>
                <w:rFonts w:ascii="Verdana" w:hAnsi="Verdana"/>
                <w:sz w:val="20"/>
              </w:rPr>
              <w:t>)</w:t>
            </w:r>
          </w:p>
        </w:tc>
        <w:tc>
          <w:tcPr>
            <w:tcW w:w="5441" w:type="dxa"/>
          </w:tcPr>
          <w:p w14:paraId="0E86E8AD" w14:textId="77777777" w:rsidR="00F935B1" w:rsidRPr="000A4491" w:rsidRDefault="00F935B1" w:rsidP="0083602C">
            <w:pPr>
              <w:rPr>
                <w:rFonts w:ascii="Verdana" w:hAnsi="Verdana"/>
                <w:sz w:val="20"/>
              </w:rPr>
            </w:pPr>
            <w:r w:rsidRPr="000A4491">
              <w:rPr>
                <w:rFonts w:ascii="Verdana" w:hAnsi="Verdana"/>
                <w:sz w:val="20"/>
              </w:rPr>
              <w:t>OC-1</w:t>
            </w:r>
            <w:r w:rsidRPr="000A4491">
              <w:rPr>
                <w:rFonts w:ascii="Verdana" w:hAnsi="Verdana"/>
                <w:sz w:val="20"/>
              </w:rPr>
              <w:fldChar w:fldCharType="begin"/>
            </w:r>
            <w:r w:rsidRPr="000A4491">
              <w:rPr>
                <w:rFonts w:ascii="Verdana" w:hAnsi="Verdana"/>
                <w:sz w:val="20"/>
              </w:rPr>
              <w:instrText>xe "</w:instrText>
            </w:r>
            <w:r w:rsidRPr="000A4491">
              <w:rPr>
                <w:rStyle w:val="Hyperlink"/>
                <w:rFonts w:ascii="Verdana" w:hAnsi="Verdana"/>
                <w:sz w:val="20"/>
              </w:rPr>
              <w:instrText>OC-1</w:instrText>
            </w:r>
            <w:r w:rsidRPr="000A4491">
              <w:rPr>
                <w:rFonts w:ascii="Verdana" w:hAnsi="Verdana"/>
                <w:sz w:val="20"/>
              </w:rPr>
              <w:instrText>"</w:instrText>
            </w:r>
            <w:r w:rsidRPr="000A4491">
              <w:rPr>
                <w:rFonts w:ascii="Verdana" w:hAnsi="Verdana"/>
                <w:sz w:val="20"/>
              </w:rPr>
              <w:fldChar w:fldCharType="end"/>
            </w:r>
            <w:r w:rsidRPr="000A4491">
              <w:rPr>
                <w:rFonts w:ascii="Verdana" w:hAnsi="Verdana"/>
                <w:sz w:val="20"/>
              </w:rPr>
              <w:t xml:space="preserve"> stands for “optical carrier 1,” which is a Digital Transmission Service that operates at 51.84 Megabits per second.  Multiples of this bandwidth are also available, such as, OC-3</w:t>
            </w:r>
            <w:r w:rsidRPr="000A4491">
              <w:rPr>
                <w:rFonts w:ascii="Verdana" w:hAnsi="Verdana"/>
                <w:sz w:val="20"/>
              </w:rPr>
              <w:fldChar w:fldCharType="begin"/>
            </w:r>
            <w:r w:rsidRPr="000A4491">
              <w:rPr>
                <w:rFonts w:ascii="Verdana" w:hAnsi="Verdana"/>
                <w:sz w:val="20"/>
              </w:rPr>
              <w:instrText>xe "OC-3"</w:instrText>
            </w:r>
            <w:r w:rsidRPr="000A4491">
              <w:rPr>
                <w:rFonts w:ascii="Verdana" w:hAnsi="Verdana"/>
                <w:sz w:val="20"/>
              </w:rPr>
              <w:fldChar w:fldCharType="end"/>
            </w:r>
            <w:r w:rsidRPr="000A4491">
              <w:rPr>
                <w:rFonts w:ascii="Verdana" w:hAnsi="Verdana"/>
                <w:sz w:val="20"/>
              </w:rPr>
              <w:t xml:space="preserve"> and OC-12</w:t>
            </w:r>
            <w:r w:rsidRPr="000A4491">
              <w:rPr>
                <w:rFonts w:ascii="Verdana" w:hAnsi="Verdana"/>
                <w:sz w:val="20"/>
              </w:rPr>
              <w:fldChar w:fldCharType="begin"/>
            </w:r>
            <w:r w:rsidRPr="000A4491">
              <w:rPr>
                <w:rFonts w:ascii="Verdana" w:hAnsi="Verdana"/>
                <w:sz w:val="20"/>
              </w:rPr>
              <w:instrText>xe "OC-12"</w:instrText>
            </w:r>
            <w:r w:rsidRPr="000A4491">
              <w:rPr>
                <w:rFonts w:ascii="Verdana" w:hAnsi="Verdana"/>
                <w:sz w:val="20"/>
              </w:rPr>
              <w:fldChar w:fldCharType="end"/>
            </w:r>
            <w:r w:rsidRPr="000A4491">
              <w:rPr>
                <w:rFonts w:ascii="Verdana" w:hAnsi="Verdana"/>
                <w:sz w:val="20"/>
              </w:rPr>
              <w:t>.</w:t>
            </w:r>
          </w:p>
        </w:tc>
      </w:tr>
      <w:tr w:rsidR="00F935B1" w14:paraId="6DA16615" w14:textId="77777777" w:rsidTr="0083602C">
        <w:trPr>
          <w:tblCellSpacing w:w="15" w:type="dxa"/>
        </w:trPr>
        <w:tc>
          <w:tcPr>
            <w:tcW w:w="3656" w:type="dxa"/>
          </w:tcPr>
          <w:p w14:paraId="4F76EE68" w14:textId="77777777" w:rsidR="00F935B1" w:rsidRPr="000A4491" w:rsidRDefault="00F935B1" w:rsidP="0083602C">
            <w:pPr>
              <w:rPr>
                <w:rFonts w:ascii="Verdana" w:hAnsi="Verdana"/>
                <w:sz w:val="20"/>
              </w:rPr>
            </w:pPr>
            <w:r w:rsidRPr="000A4491">
              <w:rPr>
                <w:rFonts w:ascii="Verdana" w:hAnsi="Verdana"/>
                <w:sz w:val="20"/>
              </w:rPr>
              <w:t>Online Backup Solution</w:t>
            </w:r>
          </w:p>
          <w:p w14:paraId="20A4EDDD" w14:textId="77777777" w:rsidR="00F935B1" w:rsidRPr="000A4491" w:rsidRDefault="00F935B1" w:rsidP="0083602C">
            <w:pPr>
              <w:rPr>
                <w:rFonts w:ascii="Verdana" w:hAnsi="Verdana"/>
                <w:sz w:val="20"/>
              </w:rPr>
            </w:pPr>
            <w:r w:rsidRPr="000A4491">
              <w:rPr>
                <w:rFonts w:ascii="Verdana" w:hAnsi="Verdana"/>
                <w:sz w:val="20"/>
              </w:rPr>
              <w:t>(</w:t>
            </w:r>
            <w:hyperlink w:anchor="InternetIneligibleServices" w:history="1">
              <w:r w:rsidRPr="000A4491">
                <w:rPr>
                  <w:rStyle w:val="Hyperlink"/>
                  <w:rFonts w:ascii="Verdana" w:hAnsi="Verdana"/>
                  <w:sz w:val="20"/>
                </w:rPr>
                <w:t>Not Eligible for E-rate Funding as Internet Access Services</w:t>
              </w:r>
              <w:r w:rsidRPr="000A4491">
                <w:rPr>
                  <w:rFonts w:ascii="Verdana" w:hAnsi="Verdana"/>
                  <w:sz w:val="20"/>
                </w:rPr>
                <w:fldChar w:fldCharType="begin"/>
              </w:r>
              <w:r w:rsidRPr="000A4491">
                <w:rPr>
                  <w:rFonts w:ascii="Verdana" w:hAnsi="Verdana"/>
                  <w:sz w:val="20"/>
                </w:rPr>
                <w:instrText>xe "</w:instrText>
              </w:r>
              <w:r w:rsidRPr="000A4491">
                <w:rPr>
                  <w:rStyle w:val="Hyperlink"/>
                  <w:rFonts w:ascii="Verdana" w:hAnsi="Verdana"/>
                  <w:sz w:val="20"/>
                </w:rPr>
                <w:instrText>Internet Access</w:instrText>
              </w:r>
              <w:r w:rsidRPr="000A4491">
                <w:rPr>
                  <w:rFonts w:ascii="Verdana" w:hAnsi="Verdana"/>
                  <w:sz w:val="20"/>
                </w:rPr>
                <w:instrText>"</w:instrText>
              </w:r>
              <w:r w:rsidRPr="000A4491">
                <w:rPr>
                  <w:rFonts w:ascii="Verdana" w:hAnsi="Verdana"/>
                  <w:sz w:val="20"/>
                </w:rPr>
                <w:fldChar w:fldCharType="end"/>
              </w:r>
            </w:hyperlink>
            <w:r w:rsidRPr="000A4491">
              <w:rPr>
                <w:rFonts w:ascii="Verdana" w:hAnsi="Verdana"/>
                <w:sz w:val="20"/>
              </w:rPr>
              <w:t>)</w:t>
            </w:r>
          </w:p>
          <w:p w14:paraId="72460834" w14:textId="77777777" w:rsidR="00F935B1" w:rsidRPr="000A4491" w:rsidRDefault="00A0395D" w:rsidP="0083602C">
            <w:pPr>
              <w:rPr>
                <w:rFonts w:ascii="Verdana" w:hAnsi="Verdana"/>
                <w:sz w:val="20"/>
              </w:rPr>
            </w:pPr>
            <w:hyperlink w:anchor="ICOnlineBackupSolutions" w:history="1">
              <w:r w:rsidR="00F935B1" w:rsidRPr="000A4491">
                <w:rPr>
                  <w:rStyle w:val="Hyperlink"/>
                  <w:rFonts w:ascii="Verdana" w:hAnsi="Verdana"/>
                  <w:sz w:val="20"/>
                </w:rPr>
                <w:t>(Ineligible Internal Connection Components)</w:t>
              </w:r>
            </w:hyperlink>
          </w:p>
        </w:tc>
        <w:tc>
          <w:tcPr>
            <w:tcW w:w="5441" w:type="dxa"/>
          </w:tcPr>
          <w:p w14:paraId="03B5B9B1" w14:textId="77777777" w:rsidR="00F935B1" w:rsidRPr="000A4491" w:rsidRDefault="00F935B1" w:rsidP="0083602C">
            <w:pPr>
              <w:rPr>
                <w:rFonts w:ascii="Verdana" w:hAnsi="Verdana"/>
                <w:sz w:val="20"/>
              </w:rPr>
            </w:pPr>
            <w:r w:rsidRPr="000A4491">
              <w:rPr>
                <w:rFonts w:ascii="Verdana" w:hAnsi="Verdana"/>
                <w:sz w:val="20"/>
              </w:rPr>
              <w:t>An Online Backup Solution provides off-site data storage generally accessible from any Internet connection.</w:t>
            </w:r>
          </w:p>
        </w:tc>
      </w:tr>
      <w:tr w:rsidR="00F935B1" w14:paraId="3C5085F7" w14:textId="77777777" w:rsidTr="0083602C">
        <w:trPr>
          <w:tblCellSpacing w:w="15" w:type="dxa"/>
        </w:trPr>
        <w:tc>
          <w:tcPr>
            <w:tcW w:w="3656" w:type="dxa"/>
          </w:tcPr>
          <w:p w14:paraId="63D628F7" w14:textId="77777777" w:rsidR="00F935B1" w:rsidRPr="000A4491" w:rsidRDefault="00F935B1" w:rsidP="0083602C">
            <w:pPr>
              <w:rPr>
                <w:rFonts w:ascii="Verdana" w:hAnsi="Verdana"/>
                <w:sz w:val="20"/>
              </w:rPr>
            </w:pPr>
            <w:r w:rsidRPr="000A4491">
              <w:rPr>
                <w:rFonts w:ascii="Verdana" w:hAnsi="Verdana"/>
                <w:sz w:val="20"/>
              </w:rPr>
              <w:t>Operating System Software</w:t>
            </w:r>
            <w:r w:rsidRPr="000A4491">
              <w:rPr>
                <w:rFonts w:ascii="Verdana" w:hAnsi="Verdana"/>
                <w:sz w:val="20"/>
              </w:rPr>
              <w:fldChar w:fldCharType="begin"/>
            </w:r>
            <w:r w:rsidRPr="000A4491">
              <w:rPr>
                <w:rFonts w:ascii="Verdana" w:hAnsi="Verdana"/>
                <w:sz w:val="20"/>
              </w:rPr>
              <w:instrText>xe "Operating System Software"</w:instrText>
            </w:r>
            <w:r w:rsidRPr="000A4491">
              <w:rPr>
                <w:rFonts w:ascii="Verdana" w:hAnsi="Verdana"/>
                <w:sz w:val="20"/>
              </w:rPr>
              <w:fldChar w:fldCharType="end"/>
            </w:r>
            <w:r w:rsidRPr="000A4491">
              <w:rPr>
                <w:rFonts w:ascii="Verdana" w:hAnsi="Verdana"/>
                <w:sz w:val="20"/>
              </w:rPr>
              <w:t xml:space="preserve"> </w:t>
            </w:r>
            <w:r w:rsidRPr="000A4491">
              <w:rPr>
                <w:rFonts w:ascii="Verdana" w:hAnsi="Verdana"/>
                <w:sz w:val="20"/>
              </w:rPr>
              <w:br/>
              <w:t>(</w:t>
            </w:r>
            <w:hyperlink w:anchor="aaSoftware" w:history="1">
              <w:r w:rsidRPr="000A4491">
                <w:rPr>
                  <w:rStyle w:val="Hyperlink"/>
                  <w:rFonts w:ascii="Verdana" w:hAnsi="Verdana"/>
                  <w:sz w:val="20"/>
                </w:rPr>
                <w:t>Software</w:t>
              </w:r>
            </w:hyperlink>
            <w:r w:rsidRPr="000A4491">
              <w:rPr>
                <w:rFonts w:ascii="Verdana" w:hAnsi="Verdana"/>
                <w:sz w:val="20"/>
              </w:rPr>
              <w:t>)</w:t>
            </w:r>
          </w:p>
        </w:tc>
        <w:tc>
          <w:tcPr>
            <w:tcW w:w="5441" w:type="dxa"/>
          </w:tcPr>
          <w:p w14:paraId="29EE76CE" w14:textId="77777777" w:rsidR="00F935B1" w:rsidRPr="000A4491" w:rsidRDefault="00F935B1" w:rsidP="0083602C">
            <w:pPr>
              <w:pStyle w:val="NormalWeb"/>
              <w:spacing w:before="0" w:beforeAutospacing="0" w:after="0"/>
              <w:rPr>
                <w:rFonts w:ascii="Verdana" w:hAnsi="Verdana"/>
                <w:sz w:val="20"/>
              </w:rPr>
            </w:pPr>
            <w:r w:rsidRPr="000A4491">
              <w:rPr>
                <w:rFonts w:ascii="Verdana" w:hAnsi="Verdana"/>
                <w:sz w:val="20"/>
              </w:rPr>
              <w:t>Operating System software</w:t>
            </w:r>
            <w:r w:rsidRPr="000A4491">
              <w:rPr>
                <w:rFonts w:ascii="Verdana" w:hAnsi="Verdana"/>
                <w:sz w:val="20"/>
              </w:rPr>
              <w:fldChar w:fldCharType="begin"/>
            </w:r>
            <w:r w:rsidRPr="000A4491">
              <w:rPr>
                <w:rFonts w:ascii="Verdana" w:hAnsi="Verdana"/>
                <w:sz w:val="20"/>
              </w:rPr>
              <w:instrText>xe "Software"</w:instrText>
            </w:r>
            <w:r w:rsidRPr="000A4491">
              <w:rPr>
                <w:rFonts w:ascii="Verdana" w:hAnsi="Verdana"/>
                <w:sz w:val="20"/>
              </w:rPr>
              <w:fldChar w:fldCharType="end"/>
            </w:r>
            <w:r w:rsidRPr="000A4491">
              <w:rPr>
                <w:rFonts w:ascii="Verdana" w:hAnsi="Verdana"/>
                <w:sz w:val="20"/>
              </w:rPr>
              <w:t xml:space="preserve"> enables the basic operations of a computer system or other electronic device.  For example, it can </w:t>
            </w:r>
            <w:r w:rsidRPr="000A4491">
              <w:rPr>
                <w:rFonts w:ascii="Verdana" w:hAnsi="Verdana"/>
                <w:sz w:val="20"/>
              </w:rPr>
              <w:lastRenderedPageBreak/>
              <w:t>configure the communication paths between memory and storage</w:t>
            </w:r>
            <w:r w:rsidRPr="000A4491">
              <w:rPr>
                <w:rFonts w:ascii="Verdana" w:hAnsi="Verdana"/>
                <w:sz w:val="20"/>
              </w:rPr>
              <w:fldChar w:fldCharType="begin"/>
            </w:r>
            <w:r w:rsidRPr="000A4491">
              <w:rPr>
                <w:rFonts w:ascii="Verdana" w:hAnsi="Verdana"/>
                <w:sz w:val="20"/>
              </w:rPr>
              <w:instrText>xe "Storage"</w:instrText>
            </w:r>
            <w:r w:rsidRPr="000A4491">
              <w:rPr>
                <w:rFonts w:ascii="Verdana" w:hAnsi="Verdana"/>
                <w:sz w:val="20"/>
              </w:rPr>
              <w:fldChar w:fldCharType="end"/>
            </w:r>
            <w:r w:rsidRPr="000A4491">
              <w:rPr>
                <w:rFonts w:ascii="Verdana" w:hAnsi="Verdana"/>
                <w:sz w:val="20"/>
              </w:rPr>
              <w:t>, and provides basic functions for other software to operate correctly.</w:t>
            </w:r>
          </w:p>
        </w:tc>
      </w:tr>
      <w:tr w:rsidR="00F935B1" w14:paraId="669477C3" w14:textId="77777777" w:rsidTr="0083602C">
        <w:trPr>
          <w:tblCellSpacing w:w="15" w:type="dxa"/>
        </w:trPr>
        <w:tc>
          <w:tcPr>
            <w:tcW w:w="3656" w:type="dxa"/>
          </w:tcPr>
          <w:p w14:paraId="7830395B" w14:textId="77777777" w:rsidR="00F935B1" w:rsidRPr="000A4491" w:rsidRDefault="00F935B1" w:rsidP="0083602C">
            <w:pPr>
              <w:rPr>
                <w:rFonts w:ascii="Verdana" w:hAnsi="Verdana"/>
                <w:sz w:val="20"/>
                <w:lang w:val="fr-FR"/>
              </w:rPr>
            </w:pPr>
            <w:r w:rsidRPr="000A4491">
              <w:rPr>
                <w:rFonts w:ascii="Verdana" w:hAnsi="Verdana"/>
                <w:sz w:val="20"/>
                <w:lang w:val="fr-FR"/>
              </w:rPr>
              <w:lastRenderedPageBreak/>
              <w:t>Pager</w:t>
            </w:r>
            <w:r w:rsidRPr="000A4491">
              <w:rPr>
                <w:rFonts w:ascii="Verdana" w:hAnsi="Verdana"/>
                <w:sz w:val="20"/>
                <w:lang w:val="fr-FR"/>
              </w:rPr>
              <w:fldChar w:fldCharType="begin"/>
            </w:r>
            <w:r w:rsidRPr="000A4491">
              <w:rPr>
                <w:rFonts w:ascii="Verdana" w:hAnsi="Verdana"/>
                <w:sz w:val="20"/>
                <w:lang w:val="fr-FR"/>
              </w:rPr>
              <w:instrText>xe "Pagers"</w:instrText>
            </w:r>
            <w:r w:rsidRPr="000A4491">
              <w:rPr>
                <w:rFonts w:ascii="Verdana" w:hAnsi="Verdana"/>
                <w:sz w:val="20"/>
                <w:lang w:val="fr-FR"/>
              </w:rPr>
              <w:fldChar w:fldCharType="end"/>
            </w:r>
            <w:r w:rsidRPr="000A4491">
              <w:rPr>
                <w:rFonts w:ascii="Verdana" w:hAnsi="Verdana"/>
                <w:sz w:val="20"/>
                <w:lang w:val="fr-FR"/>
              </w:rPr>
              <w:t xml:space="preserve"> </w:t>
            </w:r>
            <w:r w:rsidRPr="000A4491">
              <w:rPr>
                <w:rFonts w:ascii="Verdana" w:hAnsi="Verdana"/>
                <w:sz w:val="20"/>
                <w:lang w:val="fr-FR"/>
              </w:rPr>
              <w:br/>
              <w:t>(</w:t>
            </w:r>
            <w:hyperlink w:anchor="aaIneligibleComponents" w:history="1">
              <w:r w:rsidRPr="000A4491">
                <w:rPr>
                  <w:rStyle w:val="Hyperlink"/>
                  <w:rFonts w:ascii="Verdana" w:hAnsi="Verdana"/>
                  <w:sz w:val="20"/>
                  <w:lang w:val="fr-FR"/>
                </w:rPr>
                <w:t>Ineligible Internal Connections Components</w:t>
              </w:r>
            </w:hyperlink>
            <w:r w:rsidRPr="000A4491">
              <w:rPr>
                <w:rFonts w:ascii="Verdana" w:hAnsi="Verdana"/>
                <w:sz w:val="20"/>
                <w:lang w:val="fr-FR"/>
              </w:rPr>
              <w:t>)</w:t>
            </w:r>
          </w:p>
        </w:tc>
        <w:tc>
          <w:tcPr>
            <w:tcW w:w="5441" w:type="dxa"/>
          </w:tcPr>
          <w:p w14:paraId="6D155616" w14:textId="77777777" w:rsidR="00F935B1" w:rsidRPr="000A4491" w:rsidRDefault="00F935B1" w:rsidP="0083602C">
            <w:pPr>
              <w:pStyle w:val="NormalWeb"/>
              <w:spacing w:before="0" w:beforeAutospacing="0" w:after="0"/>
              <w:rPr>
                <w:rFonts w:ascii="Verdana" w:hAnsi="Verdana"/>
                <w:sz w:val="20"/>
              </w:rPr>
            </w:pPr>
            <w:r w:rsidRPr="000A4491">
              <w:rPr>
                <w:rFonts w:ascii="Verdana" w:hAnsi="Verdana"/>
                <w:sz w:val="20"/>
              </w:rPr>
              <w:t>A Pager</w:t>
            </w:r>
            <w:r w:rsidRPr="000A4491">
              <w:rPr>
                <w:rFonts w:ascii="Verdana" w:hAnsi="Verdana"/>
                <w:sz w:val="20"/>
              </w:rPr>
              <w:fldChar w:fldCharType="begin"/>
            </w:r>
            <w:r w:rsidRPr="000A4491">
              <w:rPr>
                <w:rFonts w:ascii="Verdana" w:hAnsi="Verdana"/>
                <w:sz w:val="20"/>
              </w:rPr>
              <w:instrText>xe "Pagers"</w:instrText>
            </w:r>
            <w:r w:rsidRPr="000A4491">
              <w:rPr>
                <w:rFonts w:ascii="Verdana" w:hAnsi="Verdana"/>
                <w:sz w:val="20"/>
              </w:rPr>
              <w:fldChar w:fldCharType="end"/>
            </w:r>
            <w:r w:rsidRPr="000A4491">
              <w:rPr>
                <w:rFonts w:ascii="Verdana" w:hAnsi="Verdana"/>
                <w:sz w:val="20"/>
              </w:rPr>
              <w:t xml:space="preserve"> (also known as a Beeper</w:t>
            </w:r>
            <w:r w:rsidRPr="000A4491">
              <w:rPr>
                <w:rFonts w:ascii="Verdana" w:hAnsi="Verdana"/>
                <w:sz w:val="20"/>
              </w:rPr>
              <w:fldChar w:fldCharType="begin"/>
            </w:r>
            <w:r w:rsidRPr="000A4491">
              <w:rPr>
                <w:rFonts w:ascii="Verdana" w:hAnsi="Verdana"/>
                <w:sz w:val="20"/>
              </w:rPr>
              <w:instrText>xe "Beeper"</w:instrText>
            </w:r>
            <w:r w:rsidRPr="000A4491">
              <w:rPr>
                <w:rFonts w:ascii="Verdana" w:hAnsi="Verdana"/>
                <w:sz w:val="20"/>
              </w:rPr>
              <w:fldChar w:fldCharType="end"/>
            </w:r>
            <w:r w:rsidRPr="000A4491">
              <w:rPr>
                <w:rFonts w:ascii="Verdana" w:hAnsi="Verdana"/>
                <w:sz w:val="20"/>
              </w:rPr>
              <w:t>) is the receiving end of a paging service and is a small device worn on the belt or carried in a handbag.  Pagers</w:t>
            </w:r>
            <w:r w:rsidRPr="000A4491">
              <w:rPr>
                <w:rFonts w:ascii="Verdana" w:hAnsi="Verdana"/>
                <w:sz w:val="20"/>
              </w:rPr>
              <w:fldChar w:fldCharType="begin"/>
            </w:r>
            <w:r w:rsidRPr="000A4491">
              <w:rPr>
                <w:rFonts w:ascii="Verdana" w:hAnsi="Verdana"/>
                <w:sz w:val="20"/>
              </w:rPr>
              <w:instrText>xe "</w:instrText>
            </w:r>
            <w:r w:rsidRPr="000A4491">
              <w:rPr>
                <w:rStyle w:val="Hyperlink"/>
                <w:rFonts w:ascii="Verdana" w:hAnsi="Verdana"/>
                <w:bCs/>
                <w:sz w:val="20"/>
              </w:rPr>
              <w:instrText>Pagers</w:instrText>
            </w:r>
            <w:r w:rsidRPr="000A4491">
              <w:rPr>
                <w:rFonts w:ascii="Verdana" w:hAnsi="Verdana"/>
                <w:sz w:val="20"/>
              </w:rPr>
              <w:instrText>"</w:instrText>
            </w:r>
            <w:r w:rsidRPr="000A4491">
              <w:rPr>
                <w:rFonts w:ascii="Verdana" w:hAnsi="Verdana"/>
                <w:sz w:val="20"/>
              </w:rPr>
              <w:fldChar w:fldCharType="end"/>
            </w:r>
            <w:r w:rsidRPr="000A4491">
              <w:rPr>
                <w:rFonts w:ascii="Verdana" w:hAnsi="Verdana"/>
                <w:sz w:val="20"/>
              </w:rPr>
              <w:t xml:space="preserve"> may provide text</w:t>
            </w:r>
            <w:r w:rsidRPr="000A4491">
              <w:rPr>
                <w:rFonts w:ascii="Verdana" w:hAnsi="Verdana"/>
                <w:sz w:val="20"/>
              </w:rPr>
              <w:fldChar w:fldCharType="begin"/>
            </w:r>
            <w:r w:rsidRPr="000A4491">
              <w:rPr>
                <w:rFonts w:ascii="Verdana" w:hAnsi="Verdana"/>
                <w:sz w:val="20"/>
              </w:rPr>
              <w:instrText>xe "Text Messages"</w:instrText>
            </w:r>
            <w:r w:rsidRPr="000A4491">
              <w:rPr>
                <w:rFonts w:ascii="Verdana" w:hAnsi="Verdana"/>
                <w:sz w:val="20"/>
              </w:rPr>
              <w:fldChar w:fldCharType="end"/>
            </w:r>
            <w:r w:rsidRPr="000A4491">
              <w:rPr>
                <w:rFonts w:ascii="Verdana" w:hAnsi="Verdana"/>
                <w:sz w:val="20"/>
              </w:rPr>
              <w:t xml:space="preserve"> or voice messages, or both.</w:t>
            </w:r>
          </w:p>
        </w:tc>
      </w:tr>
      <w:tr w:rsidR="00F935B1" w14:paraId="57309AF2" w14:textId="77777777" w:rsidTr="0083602C">
        <w:trPr>
          <w:tblCellSpacing w:w="15" w:type="dxa"/>
        </w:trPr>
        <w:tc>
          <w:tcPr>
            <w:tcW w:w="3656" w:type="dxa"/>
          </w:tcPr>
          <w:p w14:paraId="68C351B9" w14:textId="77777777" w:rsidR="00F935B1" w:rsidRPr="000A4491" w:rsidRDefault="00F935B1" w:rsidP="0083602C">
            <w:pPr>
              <w:rPr>
                <w:rFonts w:ascii="Verdana" w:hAnsi="Verdana"/>
                <w:sz w:val="20"/>
              </w:rPr>
            </w:pPr>
            <w:r w:rsidRPr="000A4491">
              <w:rPr>
                <w:rFonts w:ascii="Verdana" w:hAnsi="Verdana"/>
                <w:sz w:val="20"/>
              </w:rPr>
              <w:t>Paging</w:t>
            </w:r>
            <w:r w:rsidRPr="000A4491">
              <w:rPr>
                <w:rFonts w:ascii="Verdana" w:hAnsi="Verdana"/>
                <w:sz w:val="20"/>
              </w:rPr>
              <w:fldChar w:fldCharType="begin"/>
            </w:r>
            <w:r w:rsidRPr="000A4491">
              <w:rPr>
                <w:rFonts w:ascii="Verdana" w:hAnsi="Verdana"/>
                <w:sz w:val="20"/>
              </w:rPr>
              <w:instrText>xe "Paging Service"</w:instrText>
            </w:r>
            <w:r w:rsidRPr="000A4491">
              <w:rPr>
                <w:rFonts w:ascii="Verdana" w:hAnsi="Verdana"/>
                <w:sz w:val="20"/>
              </w:rPr>
              <w:fldChar w:fldCharType="end"/>
            </w:r>
            <w:r w:rsidRPr="000A4491">
              <w:rPr>
                <w:rFonts w:ascii="Verdana" w:hAnsi="Verdana"/>
                <w:sz w:val="20"/>
              </w:rPr>
              <w:t xml:space="preserve"> Services</w:t>
            </w:r>
          </w:p>
          <w:p w14:paraId="282316E7" w14:textId="77777777" w:rsidR="00F935B1" w:rsidRPr="000A4491" w:rsidRDefault="00F935B1" w:rsidP="0083602C">
            <w:pPr>
              <w:rPr>
                <w:rFonts w:ascii="Verdana" w:hAnsi="Verdana"/>
                <w:sz w:val="20"/>
              </w:rPr>
            </w:pPr>
            <w:r w:rsidRPr="000A4491">
              <w:rPr>
                <w:rFonts w:ascii="Verdana" w:hAnsi="Verdana"/>
                <w:sz w:val="20"/>
              </w:rPr>
              <w:t>(</w:t>
            </w:r>
            <w:hyperlink w:anchor="aattPaging" w:history="1">
              <w:r w:rsidRPr="000A4491">
                <w:rPr>
                  <w:rStyle w:val="Hyperlink"/>
                  <w:rFonts w:ascii="Verdana" w:hAnsi="Verdana"/>
                  <w:sz w:val="20"/>
                </w:rPr>
                <w:t>Paging</w:t>
              </w:r>
              <w:r w:rsidRPr="000A4491">
                <w:rPr>
                  <w:rFonts w:ascii="Verdana" w:hAnsi="Verdana"/>
                  <w:sz w:val="20"/>
                </w:rPr>
                <w:fldChar w:fldCharType="begin"/>
              </w:r>
              <w:r w:rsidRPr="000A4491">
                <w:rPr>
                  <w:rFonts w:ascii="Verdana" w:hAnsi="Verdana"/>
                  <w:sz w:val="20"/>
                </w:rPr>
                <w:instrText>xe "Paging Service"</w:instrText>
              </w:r>
              <w:r w:rsidRPr="000A4491">
                <w:rPr>
                  <w:rFonts w:ascii="Verdana" w:hAnsi="Verdana"/>
                  <w:sz w:val="20"/>
                </w:rPr>
                <w:fldChar w:fldCharType="end"/>
              </w:r>
            </w:hyperlink>
            <w:r w:rsidRPr="000A4491">
              <w:rPr>
                <w:rFonts w:ascii="Verdana" w:hAnsi="Verdana"/>
                <w:sz w:val="20"/>
              </w:rPr>
              <w:t>)</w:t>
            </w:r>
          </w:p>
        </w:tc>
        <w:tc>
          <w:tcPr>
            <w:tcW w:w="5441" w:type="dxa"/>
          </w:tcPr>
          <w:p w14:paraId="65325696" w14:textId="77777777" w:rsidR="00F935B1" w:rsidRPr="000A4491" w:rsidRDefault="00F935B1" w:rsidP="0083602C">
            <w:pPr>
              <w:pStyle w:val="NormalWeb"/>
              <w:spacing w:before="0" w:beforeAutospacing="0" w:after="0"/>
              <w:rPr>
                <w:rFonts w:ascii="Verdana" w:hAnsi="Verdana"/>
                <w:bCs/>
                <w:sz w:val="20"/>
              </w:rPr>
            </w:pPr>
            <w:r w:rsidRPr="000A4491">
              <w:rPr>
                <w:rFonts w:ascii="Verdana" w:hAnsi="Verdana"/>
                <w:sz w:val="20"/>
              </w:rPr>
              <w:t>Paging</w:t>
            </w:r>
            <w:r w:rsidRPr="000A4491">
              <w:rPr>
                <w:rFonts w:ascii="Verdana" w:hAnsi="Verdana"/>
                <w:sz w:val="20"/>
              </w:rPr>
              <w:fldChar w:fldCharType="begin"/>
            </w:r>
            <w:r w:rsidRPr="000A4491">
              <w:rPr>
                <w:rFonts w:ascii="Verdana" w:hAnsi="Verdana"/>
                <w:sz w:val="20"/>
              </w:rPr>
              <w:instrText>xe "Paging Service"</w:instrText>
            </w:r>
            <w:r w:rsidRPr="000A4491">
              <w:rPr>
                <w:rFonts w:ascii="Verdana" w:hAnsi="Verdana"/>
                <w:sz w:val="20"/>
              </w:rPr>
              <w:fldChar w:fldCharType="end"/>
            </w:r>
            <w:r w:rsidRPr="000A4491">
              <w:rPr>
                <w:rFonts w:ascii="Verdana" w:hAnsi="Verdana"/>
                <w:sz w:val="20"/>
              </w:rPr>
              <w:t xml:space="preserve"> is a service designed to deliver a message to a person whose exact location is unknown.  The service employs radio</w:t>
            </w:r>
            <w:r w:rsidRPr="000A4491">
              <w:rPr>
                <w:rFonts w:ascii="Verdana" w:hAnsi="Verdana"/>
                <w:sz w:val="20"/>
              </w:rPr>
              <w:fldChar w:fldCharType="begin"/>
            </w:r>
            <w:r w:rsidRPr="000A4491">
              <w:rPr>
                <w:rFonts w:ascii="Verdana" w:hAnsi="Verdana"/>
                <w:sz w:val="20"/>
              </w:rPr>
              <w:instrText>xe "Radio"</w:instrText>
            </w:r>
            <w:r w:rsidRPr="000A4491">
              <w:rPr>
                <w:rFonts w:ascii="Verdana" w:hAnsi="Verdana"/>
                <w:sz w:val="20"/>
              </w:rPr>
              <w:fldChar w:fldCharType="end"/>
            </w:r>
            <w:r w:rsidRPr="000A4491">
              <w:rPr>
                <w:rFonts w:ascii="Verdana" w:hAnsi="Verdana"/>
                <w:sz w:val="20"/>
              </w:rPr>
              <w:t xml:space="preserve"> signals that activate a paging receiver carried by the intended recipient to deliver a text</w:t>
            </w:r>
            <w:r w:rsidRPr="000A4491">
              <w:rPr>
                <w:rFonts w:ascii="Verdana" w:hAnsi="Verdana"/>
                <w:sz w:val="20"/>
              </w:rPr>
              <w:fldChar w:fldCharType="begin"/>
            </w:r>
            <w:r w:rsidRPr="000A4491">
              <w:rPr>
                <w:rFonts w:ascii="Verdana" w:hAnsi="Verdana"/>
                <w:sz w:val="20"/>
              </w:rPr>
              <w:instrText>xe "Text Paging"</w:instrText>
            </w:r>
            <w:r w:rsidRPr="000A4491">
              <w:rPr>
                <w:rFonts w:ascii="Verdana" w:hAnsi="Verdana"/>
                <w:sz w:val="20"/>
              </w:rPr>
              <w:fldChar w:fldCharType="end"/>
            </w:r>
            <w:r w:rsidRPr="000A4491">
              <w:rPr>
                <w:rFonts w:ascii="Verdana" w:hAnsi="Verdana"/>
                <w:sz w:val="20"/>
              </w:rPr>
              <w:t>, numeric</w:t>
            </w:r>
            <w:r w:rsidRPr="000A4491">
              <w:rPr>
                <w:rFonts w:ascii="Verdana" w:hAnsi="Verdana"/>
                <w:sz w:val="20"/>
              </w:rPr>
              <w:fldChar w:fldCharType="begin"/>
            </w:r>
            <w:r w:rsidRPr="000A4491">
              <w:rPr>
                <w:rFonts w:ascii="Verdana" w:hAnsi="Verdana"/>
                <w:sz w:val="20"/>
              </w:rPr>
              <w:instrText>xe "Numeric Message"</w:instrText>
            </w:r>
            <w:r w:rsidRPr="000A4491">
              <w:rPr>
                <w:rFonts w:ascii="Verdana" w:hAnsi="Verdana"/>
                <w:sz w:val="20"/>
              </w:rPr>
              <w:fldChar w:fldCharType="end"/>
            </w:r>
            <w:r w:rsidRPr="000A4491">
              <w:rPr>
                <w:rFonts w:ascii="Verdana" w:hAnsi="Verdana"/>
                <w:sz w:val="20"/>
              </w:rPr>
              <w:t>, or voice message</w:t>
            </w:r>
            <w:r w:rsidRPr="000A4491">
              <w:rPr>
                <w:rFonts w:ascii="Verdana" w:hAnsi="Verdana"/>
                <w:sz w:val="20"/>
              </w:rPr>
              <w:fldChar w:fldCharType="begin"/>
            </w:r>
            <w:r w:rsidRPr="000A4491">
              <w:rPr>
                <w:rFonts w:ascii="Verdana" w:hAnsi="Verdana"/>
                <w:sz w:val="20"/>
              </w:rPr>
              <w:instrText>xe "Voice Message"</w:instrText>
            </w:r>
            <w:r w:rsidRPr="000A4491">
              <w:rPr>
                <w:rFonts w:ascii="Verdana" w:hAnsi="Verdana"/>
                <w:sz w:val="20"/>
              </w:rPr>
              <w:fldChar w:fldCharType="end"/>
            </w:r>
            <w:r w:rsidRPr="000A4491">
              <w:rPr>
                <w:rFonts w:ascii="Verdana" w:hAnsi="Verdana"/>
                <w:sz w:val="20"/>
              </w:rPr>
              <w:t>.</w:t>
            </w:r>
          </w:p>
        </w:tc>
      </w:tr>
      <w:tr w:rsidR="00F935B1" w14:paraId="413CB887" w14:textId="77777777" w:rsidTr="0083602C">
        <w:trPr>
          <w:tblCellSpacing w:w="15" w:type="dxa"/>
        </w:trPr>
        <w:tc>
          <w:tcPr>
            <w:tcW w:w="3656" w:type="dxa"/>
          </w:tcPr>
          <w:p w14:paraId="7EB529AD" w14:textId="77777777" w:rsidR="00F935B1" w:rsidRPr="000A4491" w:rsidRDefault="00F935B1" w:rsidP="0083602C">
            <w:pPr>
              <w:rPr>
                <w:rFonts w:ascii="Verdana" w:hAnsi="Verdana"/>
                <w:sz w:val="20"/>
              </w:rPr>
            </w:pPr>
            <w:r w:rsidRPr="000A4491">
              <w:rPr>
                <w:rFonts w:ascii="Verdana" w:hAnsi="Verdana"/>
                <w:sz w:val="20"/>
              </w:rPr>
              <w:t>Payphone</w:t>
            </w:r>
            <w:r w:rsidRPr="000A4491">
              <w:rPr>
                <w:rFonts w:ascii="Verdana" w:hAnsi="Verdana"/>
                <w:sz w:val="20"/>
              </w:rPr>
              <w:fldChar w:fldCharType="begin"/>
            </w:r>
            <w:r w:rsidRPr="000A4491">
              <w:rPr>
                <w:rFonts w:ascii="Verdana" w:hAnsi="Verdana"/>
                <w:sz w:val="20"/>
              </w:rPr>
              <w:instrText>xe "Payphone"</w:instrText>
            </w:r>
            <w:r w:rsidRPr="000A4491">
              <w:rPr>
                <w:rFonts w:ascii="Verdana" w:hAnsi="Verdana"/>
                <w:sz w:val="20"/>
              </w:rPr>
              <w:fldChar w:fldCharType="end"/>
            </w:r>
            <w:r w:rsidRPr="000A4491">
              <w:rPr>
                <w:rFonts w:ascii="Verdana" w:hAnsi="Verdana"/>
                <w:sz w:val="20"/>
              </w:rPr>
              <w:t xml:space="preserve"> Telephone Service</w:t>
            </w:r>
            <w:r w:rsidRPr="000A4491">
              <w:rPr>
                <w:rFonts w:ascii="Verdana" w:hAnsi="Verdana"/>
                <w:sz w:val="20"/>
              </w:rPr>
              <w:fldChar w:fldCharType="begin"/>
            </w:r>
            <w:r w:rsidRPr="000A4491">
              <w:rPr>
                <w:rFonts w:ascii="Verdana" w:hAnsi="Verdana"/>
                <w:sz w:val="20"/>
              </w:rPr>
              <w:instrText>xe "Telephone Service"</w:instrText>
            </w:r>
            <w:r w:rsidRPr="000A4491">
              <w:rPr>
                <w:rFonts w:ascii="Verdana" w:hAnsi="Verdana"/>
                <w:sz w:val="20"/>
              </w:rPr>
              <w:fldChar w:fldCharType="end"/>
            </w:r>
          </w:p>
          <w:p w14:paraId="070CC40B" w14:textId="77777777" w:rsidR="00F935B1" w:rsidRPr="000A4491" w:rsidRDefault="00F935B1" w:rsidP="0083602C">
            <w:pPr>
              <w:rPr>
                <w:rFonts w:ascii="Verdana" w:hAnsi="Verdana"/>
                <w:sz w:val="20"/>
              </w:rPr>
            </w:pPr>
            <w:r w:rsidRPr="000A4491">
              <w:rPr>
                <w:rFonts w:ascii="Verdana" w:hAnsi="Verdana"/>
                <w:sz w:val="20"/>
              </w:rPr>
              <w:t>(</w:t>
            </w:r>
            <w:hyperlink w:anchor="aattIneligibleServices" w:history="1">
              <w:r w:rsidRPr="000A4491">
                <w:rPr>
                  <w:rStyle w:val="Hyperlink"/>
                  <w:rFonts w:ascii="Verdana" w:hAnsi="Verdana"/>
                  <w:sz w:val="20"/>
                </w:rPr>
                <w:t>NOT Eligible for Funding as Telecommunications Services</w:t>
              </w:r>
              <w:r w:rsidRPr="000A4491">
                <w:rPr>
                  <w:rFonts w:ascii="Verdana" w:hAnsi="Verdana"/>
                  <w:sz w:val="20"/>
                </w:rPr>
                <w:fldChar w:fldCharType="begin"/>
              </w:r>
              <w:r w:rsidRPr="000A4491">
                <w:rPr>
                  <w:rFonts w:ascii="Verdana" w:hAnsi="Verdana"/>
                  <w:sz w:val="20"/>
                </w:rPr>
                <w:instrText>xe "</w:instrText>
              </w:r>
              <w:r w:rsidRPr="000A4491">
                <w:rPr>
                  <w:rStyle w:val="Hyperlink"/>
                  <w:rFonts w:ascii="Verdana" w:hAnsi="Verdana"/>
                  <w:sz w:val="20"/>
                </w:rPr>
                <w:instrText>Telecommunications</w:instrText>
              </w:r>
              <w:r w:rsidRPr="000A4491">
                <w:rPr>
                  <w:rFonts w:ascii="Verdana" w:hAnsi="Verdana"/>
                  <w:sz w:val="20"/>
                </w:rPr>
                <w:instrText>"</w:instrText>
              </w:r>
              <w:r w:rsidRPr="000A4491">
                <w:rPr>
                  <w:rFonts w:ascii="Verdana" w:hAnsi="Verdana"/>
                  <w:sz w:val="20"/>
                </w:rPr>
                <w:fldChar w:fldCharType="end"/>
              </w:r>
            </w:hyperlink>
            <w:r w:rsidRPr="000A4491">
              <w:rPr>
                <w:rFonts w:ascii="Verdana" w:hAnsi="Verdana"/>
                <w:sz w:val="20"/>
              </w:rPr>
              <w:t>)</w:t>
            </w:r>
          </w:p>
        </w:tc>
        <w:tc>
          <w:tcPr>
            <w:tcW w:w="5441" w:type="dxa"/>
          </w:tcPr>
          <w:p w14:paraId="0FC98695" w14:textId="77777777" w:rsidR="00F935B1" w:rsidRPr="000A4491" w:rsidRDefault="00F935B1" w:rsidP="0083602C">
            <w:pPr>
              <w:rPr>
                <w:rFonts w:ascii="Verdana" w:hAnsi="Verdana"/>
                <w:sz w:val="20"/>
              </w:rPr>
            </w:pPr>
            <w:r w:rsidRPr="000A4491">
              <w:rPr>
                <w:rFonts w:ascii="Verdana" w:hAnsi="Verdana"/>
                <w:sz w:val="20"/>
              </w:rPr>
              <w:t>Payphone</w:t>
            </w:r>
            <w:r w:rsidRPr="000A4491">
              <w:rPr>
                <w:rFonts w:ascii="Verdana" w:hAnsi="Verdana"/>
                <w:sz w:val="20"/>
              </w:rPr>
              <w:fldChar w:fldCharType="begin"/>
            </w:r>
            <w:r w:rsidRPr="000A4491">
              <w:rPr>
                <w:rFonts w:ascii="Verdana" w:hAnsi="Verdana"/>
                <w:sz w:val="20"/>
              </w:rPr>
              <w:instrText>xe "Payphone"</w:instrText>
            </w:r>
            <w:r w:rsidRPr="000A4491">
              <w:rPr>
                <w:rFonts w:ascii="Verdana" w:hAnsi="Verdana"/>
                <w:sz w:val="20"/>
              </w:rPr>
              <w:fldChar w:fldCharType="end"/>
            </w:r>
            <w:r w:rsidRPr="000A4491">
              <w:rPr>
                <w:rFonts w:ascii="Verdana" w:hAnsi="Verdana"/>
                <w:sz w:val="20"/>
              </w:rPr>
              <w:t xml:space="preserve"> (or coin) telephone service</w:t>
            </w:r>
            <w:r w:rsidRPr="000A4491">
              <w:rPr>
                <w:rFonts w:ascii="Verdana" w:hAnsi="Verdana"/>
                <w:sz w:val="20"/>
              </w:rPr>
              <w:fldChar w:fldCharType="begin"/>
            </w:r>
            <w:r w:rsidRPr="000A4491">
              <w:rPr>
                <w:rFonts w:ascii="Verdana" w:hAnsi="Verdana"/>
                <w:sz w:val="20"/>
              </w:rPr>
              <w:instrText>xe "Telephone Service"</w:instrText>
            </w:r>
            <w:r w:rsidRPr="000A4491">
              <w:rPr>
                <w:rFonts w:ascii="Verdana" w:hAnsi="Verdana"/>
                <w:sz w:val="20"/>
              </w:rPr>
              <w:fldChar w:fldCharType="end"/>
            </w:r>
            <w:r w:rsidRPr="000A4491">
              <w:rPr>
                <w:rFonts w:ascii="Verdana" w:hAnsi="Verdana"/>
                <w:sz w:val="20"/>
              </w:rPr>
              <w:t xml:space="preserve"> is provided in a public or semi-public place and requires the use of coins, credit card, pre-paid card, or other means of payment at the time of placing the call.</w:t>
            </w:r>
          </w:p>
        </w:tc>
      </w:tr>
      <w:tr w:rsidR="00F935B1" w14:paraId="5B56BEA1" w14:textId="77777777" w:rsidTr="0083602C">
        <w:trPr>
          <w:tblCellSpacing w:w="15" w:type="dxa"/>
        </w:trPr>
        <w:tc>
          <w:tcPr>
            <w:tcW w:w="3656" w:type="dxa"/>
          </w:tcPr>
          <w:p w14:paraId="517FE7F0" w14:textId="77777777" w:rsidR="00F935B1" w:rsidRPr="000A4491" w:rsidRDefault="00F935B1" w:rsidP="0083602C">
            <w:pPr>
              <w:rPr>
                <w:rFonts w:ascii="Verdana" w:hAnsi="Verdana"/>
                <w:sz w:val="20"/>
              </w:rPr>
            </w:pPr>
            <w:r w:rsidRPr="000A4491">
              <w:rPr>
                <w:rFonts w:ascii="Verdana" w:hAnsi="Verdana"/>
                <w:sz w:val="20"/>
              </w:rPr>
              <w:t>Per Diem</w:t>
            </w:r>
          </w:p>
          <w:p w14:paraId="32F1B44F" w14:textId="77777777" w:rsidR="00F935B1" w:rsidRPr="000A4491" w:rsidRDefault="00F935B1" w:rsidP="0083602C">
            <w:pPr>
              <w:rPr>
                <w:rFonts w:ascii="Verdana" w:hAnsi="Verdana"/>
                <w:sz w:val="20"/>
              </w:rPr>
            </w:pPr>
            <w:r w:rsidRPr="000A4491">
              <w:rPr>
                <w:rFonts w:ascii="Verdana" w:hAnsi="Verdana"/>
                <w:sz w:val="20"/>
              </w:rPr>
              <w:t>(</w:t>
            </w:r>
            <w:hyperlink w:anchor="MiscMiscellaneousFeesAndCharges" w:history="1">
              <w:r w:rsidRPr="000A4491">
                <w:rPr>
                  <w:rStyle w:val="Hyperlink"/>
                  <w:rFonts w:ascii="Verdana" w:hAnsi="Verdana"/>
                  <w:sz w:val="20"/>
                </w:rPr>
                <w:t>Miscellaneous Fees and Charges</w:t>
              </w:r>
            </w:hyperlink>
            <w:r w:rsidRPr="000A4491">
              <w:rPr>
                <w:rFonts w:ascii="Verdana" w:hAnsi="Verdana"/>
                <w:sz w:val="20"/>
              </w:rPr>
              <w:t>)</w:t>
            </w:r>
          </w:p>
        </w:tc>
        <w:tc>
          <w:tcPr>
            <w:tcW w:w="5441" w:type="dxa"/>
          </w:tcPr>
          <w:p w14:paraId="7D9F1788" w14:textId="77777777" w:rsidR="00F935B1" w:rsidRPr="000A4491" w:rsidRDefault="00F935B1" w:rsidP="0083602C">
            <w:pPr>
              <w:rPr>
                <w:rFonts w:ascii="Verdana" w:hAnsi="Verdana"/>
                <w:sz w:val="20"/>
              </w:rPr>
            </w:pPr>
            <w:r w:rsidRPr="000A4491">
              <w:rPr>
                <w:rFonts w:ascii="Verdana" w:hAnsi="Verdana"/>
                <w:sz w:val="20"/>
              </w:rPr>
              <w:t>Per diem</w:t>
            </w:r>
            <w:r w:rsidRPr="000A4491">
              <w:rPr>
                <w:rFonts w:ascii="Verdana" w:hAnsi="Verdana"/>
                <w:sz w:val="20"/>
              </w:rPr>
              <w:fldChar w:fldCharType="begin"/>
            </w:r>
            <w:r w:rsidRPr="000A4491">
              <w:rPr>
                <w:rFonts w:ascii="Verdana" w:hAnsi="Verdana"/>
                <w:sz w:val="20"/>
              </w:rPr>
              <w:instrText>xe "Per Diem"</w:instrText>
            </w:r>
            <w:r w:rsidRPr="000A4491">
              <w:rPr>
                <w:rFonts w:ascii="Verdana" w:hAnsi="Verdana"/>
                <w:sz w:val="20"/>
              </w:rPr>
              <w:fldChar w:fldCharType="end"/>
            </w:r>
            <w:r w:rsidRPr="000A4491">
              <w:rPr>
                <w:rFonts w:ascii="Verdana" w:hAnsi="Verdana"/>
                <w:sz w:val="20"/>
              </w:rPr>
              <w:t xml:space="preserve"> is a dollar amount designated to a vendor for daily expenses, such as, lodging and food.  It may or may not include travel time.</w:t>
            </w:r>
          </w:p>
        </w:tc>
      </w:tr>
      <w:tr w:rsidR="00F935B1" w14:paraId="7FD9401E" w14:textId="77777777" w:rsidTr="0083602C">
        <w:trPr>
          <w:tblCellSpacing w:w="15" w:type="dxa"/>
        </w:trPr>
        <w:tc>
          <w:tcPr>
            <w:tcW w:w="3656" w:type="dxa"/>
          </w:tcPr>
          <w:p w14:paraId="29DC1ADB" w14:textId="77777777" w:rsidR="00F935B1" w:rsidRPr="000A4491" w:rsidRDefault="00F935B1" w:rsidP="0083602C">
            <w:pPr>
              <w:rPr>
                <w:rFonts w:ascii="Verdana" w:hAnsi="Verdana"/>
                <w:sz w:val="20"/>
              </w:rPr>
            </w:pPr>
            <w:r w:rsidRPr="000A4491">
              <w:rPr>
                <w:rFonts w:ascii="Verdana" w:hAnsi="Verdana"/>
                <w:sz w:val="20"/>
              </w:rPr>
              <w:t xml:space="preserve">Performance Bond </w:t>
            </w:r>
            <w:r w:rsidRPr="000A4491">
              <w:rPr>
                <w:rFonts w:ascii="Verdana" w:hAnsi="Verdana"/>
                <w:sz w:val="20"/>
              </w:rPr>
              <w:br/>
              <w:t>(</w:t>
            </w:r>
            <w:hyperlink w:anchor="OtherMiscellaneousIneligibleComponents" w:history="1">
              <w:r w:rsidRPr="000A4491">
                <w:rPr>
                  <w:rStyle w:val="Hyperlink"/>
                  <w:rFonts w:ascii="Verdana" w:hAnsi="Verdana"/>
                  <w:sz w:val="20"/>
                </w:rPr>
                <w:t>Other Miscellaneous Ineligible Components</w:t>
              </w:r>
            </w:hyperlink>
            <w:r w:rsidRPr="000A4491">
              <w:rPr>
                <w:rFonts w:ascii="Verdana" w:hAnsi="Verdana"/>
                <w:sz w:val="20"/>
              </w:rPr>
              <w:t>)</w:t>
            </w:r>
          </w:p>
        </w:tc>
        <w:tc>
          <w:tcPr>
            <w:tcW w:w="5441" w:type="dxa"/>
          </w:tcPr>
          <w:p w14:paraId="7BFEFA67" w14:textId="77777777" w:rsidR="00F935B1" w:rsidRPr="000A4491" w:rsidRDefault="00F935B1" w:rsidP="0083602C">
            <w:pPr>
              <w:rPr>
                <w:rFonts w:ascii="Verdana" w:hAnsi="Verdana"/>
                <w:sz w:val="20"/>
              </w:rPr>
            </w:pPr>
            <w:r w:rsidRPr="000A4491">
              <w:rPr>
                <w:rFonts w:ascii="Verdana" w:hAnsi="Verdana"/>
                <w:sz w:val="20"/>
              </w:rPr>
              <w:t>A Performance Bond, also known as a Bid Bond, is a legal obligation, generally obtained by the vendor or contractor from a third party, that guarantees the terms of the contract or agreement will be met.  In the event of default or failure to meet the terms, the bond would be used to complete the contracted work.</w:t>
            </w:r>
          </w:p>
        </w:tc>
      </w:tr>
      <w:tr w:rsidR="00F935B1" w14:paraId="427BC138" w14:textId="77777777" w:rsidTr="0083602C">
        <w:trPr>
          <w:tblCellSpacing w:w="15" w:type="dxa"/>
        </w:trPr>
        <w:tc>
          <w:tcPr>
            <w:tcW w:w="3656" w:type="dxa"/>
          </w:tcPr>
          <w:p w14:paraId="4C7DC518" w14:textId="77777777" w:rsidR="00F935B1" w:rsidRPr="000A4491" w:rsidRDefault="00F935B1" w:rsidP="0083602C">
            <w:pPr>
              <w:rPr>
                <w:rFonts w:ascii="Verdana" w:hAnsi="Verdana"/>
                <w:sz w:val="20"/>
              </w:rPr>
            </w:pPr>
            <w:r w:rsidRPr="000A4491">
              <w:rPr>
                <w:rFonts w:ascii="Verdana" w:hAnsi="Verdana"/>
                <w:sz w:val="20"/>
              </w:rPr>
              <w:t>Permanent Virtual Circuit</w:t>
            </w:r>
            <w:r w:rsidRPr="000A4491">
              <w:rPr>
                <w:rFonts w:ascii="Verdana" w:hAnsi="Verdana"/>
                <w:sz w:val="20"/>
              </w:rPr>
              <w:fldChar w:fldCharType="begin"/>
            </w:r>
            <w:r w:rsidRPr="000A4491">
              <w:rPr>
                <w:rFonts w:ascii="Verdana" w:hAnsi="Verdana"/>
                <w:sz w:val="20"/>
              </w:rPr>
              <w:instrText>xe "Circuit"</w:instrText>
            </w:r>
            <w:r w:rsidRPr="000A4491">
              <w:rPr>
                <w:rFonts w:ascii="Verdana" w:hAnsi="Verdana"/>
                <w:sz w:val="20"/>
              </w:rPr>
              <w:fldChar w:fldCharType="end"/>
            </w:r>
            <w:r w:rsidRPr="000A4491">
              <w:rPr>
                <w:rFonts w:ascii="Verdana" w:hAnsi="Verdana"/>
                <w:sz w:val="20"/>
              </w:rPr>
              <w:t xml:space="preserve"> (PVC</w:t>
            </w:r>
            <w:r w:rsidRPr="000A4491">
              <w:rPr>
                <w:rFonts w:ascii="Verdana" w:hAnsi="Verdana"/>
                <w:sz w:val="20"/>
              </w:rPr>
              <w:fldChar w:fldCharType="begin"/>
            </w:r>
            <w:r w:rsidRPr="000A4491">
              <w:rPr>
                <w:rFonts w:ascii="Verdana" w:hAnsi="Verdana"/>
                <w:sz w:val="20"/>
              </w:rPr>
              <w:instrText>xe "PVC"</w:instrText>
            </w:r>
            <w:r w:rsidRPr="000A4491">
              <w:rPr>
                <w:rFonts w:ascii="Verdana" w:hAnsi="Verdana"/>
                <w:sz w:val="20"/>
              </w:rPr>
              <w:fldChar w:fldCharType="end"/>
            </w:r>
            <w:r w:rsidRPr="000A4491">
              <w:rPr>
                <w:rFonts w:ascii="Verdana" w:hAnsi="Verdana"/>
                <w:sz w:val="20"/>
              </w:rPr>
              <w:t>)</w:t>
            </w:r>
          </w:p>
          <w:p w14:paraId="0FFF0FD9" w14:textId="77777777" w:rsidR="00F935B1" w:rsidRPr="000A4491" w:rsidRDefault="00F935B1" w:rsidP="0083602C">
            <w:pPr>
              <w:rPr>
                <w:rFonts w:ascii="Verdana" w:hAnsi="Verdana"/>
                <w:sz w:val="20"/>
              </w:rPr>
            </w:pPr>
            <w:r w:rsidRPr="000A4491">
              <w:rPr>
                <w:rFonts w:ascii="Verdana" w:hAnsi="Verdana"/>
                <w:sz w:val="20"/>
              </w:rPr>
              <w:t>(</w:t>
            </w:r>
            <w:hyperlink w:anchor="aattDigitalTransmissionServices" w:history="1">
              <w:r w:rsidRPr="000A4491">
                <w:rPr>
                  <w:rStyle w:val="Hyperlink"/>
                  <w:rFonts w:ascii="Verdana" w:hAnsi="Verdana"/>
                  <w:sz w:val="20"/>
                </w:rPr>
                <w:t>Digital Transmission Services</w:t>
              </w:r>
            </w:hyperlink>
            <w:r w:rsidRPr="000A4491">
              <w:rPr>
                <w:rFonts w:ascii="Verdana" w:hAnsi="Verdana"/>
                <w:sz w:val="20"/>
              </w:rPr>
              <w:t>)</w:t>
            </w:r>
          </w:p>
        </w:tc>
        <w:tc>
          <w:tcPr>
            <w:tcW w:w="5441" w:type="dxa"/>
          </w:tcPr>
          <w:p w14:paraId="470FC169" w14:textId="77777777" w:rsidR="00F935B1" w:rsidRPr="000A4491" w:rsidRDefault="00F935B1" w:rsidP="0083602C">
            <w:pPr>
              <w:rPr>
                <w:rFonts w:ascii="Verdana" w:hAnsi="Verdana"/>
                <w:sz w:val="20"/>
              </w:rPr>
            </w:pPr>
            <w:r w:rsidRPr="000A4491">
              <w:rPr>
                <w:rFonts w:ascii="Verdana" w:hAnsi="Verdana"/>
                <w:sz w:val="20"/>
              </w:rPr>
              <w:t>Permanent Virtual Circuits</w:t>
            </w:r>
            <w:r w:rsidRPr="000A4491">
              <w:rPr>
                <w:rFonts w:ascii="Verdana" w:hAnsi="Verdana"/>
                <w:sz w:val="20"/>
              </w:rPr>
              <w:fldChar w:fldCharType="begin"/>
            </w:r>
            <w:r w:rsidRPr="000A4491">
              <w:rPr>
                <w:rFonts w:ascii="Verdana" w:hAnsi="Verdana"/>
                <w:sz w:val="20"/>
              </w:rPr>
              <w:instrText>xe "Permanent Virtual Circuits"</w:instrText>
            </w:r>
            <w:r w:rsidRPr="000A4491">
              <w:rPr>
                <w:rFonts w:ascii="Verdana" w:hAnsi="Verdana"/>
                <w:sz w:val="20"/>
              </w:rPr>
              <w:fldChar w:fldCharType="end"/>
            </w:r>
            <w:r w:rsidRPr="000A4491">
              <w:rPr>
                <w:rFonts w:ascii="Verdana" w:hAnsi="Verdana"/>
                <w:sz w:val="20"/>
              </w:rPr>
              <w:t xml:space="preserve"> (PVCs</w:t>
            </w:r>
            <w:r w:rsidRPr="000A4491">
              <w:rPr>
                <w:rFonts w:ascii="Verdana" w:hAnsi="Verdana"/>
                <w:sz w:val="20"/>
              </w:rPr>
              <w:fldChar w:fldCharType="begin"/>
            </w:r>
            <w:r w:rsidRPr="000A4491">
              <w:rPr>
                <w:rFonts w:ascii="Verdana" w:hAnsi="Verdana"/>
                <w:sz w:val="20"/>
              </w:rPr>
              <w:instrText>xe "PVC"</w:instrText>
            </w:r>
            <w:r w:rsidRPr="000A4491">
              <w:rPr>
                <w:rFonts w:ascii="Verdana" w:hAnsi="Verdana"/>
                <w:sz w:val="20"/>
              </w:rPr>
              <w:fldChar w:fldCharType="end"/>
            </w:r>
            <w:r w:rsidRPr="000A4491">
              <w:rPr>
                <w:rFonts w:ascii="Verdana" w:hAnsi="Verdana"/>
                <w:sz w:val="20"/>
              </w:rPr>
              <w:t>) are shared connections between end-points.  PVCs play a central role in Frame Relay</w:t>
            </w:r>
            <w:r w:rsidRPr="000A4491">
              <w:rPr>
                <w:rFonts w:ascii="Verdana" w:hAnsi="Verdana"/>
                <w:sz w:val="20"/>
              </w:rPr>
              <w:fldChar w:fldCharType="begin"/>
            </w:r>
            <w:r w:rsidRPr="000A4491">
              <w:rPr>
                <w:rFonts w:ascii="Verdana" w:hAnsi="Verdana"/>
                <w:sz w:val="20"/>
              </w:rPr>
              <w:instrText>xe "</w:instrText>
            </w:r>
            <w:r w:rsidRPr="000A4491">
              <w:rPr>
                <w:rStyle w:val="Hyperlink"/>
                <w:rFonts w:ascii="Verdana" w:hAnsi="Verdana"/>
                <w:sz w:val="20"/>
              </w:rPr>
              <w:instrText>Frame Relay</w:instrText>
            </w:r>
            <w:r w:rsidRPr="000A4491">
              <w:rPr>
                <w:rFonts w:ascii="Verdana" w:hAnsi="Verdana"/>
                <w:sz w:val="20"/>
              </w:rPr>
              <w:instrText>"</w:instrText>
            </w:r>
            <w:r w:rsidRPr="000A4491">
              <w:rPr>
                <w:rFonts w:ascii="Verdana" w:hAnsi="Verdana"/>
                <w:sz w:val="20"/>
              </w:rPr>
              <w:fldChar w:fldCharType="end"/>
            </w:r>
            <w:r w:rsidRPr="000A4491">
              <w:rPr>
                <w:rFonts w:ascii="Verdana" w:hAnsi="Verdana"/>
                <w:sz w:val="20"/>
              </w:rPr>
              <w:t xml:space="preserve"> networks.  They  are also supported in some other types of networks, such as, X.25.</w:t>
            </w:r>
          </w:p>
        </w:tc>
      </w:tr>
      <w:tr w:rsidR="00F935B1" w:rsidRPr="00196BE0" w14:paraId="1534AA8B" w14:textId="77777777" w:rsidTr="0083602C">
        <w:trPr>
          <w:tblCellSpacing w:w="15" w:type="dxa"/>
        </w:trPr>
        <w:tc>
          <w:tcPr>
            <w:tcW w:w="3656" w:type="dxa"/>
          </w:tcPr>
          <w:p w14:paraId="20B066A6" w14:textId="77777777" w:rsidR="00F935B1" w:rsidRPr="000A4491" w:rsidRDefault="00F935B1" w:rsidP="0083602C">
            <w:pPr>
              <w:rPr>
                <w:rFonts w:ascii="Verdana" w:hAnsi="Verdana"/>
                <w:sz w:val="20"/>
                <w:lang w:val="fr-FR"/>
              </w:rPr>
            </w:pPr>
            <w:r w:rsidRPr="000A4491">
              <w:rPr>
                <w:rFonts w:ascii="Verdana" w:hAnsi="Verdana"/>
                <w:sz w:val="20"/>
                <w:lang w:val="fr-FR"/>
              </w:rPr>
              <w:t>Personal Communications Services</w:t>
            </w:r>
            <w:r w:rsidRPr="000A4491">
              <w:rPr>
                <w:rFonts w:ascii="Verdana" w:hAnsi="Verdana"/>
                <w:sz w:val="20"/>
                <w:lang w:val="fr-FR"/>
              </w:rPr>
              <w:fldChar w:fldCharType="begin"/>
            </w:r>
            <w:r w:rsidRPr="000A4491">
              <w:rPr>
                <w:rFonts w:ascii="Verdana" w:hAnsi="Verdana"/>
                <w:sz w:val="20"/>
                <w:lang w:val="fr-FR"/>
              </w:rPr>
              <w:instrText>xe "Personal Communications Services"</w:instrText>
            </w:r>
            <w:r w:rsidRPr="000A4491">
              <w:rPr>
                <w:rFonts w:ascii="Verdana" w:hAnsi="Verdana"/>
                <w:sz w:val="20"/>
                <w:lang w:val="fr-FR"/>
              </w:rPr>
              <w:fldChar w:fldCharType="end"/>
            </w:r>
            <w:r w:rsidRPr="000A4491">
              <w:rPr>
                <w:rFonts w:ascii="Verdana" w:hAnsi="Verdana"/>
                <w:sz w:val="20"/>
                <w:lang w:val="fr-FR"/>
              </w:rPr>
              <w:t xml:space="preserve"> (PCS</w:t>
            </w:r>
            <w:r w:rsidRPr="000A4491">
              <w:rPr>
                <w:rFonts w:ascii="Verdana" w:hAnsi="Verdana"/>
                <w:sz w:val="20"/>
                <w:lang w:val="fr-FR"/>
              </w:rPr>
              <w:fldChar w:fldCharType="begin"/>
            </w:r>
            <w:r w:rsidRPr="000A4491">
              <w:rPr>
                <w:rFonts w:ascii="Verdana" w:hAnsi="Verdana"/>
                <w:sz w:val="20"/>
                <w:lang w:val="fr-FR"/>
              </w:rPr>
              <w:instrText>xe "</w:instrText>
            </w:r>
            <w:r w:rsidRPr="000A4491">
              <w:rPr>
                <w:rFonts w:ascii="Verdana" w:hAnsi="Verdana"/>
                <w:bCs/>
                <w:sz w:val="20"/>
                <w:lang w:val="fr-FR"/>
              </w:rPr>
              <w:instrText>PCS</w:instrText>
            </w:r>
            <w:r w:rsidRPr="000A4491">
              <w:rPr>
                <w:rFonts w:ascii="Verdana" w:hAnsi="Verdana"/>
                <w:sz w:val="20"/>
                <w:lang w:val="fr-FR"/>
              </w:rPr>
              <w:instrText>"</w:instrText>
            </w:r>
            <w:r w:rsidRPr="000A4491">
              <w:rPr>
                <w:rFonts w:ascii="Verdana" w:hAnsi="Verdana"/>
                <w:sz w:val="20"/>
                <w:lang w:val="fr-FR"/>
              </w:rPr>
              <w:fldChar w:fldCharType="end"/>
            </w:r>
            <w:r w:rsidRPr="000A4491">
              <w:rPr>
                <w:rFonts w:ascii="Verdana" w:hAnsi="Verdana"/>
                <w:sz w:val="20"/>
                <w:lang w:val="fr-FR"/>
              </w:rPr>
              <w:t>)</w:t>
            </w:r>
          </w:p>
          <w:p w14:paraId="2A5EB7F6" w14:textId="77777777" w:rsidR="00F935B1" w:rsidRPr="000A4491" w:rsidRDefault="00F935B1" w:rsidP="0083602C">
            <w:pPr>
              <w:rPr>
                <w:rFonts w:ascii="Verdana" w:hAnsi="Verdana"/>
                <w:sz w:val="20"/>
                <w:lang w:val="fr-FR"/>
              </w:rPr>
            </w:pPr>
            <w:r w:rsidRPr="000A4491">
              <w:rPr>
                <w:rFonts w:ascii="Verdana" w:hAnsi="Verdana"/>
                <w:sz w:val="20"/>
                <w:lang w:val="fr-FR"/>
              </w:rPr>
              <w:t>(</w:t>
            </w:r>
            <w:hyperlink w:anchor="aattTelephoneService" w:history="1">
              <w:r w:rsidRPr="000A4491">
                <w:rPr>
                  <w:rStyle w:val="Hyperlink"/>
                  <w:rFonts w:ascii="Verdana" w:hAnsi="Verdana"/>
                  <w:sz w:val="20"/>
                  <w:lang w:val="fr-FR"/>
                </w:rPr>
                <w:t>Telephone Service</w:t>
              </w:r>
              <w:r w:rsidRPr="000A4491">
                <w:rPr>
                  <w:rFonts w:ascii="Verdana" w:hAnsi="Verdana"/>
                  <w:sz w:val="20"/>
                  <w:lang w:val="fr-FR"/>
                </w:rPr>
                <w:fldChar w:fldCharType="begin"/>
              </w:r>
              <w:r w:rsidRPr="000A4491">
                <w:rPr>
                  <w:rFonts w:ascii="Verdana" w:hAnsi="Verdana"/>
                  <w:sz w:val="20"/>
                  <w:lang w:val="fr-FR"/>
                </w:rPr>
                <w:instrText>xe "</w:instrText>
              </w:r>
              <w:r w:rsidRPr="000A4491">
                <w:rPr>
                  <w:rStyle w:val="Hyperlink"/>
                  <w:rFonts w:ascii="Verdana" w:hAnsi="Verdana"/>
                  <w:sz w:val="20"/>
                  <w:lang w:val="fr-FR"/>
                </w:rPr>
                <w:instrText>Telephone Service</w:instrText>
              </w:r>
              <w:r w:rsidRPr="000A4491">
                <w:rPr>
                  <w:rFonts w:ascii="Verdana" w:hAnsi="Verdana"/>
                  <w:sz w:val="20"/>
                  <w:lang w:val="fr-FR"/>
                </w:rPr>
                <w:instrText>"</w:instrText>
              </w:r>
              <w:r w:rsidRPr="000A4491">
                <w:rPr>
                  <w:rFonts w:ascii="Verdana" w:hAnsi="Verdana"/>
                  <w:sz w:val="20"/>
                  <w:lang w:val="fr-FR"/>
                </w:rPr>
                <w:fldChar w:fldCharType="end"/>
              </w:r>
            </w:hyperlink>
            <w:r w:rsidRPr="000A4491">
              <w:rPr>
                <w:rFonts w:ascii="Verdana" w:hAnsi="Verdana"/>
                <w:sz w:val="20"/>
                <w:lang w:val="fr-FR"/>
              </w:rPr>
              <w:t>)</w:t>
            </w:r>
          </w:p>
        </w:tc>
        <w:tc>
          <w:tcPr>
            <w:tcW w:w="5441" w:type="dxa"/>
          </w:tcPr>
          <w:p w14:paraId="0EC4210D" w14:textId="77777777" w:rsidR="00F935B1" w:rsidRPr="000A4491" w:rsidRDefault="00F935B1" w:rsidP="0083602C">
            <w:pPr>
              <w:rPr>
                <w:rFonts w:ascii="Verdana" w:hAnsi="Verdana"/>
                <w:sz w:val="20"/>
              </w:rPr>
            </w:pPr>
            <w:r w:rsidRPr="000A4491">
              <w:rPr>
                <w:rFonts w:ascii="Verdana" w:hAnsi="Verdana"/>
                <w:sz w:val="20"/>
              </w:rPr>
              <w:t>Personal Communications Services</w:t>
            </w:r>
            <w:r w:rsidRPr="000A4491">
              <w:rPr>
                <w:rFonts w:ascii="Verdana" w:hAnsi="Verdana"/>
                <w:sz w:val="20"/>
              </w:rPr>
              <w:fldChar w:fldCharType="begin"/>
            </w:r>
            <w:r w:rsidRPr="000A4491">
              <w:rPr>
                <w:rFonts w:ascii="Verdana" w:hAnsi="Verdana"/>
                <w:sz w:val="20"/>
              </w:rPr>
              <w:instrText>xe "Personal Communications Services"</w:instrText>
            </w:r>
            <w:r w:rsidRPr="000A4491">
              <w:rPr>
                <w:rFonts w:ascii="Verdana" w:hAnsi="Verdana"/>
                <w:sz w:val="20"/>
              </w:rPr>
              <w:fldChar w:fldCharType="end"/>
            </w:r>
            <w:r w:rsidRPr="000A4491">
              <w:rPr>
                <w:rFonts w:ascii="Verdana" w:hAnsi="Verdana"/>
                <w:sz w:val="20"/>
              </w:rPr>
              <w:t xml:space="preserve"> (PCS</w:t>
            </w:r>
            <w:r w:rsidRPr="000A4491">
              <w:rPr>
                <w:rFonts w:ascii="Verdana" w:hAnsi="Verdana"/>
                <w:sz w:val="20"/>
              </w:rPr>
              <w:fldChar w:fldCharType="begin"/>
            </w:r>
            <w:r w:rsidRPr="000A4491">
              <w:rPr>
                <w:rFonts w:ascii="Verdana" w:hAnsi="Verdana"/>
                <w:sz w:val="20"/>
              </w:rPr>
              <w:instrText>xe "</w:instrText>
            </w:r>
            <w:r w:rsidRPr="000A4491">
              <w:rPr>
                <w:rFonts w:ascii="Verdana" w:hAnsi="Verdana"/>
                <w:bCs/>
                <w:sz w:val="20"/>
              </w:rPr>
              <w:instrText>PCS</w:instrText>
            </w:r>
            <w:r w:rsidRPr="000A4491">
              <w:rPr>
                <w:rFonts w:ascii="Verdana" w:hAnsi="Verdana"/>
                <w:sz w:val="20"/>
              </w:rPr>
              <w:instrText>"</w:instrText>
            </w:r>
            <w:r w:rsidRPr="000A4491">
              <w:rPr>
                <w:rFonts w:ascii="Verdana" w:hAnsi="Verdana"/>
                <w:sz w:val="20"/>
              </w:rPr>
              <w:fldChar w:fldCharType="end"/>
            </w:r>
            <w:r w:rsidRPr="000A4491">
              <w:rPr>
                <w:rFonts w:ascii="Verdana" w:hAnsi="Verdana"/>
                <w:sz w:val="20"/>
              </w:rPr>
              <w:t>) is a digital wireless</w:t>
            </w:r>
            <w:r w:rsidRPr="000A4491">
              <w:rPr>
                <w:rFonts w:ascii="Verdana" w:hAnsi="Verdana"/>
                <w:sz w:val="20"/>
              </w:rPr>
              <w:fldChar w:fldCharType="begin"/>
            </w:r>
            <w:r w:rsidRPr="000A4491">
              <w:rPr>
                <w:rFonts w:ascii="Verdana" w:hAnsi="Verdana"/>
                <w:sz w:val="20"/>
              </w:rPr>
              <w:instrText>xe "Wireless"</w:instrText>
            </w:r>
            <w:r w:rsidRPr="000A4491">
              <w:rPr>
                <w:rFonts w:ascii="Verdana" w:hAnsi="Verdana"/>
                <w:sz w:val="20"/>
              </w:rPr>
              <w:fldChar w:fldCharType="end"/>
            </w:r>
            <w:r w:rsidRPr="000A4491">
              <w:rPr>
                <w:rFonts w:ascii="Verdana" w:hAnsi="Verdana"/>
                <w:sz w:val="20"/>
              </w:rPr>
              <w:t xml:space="preserve"> telecommunications</w:t>
            </w:r>
            <w:r w:rsidRPr="000A4491">
              <w:rPr>
                <w:rFonts w:ascii="Verdana" w:hAnsi="Verdana"/>
                <w:sz w:val="20"/>
              </w:rPr>
              <w:fldChar w:fldCharType="begin"/>
            </w:r>
            <w:r w:rsidRPr="000A4491">
              <w:rPr>
                <w:rFonts w:ascii="Verdana" w:hAnsi="Verdana"/>
                <w:sz w:val="20"/>
              </w:rPr>
              <w:instrText>xe "Telecommunications"</w:instrText>
            </w:r>
            <w:r w:rsidRPr="000A4491">
              <w:rPr>
                <w:rFonts w:ascii="Verdana" w:hAnsi="Verdana"/>
                <w:sz w:val="20"/>
              </w:rPr>
              <w:fldChar w:fldCharType="end"/>
            </w:r>
            <w:r w:rsidRPr="000A4491">
              <w:rPr>
                <w:rFonts w:ascii="Verdana" w:hAnsi="Verdana"/>
                <w:sz w:val="20"/>
              </w:rPr>
              <w:t xml:space="preserve"> service, similar to cellular service</w:t>
            </w:r>
            <w:r w:rsidRPr="000A4491">
              <w:rPr>
                <w:rFonts w:ascii="Verdana" w:hAnsi="Verdana"/>
                <w:sz w:val="20"/>
              </w:rPr>
              <w:fldChar w:fldCharType="begin"/>
            </w:r>
            <w:r w:rsidRPr="000A4491">
              <w:rPr>
                <w:rFonts w:ascii="Verdana" w:hAnsi="Verdana"/>
                <w:sz w:val="20"/>
              </w:rPr>
              <w:instrText>xe "Cellular Service"</w:instrText>
            </w:r>
            <w:r w:rsidRPr="000A4491">
              <w:rPr>
                <w:rFonts w:ascii="Verdana" w:hAnsi="Verdana"/>
                <w:sz w:val="20"/>
              </w:rPr>
              <w:fldChar w:fldCharType="end"/>
            </w:r>
            <w:r w:rsidRPr="000A4491">
              <w:rPr>
                <w:rFonts w:ascii="Verdana" w:hAnsi="Verdana"/>
                <w:sz w:val="20"/>
              </w:rPr>
              <w:t>, but operating on different radio</w:t>
            </w:r>
            <w:r w:rsidRPr="000A4491">
              <w:rPr>
                <w:rFonts w:ascii="Verdana" w:hAnsi="Verdana"/>
                <w:sz w:val="20"/>
              </w:rPr>
              <w:fldChar w:fldCharType="begin"/>
            </w:r>
            <w:r w:rsidRPr="000A4491">
              <w:rPr>
                <w:rFonts w:ascii="Verdana" w:hAnsi="Verdana"/>
                <w:sz w:val="20"/>
              </w:rPr>
              <w:instrText>xe "Radio"</w:instrText>
            </w:r>
            <w:r w:rsidRPr="000A4491">
              <w:rPr>
                <w:rFonts w:ascii="Verdana" w:hAnsi="Verdana"/>
                <w:sz w:val="20"/>
              </w:rPr>
              <w:fldChar w:fldCharType="end"/>
            </w:r>
            <w:r w:rsidRPr="000A4491">
              <w:rPr>
                <w:rFonts w:ascii="Verdana" w:hAnsi="Verdana"/>
                <w:sz w:val="20"/>
              </w:rPr>
              <w:t xml:space="preserve"> frequencies.</w:t>
            </w:r>
          </w:p>
        </w:tc>
      </w:tr>
      <w:tr w:rsidR="00F935B1" w14:paraId="6F69827E" w14:textId="77777777" w:rsidTr="0083602C">
        <w:trPr>
          <w:tblCellSpacing w:w="15" w:type="dxa"/>
        </w:trPr>
        <w:tc>
          <w:tcPr>
            <w:tcW w:w="3656" w:type="dxa"/>
          </w:tcPr>
          <w:p w14:paraId="207F6087" w14:textId="77777777" w:rsidR="00F935B1" w:rsidRPr="000A4491" w:rsidRDefault="00F935B1" w:rsidP="0083602C">
            <w:pPr>
              <w:rPr>
                <w:rFonts w:ascii="Verdana" w:hAnsi="Verdana"/>
                <w:sz w:val="20"/>
              </w:rPr>
            </w:pPr>
            <w:r w:rsidRPr="000A4491">
              <w:rPr>
                <w:rFonts w:ascii="Verdana" w:hAnsi="Verdana"/>
                <w:sz w:val="20"/>
              </w:rPr>
              <w:t>Personal Computers/ Workstations</w:t>
            </w:r>
            <w:r w:rsidRPr="000A4491">
              <w:rPr>
                <w:rFonts w:ascii="Verdana" w:hAnsi="Verdana"/>
                <w:sz w:val="20"/>
              </w:rPr>
              <w:br/>
              <w:t>(</w:t>
            </w:r>
            <w:hyperlink w:anchor="aaServers" w:history="1">
              <w:r w:rsidRPr="000A4491">
                <w:rPr>
                  <w:rStyle w:val="Hyperlink"/>
                  <w:rFonts w:ascii="Verdana" w:hAnsi="Verdana"/>
                  <w:sz w:val="20"/>
                </w:rPr>
                <w:t>Servers</w:t>
              </w:r>
              <w:r w:rsidRPr="000A4491">
                <w:rPr>
                  <w:rFonts w:ascii="Verdana" w:hAnsi="Verdana"/>
                  <w:sz w:val="20"/>
                </w:rPr>
                <w:fldChar w:fldCharType="begin"/>
              </w:r>
              <w:r w:rsidRPr="000A4491">
                <w:rPr>
                  <w:rFonts w:ascii="Verdana" w:hAnsi="Verdana"/>
                  <w:sz w:val="20"/>
                </w:rPr>
                <w:instrText>xe "Servers"</w:instrText>
              </w:r>
              <w:r w:rsidRPr="000A4491">
                <w:rPr>
                  <w:rFonts w:ascii="Verdana" w:hAnsi="Verdana"/>
                  <w:sz w:val="20"/>
                </w:rPr>
                <w:fldChar w:fldCharType="end"/>
              </w:r>
            </w:hyperlink>
            <w:r w:rsidRPr="000A4491">
              <w:rPr>
                <w:rFonts w:ascii="Verdana" w:hAnsi="Verdana"/>
                <w:sz w:val="20"/>
              </w:rPr>
              <w:t>—Ineligible)</w:t>
            </w:r>
          </w:p>
          <w:p w14:paraId="51A6E033" w14:textId="77777777" w:rsidR="00F935B1" w:rsidRPr="000A4491" w:rsidRDefault="00F935B1" w:rsidP="0083602C">
            <w:pPr>
              <w:rPr>
                <w:rFonts w:ascii="Verdana" w:hAnsi="Verdana"/>
                <w:sz w:val="20"/>
              </w:rPr>
            </w:pPr>
            <w:r w:rsidRPr="000A4491">
              <w:rPr>
                <w:rFonts w:ascii="Verdana" w:hAnsi="Verdana"/>
                <w:sz w:val="20"/>
              </w:rPr>
              <w:t>(</w:t>
            </w:r>
            <w:hyperlink w:anchor="aaIneligibleComponents" w:history="1">
              <w:r w:rsidRPr="000A4491">
                <w:rPr>
                  <w:rStyle w:val="Hyperlink"/>
                  <w:rFonts w:ascii="Verdana" w:hAnsi="Verdana"/>
                  <w:sz w:val="20"/>
                </w:rPr>
                <w:t>Ineligible Internal Connections Components</w:t>
              </w:r>
            </w:hyperlink>
            <w:r w:rsidRPr="000A4491">
              <w:rPr>
                <w:rFonts w:ascii="Verdana" w:hAnsi="Verdana"/>
                <w:sz w:val="20"/>
              </w:rPr>
              <w:t>)</w:t>
            </w:r>
          </w:p>
        </w:tc>
        <w:tc>
          <w:tcPr>
            <w:tcW w:w="5441" w:type="dxa"/>
          </w:tcPr>
          <w:p w14:paraId="09F3F779" w14:textId="77777777" w:rsidR="00F935B1" w:rsidRPr="000A4491" w:rsidRDefault="00F935B1" w:rsidP="0083602C">
            <w:pPr>
              <w:pStyle w:val="NormalWeb"/>
              <w:spacing w:before="0" w:beforeAutospacing="0" w:after="0"/>
              <w:rPr>
                <w:rFonts w:ascii="Verdana" w:hAnsi="Verdana"/>
                <w:sz w:val="20"/>
              </w:rPr>
            </w:pPr>
            <w:r w:rsidRPr="000A4491">
              <w:rPr>
                <w:rFonts w:ascii="Verdana" w:hAnsi="Verdana"/>
                <w:sz w:val="20"/>
              </w:rPr>
              <w:t>Personal computers</w:t>
            </w:r>
            <w:r w:rsidRPr="000A4491">
              <w:rPr>
                <w:rFonts w:ascii="Verdana" w:hAnsi="Verdana"/>
                <w:sz w:val="20"/>
              </w:rPr>
              <w:fldChar w:fldCharType="begin"/>
            </w:r>
            <w:r w:rsidRPr="000A4491">
              <w:rPr>
                <w:rFonts w:ascii="Verdana" w:hAnsi="Verdana"/>
                <w:sz w:val="20"/>
              </w:rPr>
              <w:instrText>xe "Personal Computers"</w:instrText>
            </w:r>
            <w:r w:rsidRPr="000A4491">
              <w:rPr>
                <w:rFonts w:ascii="Verdana" w:hAnsi="Verdana"/>
                <w:sz w:val="20"/>
              </w:rPr>
              <w:fldChar w:fldCharType="end"/>
            </w:r>
            <w:r w:rsidRPr="000A4491">
              <w:rPr>
                <w:rFonts w:ascii="Verdana" w:hAnsi="Verdana"/>
                <w:sz w:val="20"/>
              </w:rPr>
              <w:t>, or workstations</w:t>
            </w:r>
            <w:r w:rsidRPr="000A4491">
              <w:rPr>
                <w:rFonts w:ascii="Verdana" w:hAnsi="Verdana"/>
                <w:sz w:val="20"/>
              </w:rPr>
              <w:fldChar w:fldCharType="begin"/>
            </w:r>
            <w:r w:rsidRPr="000A4491">
              <w:rPr>
                <w:rFonts w:ascii="Verdana" w:hAnsi="Verdana"/>
                <w:sz w:val="20"/>
              </w:rPr>
              <w:instrText>xe "Workstations"</w:instrText>
            </w:r>
            <w:r w:rsidRPr="000A4491">
              <w:rPr>
                <w:rFonts w:ascii="Verdana" w:hAnsi="Verdana"/>
                <w:sz w:val="20"/>
              </w:rPr>
              <w:fldChar w:fldCharType="end"/>
            </w:r>
            <w:r w:rsidRPr="000A4491">
              <w:rPr>
                <w:rFonts w:ascii="Verdana" w:hAnsi="Verdana"/>
                <w:sz w:val="20"/>
              </w:rPr>
              <w:t>, are computers designated or designed as end-user</w:t>
            </w:r>
            <w:r w:rsidRPr="000A4491">
              <w:rPr>
                <w:rFonts w:ascii="Verdana" w:hAnsi="Verdana"/>
                <w:sz w:val="20"/>
              </w:rPr>
              <w:fldChar w:fldCharType="begin"/>
            </w:r>
            <w:r w:rsidRPr="000A4491">
              <w:rPr>
                <w:rFonts w:ascii="Verdana" w:hAnsi="Verdana"/>
                <w:sz w:val="20"/>
              </w:rPr>
              <w:instrText>xe "End-User Equipment"</w:instrText>
            </w:r>
            <w:r w:rsidRPr="000A4491">
              <w:rPr>
                <w:rFonts w:ascii="Verdana" w:hAnsi="Verdana"/>
                <w:sz w:val="20"/>
              </w:rPr>
              <w:fldChar w:fldCharType="end"/>
            </w:r>
            <w:r w:rsidRPr="000A4491">
              <w:rPr>
                <w:rFonts w:ascii="Verdana" w:hAnsi="Verdana"/>
                <w:sz w:val="20"/>
              </w:rPr>
              <w:t xml:space="preserve"> equipment.  They may operate in a stand-alone environment or may be connected to a host computer as part of a network.  They are differentiated from computers configured as servers</w:t>
            </w:r>
            <w:r w:rsidRPr="000A4491">
              <w:rPr>
                <w:rFonts w:ascii="Verdana" w:hAnsi="Verdana"/>
                <w:sz w:val="20"/>
              </w:rPr>
              <w:fldChar w:fldCharType="begin"/>
            </w:r>
            <w:r w:rsidRPr="000A4491">
              <w:rPr>
                <w:rFonts w:ascii="Verdana" w:hAnsi="Verdana"/>
                <w:sz w:val="20"/>
              </w:rPr>
              <w:instrText>xe "Servers"</w:instrText>
            </w:r>
            <w:r w:rsidRPr="000A4491">
              <w:rPr>
                <w:rFonts w:ascii="Verdana" w:hAnsi="Verdana"/>
                <w:sz w:val="20"/>
              </w:rPr>
              <w:fldChar w:fldCharType="end"/>
            </w:r>
            <w:r w:rsidRPr="000A4491">
              <w:rPr>
                <w:rFonts w:ascii="Verdana" w:hAnsi="Verdana"/>
                <w:sz w:val="20"/>
              </w:rPr>
              <w:t xml:space="preserve"> that are designed to route information to and from end-user equipment.</w:t>
            </w:r>
          </w:p>
        </w:tc>
      </w:tr>
      <w:tr w:rsidR="00F935B1" w14:paraId="561E800D" w14:textId="77777777" w:rsidTr="0083602C">
        <w:trPr>
          <w:tblCellSpacing w:w="15" w:type="dxa"/>
        </w:trPr>
        <w:tc>
          <w:tcPr>
            <w:tcW w:w="3656" w:type="dxa"/>
          </w:tcPr>
          <w:p w14:paraId="3DC01C0D" w14:textId="77777777" w:rsidR="00F935B1" w:rsidRPr="000A4491" w:rsidRDefault="00F935B1" w:rsidP="0083602C">
            <w:pPr>
              <w:rPr>
                <w:rFonts w:ascii="Verdana" w:hAnsi="Verdana"/>
                <w:sz w:val="20"/>
                <w:lang w:val="fr-FR"/>
              </w:rPr>
            </w:pPr>
            <w:r w:rsidRPr="000A4491">
              <w:rPr>
                <w:rFonts w:ascii="Verdana" w:hAnsi="Verdana"/>
                <w:sz w:val="20"/>
                <w:lang w:val="fr-FR"/>
              </w:rPr>
              <w:lastRenderedPageBreak/>
              <w:t>Personal Digital Assistant (PDA</w:t>
            </w:r>
            <w:r w:rsidRPr="000A4491">
              <w:rPr>
                <w:rFonts w:ascii="Verdana" w:hAnsi="Verdana"/>
                <w:sz w:val="20"/>
                <w:lang w:val="fr-FR"/>
              </w:rPr>
              <w:fldChar w:fldCharType="begin"/>
            </w:r>
            <w:r w:rsidRPr="000A4491">
              <w:rPr>
                <w:rFonts w:ascii="Verdana" w:hAnsi="Verdana"/>
                <w:sz w:val="20"/>
                <w:lang w:val="fr-FR"/>
              </w:rPr>
              <w:instrText>xe "</w:instrText>
            </w:r>
            <w:r w:rsidRPr="000A4491">
              <w:rPr>
                <w:rFonts w:ascii="Verdana" w:hAnsi="Verdana"/>
                <w:bCs/>
                <w:sz w:val="20"/>
                <w:lang w:val="fr-FR"/>
              </w:rPr>
              <w:instrText>PDA</w:instrText>
            </w:r>
            <w:r w:rsidRPr="000A4491">
              <w:rPr>
                <w:rFonts w:ascii="Verdana" w:hAnsi="Verdana"/>
                <w:sz w:val="20"/>
                <w:lang w:val="fr-FR"/>
              </w:rPr>
              <w:instrText>"</w:instrText>
            </w:r>
            <w:r w:rsidRPr="000A4491">
              <w:rPr>
                <w:rFonts w:ascii="Verdana" w:hAnsi="Verdana"/>
                <w:sz w:val="20"/>
                <w:lang w:val="fr-FR"/>
              </w:rPr>
              <w:fldChar w:fldCharType="end"/>
            </w:r>
            <w:r w:rsidRPr="000A4491">
              <w:rPr>
                <w:rFonts w:ascii="Verdana" w:hAnsi="Verdana"/>
                <w:sz w:val="20"/>
                <w:lang w:val="fr-FR"/>
              </w:rPr>
              <w:t xml:space="preserve">) </w:t>
            </w:r>
            <w:r w:rsidRPr="000A4491">
              <w:rPr>
                <w:rFonts w:ascii="Verdana" w:hAnsi="Verdana"/>
                <w:sz w:val="20"/>
                <w:lang w:val="fr-FR"/>
              </w:rPr>
              <w:br/>
              <w:t>(</w:t>
            </w:r>
            <w:hyperlink w:anchor="aaIneligibleComponents" w:history="1">
              <w:r w:rsidRPr="000A4491">
                <w:rPr>
                  <w:rStyle w:val="Hyperlink"/>
                  <w:rFonts w:ascii="Verdana" w:hAnsi="Verdana"/>
                  <w:sz w:val="20"/>
                  <w:lang w:val="fr-FR"/>
                </w:rPr>
                <w:t>Ineligible Internal Connections Components</w:t>
              </w:r>
            </w:hyperlink>
            <w:r w:rsidRPr="000A4491">
              <w:rPr>
                <w:rFonts w:ascii="Verdana" w:hAnsi="Verdana"/>
                <w:sz w:val="20"/>
                <w:lang w:val="fr-FR"/>
              </w:rPr>
              <w:t>)</w:t>
            </w:r>
          </w:p>
        </w:tc>
        <w:tc>
          <w:tcPr>
            <w:tcW w:w="5441" w:type="dxa"/>
          </w:tcPr>
          <w:p w14:paraId="0E00F75E" w14:textId="77777777" w:rsidR="00F935B1" w:rsidRPr="000A4491" w:rsidRDefault="00F935B1" w:rsidP="0083602C">
            <w:pPr>
              <w:pStyle w:val="NormalWeb"/>
              <w:spacing w:before="0" w:beforeAutospacing="0" w:after="0"/>
              <w:rPr>
                <w:rFonts w:ascii="Verdana" w:hAnsi="Verdana"/>
                <w:sz w:val="20"/>
              </w:rPr>
            </w:pPr>
            <w:r w:rsidRPr="000A4491">
              <w:rPr>
                <w:rFonts w:ascii="Verdana" w:hAnsi="Verdana"/>
                <w:sz w:val="20"/>
              </w:rPr>
              <w:t>A Personal Digital Assistant (PDA</w:t>
            </w:r>
            <w:r w:rsidRPr="000A4491">
              <w:rPr>
                <w:rFonts w:ascii="Verdana" w:hAnsi="Verdana"/>
                <w:sz w:val="20"/>
              </w:rPr>
              <w:fldChar w:fldCharType="begin"/>
            </w:r>
            <w:r w:rsidRPr="000A4491">
              <w:rPr>
                <w:rFonts w:ascii="Verdana" w:hAnsi="Verdana"/>
                <w:sz w:val="20"/>
              </w:rPr>
              <w:instrText>xe "</w:instrText>
            </w:r>
            <w:r w:rsidRPr="000A4491">
              <w:rPr>
                <w:rFonts w:ascii="Verdana" w:hAnsi="Verdana"/>
                <w:bCs/>
                <w:sz w:val="20"/>
              </w:rPr>
              <w:instrText>PDA</w:instrText>
            </w:r>
            <w:r w:rsidRPr="000A4491">
              <w:rPr>
                <w:rFonts w:ascii="Verdana" w:hAnsi="Verdana"/>
                <w:sz w:val="20"/>
              </w:rPr>
              <w:instrText>"</w:instrText>
            </w:r>
            <w:r w:rsidRPr="000A4491">
              <w:rPr>
                <w:rFonts w:ascii="Verdana" w:hAnsi="Verdana"/>
                <w:sz w:val="20"/>
              </w:rPr>
              <w:fldChar w:fldCharType="end"/>
            </w:r>
            <w:r w:rsidRPr="000A4491">
              <w:rPr>
                <w:rFonts w:ascii="Verdana" w:hAnsi="Verdana"/>
                <w:sz w:val="20"/>
              </w:rPr>
              <w:t>) is a handheld device that can provide several functions such as calendaring, telephone, and e-mail</w:t>
            </w:r>
            <w:r w:rsidRPr="000A4491">
              <w:rPr>
                <w:rFonts w:ascii="Verdana" w:hAnsi="Verdana"/>
                <w:sz w:val="20"/>
              </w:rPr>
              <w:fldChar w:fldCharType="begin"/>
            </w:r>
            <w:r w:rsidRPr="000A4491">
              <w:rPr>
                <w:rFonts w:ascii="Verdana" w:hAnsi="Verdana"/>
                <w:sz w:val="20"/>
              </w:rPr>
              <w:instrText>xe "E-Mail"</w:instrText>
            </w:r>
            <w:r w:rsidRPr="000A4491">
              <w:rPr>
                <w:rFonts w:ascii="Verdana" w:hAnsi="Verdana"/>
                <w:sz w:val="20"/>
              </w:rPr>
              <w:fldChar w:fldCharType="end"/>
            </w:r>
            <w:r w:rsidRPr="000A4491">
              <w:rPr>
                <w:rFonts w:ascii="Verdana" w:hAnsi="Verdana"/>
                <w:sz w:val="20"/>
              </w:rPr>
              <w:t>.  Some PDAs may also have wireless</w:t>
            </w:r>
            <w:r w:rsidRPr="000A4491">
              <w:rPr>
                <w:rFonts w:ascii="Verdana" w:hAnsi="Verdana"/>
                <w:sz w:val="20"/>
              </w:rPr>
              <w:fldChar w:fldCharType="begin"/>
            </w:r>
            <w:r w:rsidRPr="000A4491">
              <w:rPr>
                <w:rFonts w:ascii="Verdana" w:hAnsi="Verdana"/>
                <w:sz w:val="20"/>
              </w:rPr>
              <w:instrText>xe "Wireless"</w:instrText>
            </w:r>
            <w:r w:rsidRPr="000A4491">
              <w:rPr>
                <w:rFonts w:ascii="Verdana" w:hAnsi="Verdana"/>
                <w:sz w:val="20"/>
              </w:rPr>
              <w:fldChar w:fldCharType="end"/>
            </w:r>
            <w:r w:rsidRPr="000A4491">
              <w:rPr>
                <w:rFonts w:ascii="Verdana" w:hAnsi="Verdana"/>
                <w:sz w:val="20"/>
              </w:rPr>
              <w:t xml:space="preserve"> networking features.</w:t>
            </w:r>
          </w:p>
        </w:tc>
      </w:tr>
      <w:tr w:rsidR="00F935B1" w14:paraId="0647A3D1" w14:textId="77777777" w:rsidTr="0083602C">
        <w:trPr>
          <w:tblCellSpacing w:w="15" w:type="dxa"/>
        </w:trPr>
        <w:tc>
          <w:tcPr>
            <w:tcW w:w="3656" w:type="dxa"/>
          </w:tcPr>
          <w:p w14:paraId="6B2367AF" w14:textId="77777777" w:rsidR="00F935B1" w:rsidRPr="000A4491" w:rsidRDefault="00F935B1" w:rsidP="0083602C">
            <w:pPr>
              <w:rPr>
                <w:rFonts w:ascii="Verdana" w:hAnsi="Verdana"/>
                <w:sz w:val="20"/>
              </w:rPr>
            </w:pPr>
            <w:r w:rsidRPr="000A4491">
              <w:rPr>
                <w:rFonts w:ascii="Verdana" w:hAnsi="Verdana"/>
                <w:sz w:val="20"/>
              </w:rPr>
              <w:t>Phone Calling Cards</w:t>
            </w:r>
            <w:r w:rsidRPr="000A4491">
              <w:rPr>
                <w:rFonts w:ascii="Verdana" w:hAnsi="Verdana"/>
                <w:sz w:val="20"/>
              </w:rPr>
              <w:fldChar w:fldCharType="begin"/>
            </w:r>
            <w:r w:rsidRPr="000A4491">
              <w:rPr>
                <w:rFonts w:ascii="Verdana" w:hAnsi="Verdana"/>
                <w:sz w:val="20"/>
              </w:rPr>
              <w:instrText>xe "Calling Cards"</w:instrText>
            </w:r>
            <w:r w:rsidRPr="000A4491">
              <w:rPr>
                <w:rFonts w:ascii="Verdana" w:hAnsi="Verdana"/>
                <w:sz w:val="20"/>
              </w:rPr>
              <w:fldChar w:fldCharType="end"/>
            </w:r>
          </w:p>
          <w:p w14:paraId="484D932B" w14:textId="77777777" w:rsidR="00F935B1" w:rsidRPr="000A4491" w:rsidRDefault="00F935B1" w:rsidP="0083602C">
            <w:pPr>
              <w:rPr>
                <w:rFonts w:ascii="Verdana" w:hAnsi="Verdana"/>
                <w:sz w:val="20"/>
              </w:rPr>
            </w:pPr>
            <w:r w:rsidRPr="000A4491">
              <w:rPr>
                <w:rFonts w:ascii="Verdana" w:hAnsi="Verdana"/>
                <w:sz w:val="20"/>
              </w:rPr>
              <w:t>(</w:t>
            </w:r>
            <w:hyperlink w:anchor="aattTelephoneService" w:history="1">
              <w:r w:rsidRPr="000A4491">
                <w:rPr>
                  <w:rStyle w:val="Hyperlink"/>
                  <w:rFonts w:ascii="Verdana" w:hAnsi="Verdana"/>
                  <w:sz w:val="20"/>
                </w:rPr>
                <w:t>Telephone Service</w:t>
              </w:r>
              <w:r w:rsidRPr="000A4491">
                <w:rPr>
                  <w:rFonts w:ascii="Verdana" w:hAnsi="Verdana"/>
                  <w:sz w:val="20"/>
                </w:rPr>
                <w:fldChar w:fldCharType="begin"/>
              </w:r>
              <w:r w:rsidRPr="000A4491">
                <w:rPr>
                  <w:rFonts w:ascii="Verdana" w:hAnsi="Verdana"/>
                  <w:sz w:val="20"/>
                </w:rPr>
                <w:instrText>xe "Telephone Service"</w:instrText>
              </w:r>
              <w:r w:rsidRPr="000A4491">
                <w:rPr>
                  <w:rFonts w:ascii="Verdana" w:hAnsi="Verdana"/>
                  <w:sz w:val="20"/>
                </w:rPr>
                <w:fldChar w:fldCharType="end"/>
              </w:r>
            </w:hyperlink>
            <w:r w:rsidRPr="000A4491">
              <w:rPr>
                <w:rFonts w:ascii="Verdana" w:hAnsi="Verdana"/>
                <w:sz w:val="20"/>
              </w:rPr>
              <w:t>)</w:t>
            </w:r>
          </w:p>
        </w:tc>
        <w:tc>
          <w:tcPr>
            <w:tcW w:w="5441" w:type="dxa"/>
          </w:tcPr>
          <w:p w14:paraId="6313B65B" w14:textId="77777777" w:rsidR="00F935B1" w:rsidRPr="000A4491" w:rsidRDefault="00F935B1" w:rsidP="0083602C">
            <w:pPr>
              <w:rPr>
                <w:rFonts w:ascii="Verdana" w:hAnsi="Verdana"/>
                <w:sz w:val="20"/>
              </w:rPr>
            </w:pPr>
            <w:r w:rsidRPr="000A4491">
              <w:rPr>
                <w:rFonts w:ascii="Verdana" w:hAnsi="Verdana"/>
                <w:sz w:val="20"/>
              </w:rPr>
              <w:t>Phone</w:t>
            </w:r>
            <w:r w:rsidRPr="000A4491">
              <w:rPr>
                <w:rFonts w:ascii="Verdana" w:hAnsi="Verdana"/>
                <w:sz w:val="20"/>
              </w:rPr>
              <w:fldChar w:fldCharType="begin"/>
            </w:r>
            <w:r w:rsidRPr="000A4491">
              <w:rPr>
                <w:rFonts w:ascii="Verdana" w:hAnsi="Verdana"/>
                <w:sz w:val="20"/>
              </w:rPr>
              <w:instrText>xe "Telephone"</w:instrText>
            </w:r>
            <w:r w:rsidRPr="000A4491">
              <w:rPr>
                <w:rFonts w:ascii="Verdana" w:hAnsi="Verdana"/>
                <w:sz w:val="20"/>
              </w:rPr>
              <w:fldChar w:fldCharType="end"/>
            </w:r>
            <w:r w:rsidRPr="000A4491">
              <w:rPr>
                <w:rFonts w:ascii="Verdana" w:hAnsi="Verdana"/>
                <w:sz w:val="20"/>
              </w:rPr>
              <w:t xml:space="preserve"> Calling Cards</w:t>
            </w:r>
            <w:r w:rsidRPr="000A4491">
              <w:rPr>
                <w:rFonts w:ascii="Verdana" w:hAnsi="Verdana"/>
                <w:sz w:val="20"/>
              </w:rPr>
              <w:fldChar w:fldCharType="begin"/>
            </w:r>
            <w:r w:rsidRPr="000A4491">
              <w:rPr>
                <w:rFonts w:ascii="Verdana" w:hAnsi="Verdana"/>
                <w:sz w:val="20"/>
              </w:rPr>
              <w:instrText>xe "Calling Cards"</w:instrText>
            </w:r>
            <w:r w:rsidRPr="000A4491">
              <w:rPr>
                <w:rFonts w:ascii="Verdana" w:hAnsi="Verdana"/>
                <w:sz w:val="20"/>
              </w:rPr>
              <w:fldChar w:fldCharType="end"/>
            </w:r>
            <w:r w:rsidRPr="000A4491">
              <w:rPr>
                <w:rFonts w:ascii="Verdana" w:hAnsi="Verdana"/>
                <w:sz w:val="20"/>
              </w:rPr>
              <w:t xml:space="preserve"> generally have the appearance of a credit card and provide a means to make long distance</w:t>
            </w:r>
            <w:r w:rsidRPr="000A4491">
              <w:rPr>
                <w:rFonts w:ascii="Verdana" w:hAnsi="Verdana"/>
                <w:sz w:val="20"/>
              </w:rPr>
              <w:fldChar w:fldCharType="begin"/>
            </w:r>
            <w:r w:rsidRPr="000A4491">
              <w:rPr>
                <w:rFonts w:ascii="Verdana" w:hAnsi="Verdana"/>
                <w:sz w:val="20"/>
              </w:rPr>
              <w:instrText>xe "Long Distance"</w:instrText>
            </w:r>
            <w:r w:rsidRPr="000A4491">
              <w:rPr>
                <w:rFonts w:ascii="Verdana" w:hAnsi="Verdana"/>
                <w:sz w:val="20"/>
              </w:rPr>
              <w:fldChar w:fldCharType="end"/>
            </w:r>
            <w:r w:rsidRPr="000A4491">
              <w:rPr>
                <w:rFonts w:ascii="Verdana" w:hAnsi="Verdana"/>
                <w:sz w:val="20"/>
              </w:rPr>
              <w:t xml:space="preserve"> calls from any phone.  Charges for the call are subtracted from the calling card balance or are included in the calling card subscriber’s monthly phone bill.</w:t>
            </w:r>
          </w:p>
        </w:tc>
      </w:tr>
      <w:tr w:rsidR="00F935B1" w14:paraId="62A23A38" w14:textId="77777777" w:rsidTr="0083602C">
        <w:trPr>
          <w:tblCellSpacing w:w="15" w:type="dxa"/>
        </w:trPr>
        <w:tc>
          <w:tcPr>
            <w:tcW w:w="3656" w:type="dxa"/>
          </w:tcPr>
          <w:p w14:paraId="05644BD7" w14:textId="77777777" w:rsidR="00F935B1" w:rsidRPr="000A4491" w:rsidRDefault="00F935B1" w:rsidP="0083602C">
            <w:pPr>
              <w:rPr>
                <w:rFonts w:ascii="Verdana" w:hAnsi="Verdana"/>
                <w:sz w:val="20"/>
              </w:rPr>
            </w:pPr>
            <w:r w:rsidRPr="000A4491">
              <w:rPr>
                <w:rFonts w:ascii="Verdana" w:hAnsi="Verdana"/>
                <w:sz w:val="20"/>
              </w:rPr>
              <w:t xml:space="preserve">Phone Modems </w:t>
            </w:r>
            <w:r w:rsidRPr="000A4491">
              <w:rPr>
                <w:rFonts w:ascii="Verdana" w:hAnsi="Verdana"/>
                <w:sz w:val="20"/>
              </w:rPr>
              <w:br/>
              <w:t>(</w:t>
            </w:r>
            <w:hyperlink w:anchor="aaCircuitCardsComponents" w:history="1">
              <w:r w:rsidRPr="000A4491">
                <w:rPr>
                  <w:rStyle w:val="Hyperlink"/>
                  <w:rFonts w:ascii="Verdana" w:hAnsi="Verdana"/>
                  <w:sz w:val="20"/>
                </w:rPr>
                <w:t>Circuit Cards</w:t>
              </w:r>
              <w:r w:rsidRPr="000A4491">
                <w:rPr>
                  <w:rFonts w:ascii="Verdana" w:hAnsi="Verdana"/>
                  <w:sz w:val="20"/>
                </w:rPr>
                <w:fldChar w:fldCharType="begin"/>
              </w:r>
              <w:r w:rsidRPr="000A4491">
                <w:rPr>
                  <w:rFonts w:ascii="Verdana" w:hAnsi="Verdana"/>
                  <w:sz w:val="20"/>
                </w:rPr>
                <w:instrText>xe "Circuit"</w:instrText>
              </w:r>
              <w:r w:rsidRPr="000A4491">
                <w:rPr>
                  <w:rFonts w:ascii="Verdana" w:hAnsi="Verdana"/>
                  <w:sz w:val="20"/>
                </w:rPr>
                <w:fldChar w:fldCharType="end"/>
              </w:r>
            </w:hyperlink>
            <w:r w:rsidRPr="000A4491">
              <w:rPr>
                <w:rFonts w:ascii="Verdana" w:hAnsi="Verdana"/>
                <w:sz w:val="20"/>
              </w:rPr>
              <w:t>)</w:t>
            </w:r>
          </w:p>
        </w:tc>
        <w:tc>
          <w:tcPr>
            <w:tcW w:w="5441" w:type="dxa"/>
          </w:tcPr>
          <w:p w14:paraId="73BE3272" w14:textId="77777777" w:rsidR="00F935B1" w:rsidRPr="000A4491" w:rsidRDefault="00F935B1" w:rsidP="0083602C">
            <w:pPr>
              <w:pStyle w:val="NormalWeb"/>
              <w:spacing w:before="0" w:beforeAutospacing="0" w:after="0"/>
              <w:rPr>
                <w:rFonts w:ascii="Verdana" w:hAnsi="Verdana"/>
                <w:sz w:val="20"/>
              </w:rPr>
            </w:pPr>
            <w:r w:rsidRPr="000A4491">
              <w:rPr>
                <w:rFonts w:ascii="Verdana" w:hAnsi="Verdana"/>
                <w:sz w:val="20"/>
              </w:rPr>
              <w:t>Phone modems</w:t>
            </w:r>
            <w:r w:rsidRPr="000A4491">
              <w:rPr>
                <w:rFonts w:ascii="Verdana" w:hAnsi="Verdana"/>
                <w:sz w:val="20"/>
              </w:rPr>
              <w:fldChar w:fldCharType="begin"/>
            </w:r>
            <w:r w:rsidRPr="000A4491">
              <w:rPr>
                <w:rFonts w:ascii="Verdana" w:hAnsi="Verdana"/>
                <w:sz w:val="20"/>
              </w:rPr>
              <w:instrText>xe "</w:instrText>
            </w:r>
            <w:r w:rsidRPr="000A4491">
              <w:rPr>
                <w:rFonts w:ascii="Verdana" w:hAnsi="Verdana"/>
                <w:bCs/>
                <w:sz w:val="20"/>
              </w:rPr>
              <w:instrText>Phone Modems</w:instrText>
            </w:r>
            <w:r w:rsidRPr="000A4491">
              <w:rPr>
                <w:rFonts w:ascii="Verdana" w:hAnsi="Verdana"/>
                <w:sz w:val="20"/>
              </w:rPr>
              <w:instrText>"</w:instrText>
            </w:r>
            <w:r w:rsidRPr="000A4491">
              <w:rPr>
                <w:rFonts w:ascii="Verdana" w:hAnsi="Verdana"/>
                <w:sz w:val="20"/>
              </w:rPr>
              <w:fldChar w:fldCharType="end"/>
            </w:r>
            <w:r w:rsidRPr="000A4491">
              <w:rPr>
                <w:rFonts w:ascii="Verdana" w:hAnsi="Verdana"/>
                <w:sz w:val="20"/>
              </w:rPr>
              <w:t xml:space="preserve"> are devices that convert data signals into suitable form for transmission and receipt over a telephone line.</w:t>
            </w:r>
          </w:p>
        </w:tc>
      </w:tr>
      <w:tr w:rsidR="00F935B1" w14:paraId="27328E54" w14:textId="77777777" w:rsidTr="0083602C">
        <w:trPr>
          <w:tblCellSpacing w:w="15" w:type="dxa"/>
        </w:trPr>
        <w:tc>
          <w:tcPr>
            <w:tcW w:w="3656" w:type="dxa"/>
          </w:tcPr>
          <w:p w14:paraId="04A06B76" w14:textId="77777777" w:rsidR="00F935B1" w:rsidRPr="000A4491" w:rsidRDefault="00F935B1" w:rsidP="0083602C">
            <w:pPr>
              <w:rPr>
                <w:rFonts w:ascii="Verdana" w:hAnsi="Verdana"/>
                <w:sz w:val="20"/>
              </w:rPr>
            </w:pPr>
            <w:r w:rsidRPr="000A4491">
              <w:rPr>
                <w:rFonts w:ascii="Verdana" w:hAnsi="Verdana"/>
                <w:sz w:val="20"/>
              </w:rPr>
              <w:t>POTS</w:t>
            </w:r>
            <w:r w:rsidRPr="000A4491">
              <w:rPr>
                <w:rFonts w:ascii="Verdana" w:hAnsi="Verdana"/>
                <w:sz w:val="20"/>
              </w:rPr>
              <w:fldChar w:fldCharType="begin"/>
            </w:r>
            <w:r w:rsidRPr="000A4491">
              <w:rPr>
                <w:rFonts w:ascii="Verdana" w:hAnsi="Verdana"/>
                <w:sz w:val="20"/>
              </w:rPr>
              <w:instrText>xe "</w:instrText>
            </w:r>
            <w:r w:rsidRPr="000A4491">
              <w:rPr>
                <w:rStyle w:val="Hyperlink"/>
                <w:rFonts w:ascii="Verdana" w:hAnsi="Verdana"/>
                <w:bCs/>
                <w:sz w:val="20"/>
              </w:rPr>
              <w:instrText>POTS</w:instrText>
            </w:r>
            <w:r w:rsidRPr="000A4491">
              <w:rPr>
                <w:rFonts w:ascii="Verdana" w:hAnsi="Verdana"/>
                <w:sz w:val="20"/>
              </w:rPr>
              <w:instrText>"</w:instrText>
            </w:r>
            <w:r w:rsidRPr="000A4491">
              <w:rPr>
                <w:rFonts w:ascii="Verdana" w:hAnsi="Verdana"/>
                <w:sz w:val="20"/>
              </w:rPr>
              <w:fldChar w:fldCharType="end"/>
            </w:r>
          </w:p>
          <w:p w14:paraId="19473DAD" w14:textId="77777777" w:rsidR="00F935B1" w:rsidRPr="000A4491" w:rsidRDefault="00F935B1" w:rsidP="0083602C">
            <w:pPr>
              <w:rPr>
                <w:rFonts w:ascii="Verdana" w:hAnsi="Verdana"/>
                <w:sz w:val="20"/>
              </w:rPr>
            </w:pPr>
            <w:r w:rsidRPr="000A4491">
              <w:rPr>
                <w:rFonts w:ascii="Verdana" w:hAnsi="Verdana"/>
                <w:sz w:val="20"/>
              </w:rPr>
              <w:t>(</w:t>
            </w:r>
            <w:hyperlink w:anchor="aattTelephoneService" w:history="1">
              <w:r w:rsidRPr="000A4491">
                <w:rPr>
                  <w:rStyle w:val="Hyperlink"/>
                  <w:rFonts w:ascii="Verdana" w:hAnsi="Verdana"/>
                  <w:sz w:val="20"/>
                </w:rPr>
                <w:t>Telephone Service</w:t>
              </w:r>
              <w:r w:rsidRPr="000A4491">
                <w:rPr>
                  <w:rFonts w:ascii="Verdana" w:hAnsi="Verdana"/>
                  <w:sz w:val="20"/>
                </w:rPr>
                <w:fldChar w:fldCharType="begin"/>
              </w:r>
              <w:r w:rsidRPr="000A4491">
                <w:rPr>
                  <w:rFonts w:ascii="Verdana" w:hAnsi="Verdana"/>
                  <w:sz w:val="20"/>
                </w:rPr>
                <w:instrText>xe "Telephone Service"</w:instrText>
              </w:r>
              <w:r w:rsidRPr="000A4491">
                <w:rPr>
                  <w:rFonts w:ascii="Verdana" w:hAnsi="Verdana"/>
                  <w:sz w:val="20"/>
                </w:rPr>
                <w:fldChar w:fldCharType="end"/>
              </w:r>
            </w:hyperlink>
            <w:r w:rsidRPr="000A4491">
              <w:rPr>
                <w:rFonts w:ascii="Verdana" w:hAnsi="Verdana"/>
                <w:sz w:val="20"/>
              </w:rPr>
              <w:t>)</w:t>
            </w:r>
          </w:p>
        </w:tc>
        <w:tc>
          <w:tcPr>
            <w:tcW w:w="5441" w:type="dxa"/>
          </w:tcPr>
          <w:p w14:paraId="5D15C4FA" w14:textId="77777777" w:rsidR="00F935B1" w:rsidRPr="000A4491" w:rsidRDefault="00F935B1" w:rsidP="0083602C">
            <w:pPr>
              <w:rPr>
                <w:rFonts w:ascii="Verdana" w:hAnsi="Verdana"/>
                <w:sz w:val="20"/>
              </w:rPr>
            </w:pPr>
            <w:r w:rsidRPr="000A4491">
              <w:rPr>
                <w:rFonts w:ascii="Verdana" w:hAnsi="Verdana"/>
                <w:sz w:val="20"/>
              </w:rPr>
              <w:t>“POTS</w:t>
            </w:r>
            <w:r w:rsidRPr="000A4491">
              <w:rPr>
                <w:rFonts w:ascii="Verdana" w:hAnsi="Verdana"/>
                <w:sz w:val="20"/>
              </w:rPr>
              <w:fldChar w:fldCharType="begin"/>
            </w:r>
            <w:r w:rsidRPr="000A4491">
              <w:rPr>
                <w:rFonts w:ascii="Verdana" w:hAnsi="Verdana"/>
                <w:sz w:val="20"/>
              </w:rPr>
              <w:instrText>xe "</w:instrText>
            </w:r>
            <w:r w:rsidRPr="000A4491">
              <w:rPr>
                <w:rStyle w:val="Hyperlink"/>
                <w:rFonts w:ascii="Verdana" w:hAnsi="Verdana"/>
                <w:bCs/>
                <w:sz w:val="20"/>
              </w:rPr>
              <w:instrText>POTS</w:instrText>
            </w:r>
            <w:r w:rsidRPr="000A4491">
              <w:rPr>
                <w:rFonts w:ascii="Verdana" w:hAnsi="Verdana"/>
                <w:sz w:val="20"/>
              </w:rPr>
              <w:instrText>"</w:instrText>
            </w:r>
            <w:r w:rsidRPr="000A4491">
              <w:rPr>
                <w:rFonts w:ascii="Verdana" w:hAnsi="Verdana"/>
                <w:sz w:val="20"/>
              </w:rPr>
              <w:fldChar w:fldCharType="end"/>
            </w:r>
            <w:r w:rsidRPr="000A4491">
              <w:rPr>
                <w:rFonts w:ascii="Verdana" w:hAnsi="Verdana"/>
                <w:sz w:val="20"/>
              </w:rPr>
              <w:t>” stands for “Plain Old Telephone Service</w:t>
            </w:r>
            <w:r w:rsidRPr="000A4491">
              <w:rPr>
                <w:rFonts w:ascii="Verdana" w:hAnsi="Verdana"/>
                <w:sz w:val="20"/>
              </w:rPr>
              <w:fldChar w:fldCharType="begin"/>
            </w:r>
            <w:r w:rsidRPr="000A4491">
              <w:rPr>
                <w:rFonts w:ascii="Verdana" w:hAnsi="Verdana"/>
                <w:sz w:val="20"/>
              </w:rPr>
              <w:instrText>xe "Telephone Service"</w:instrText>
            </w:r>
            <w:r w:rsidRPr="000A4491">
              <w:rPr>
                <w:rFonts w:ascii="Verdana" w:hAnsi="Verdana"/>
                <w:sz w:val="20"/>
              </w:rPr>
              <w:fldChar w:fldCharType="end"/>
            </w:r>
            <w:r w:rsidRPr="000A4491">
              <w:rPr>
                <w:rFonts w:ascii="Verdana" w:hAnsi="Verdana"/>
                <w:sz w:val="20"/>
              </w:rPr>
              <w:t>” and provides local telephone dial-tone service.</w:t>
            </w:r>
          </w:p>
        </w:tc>
      </w:tr>
      <w:tr w:rsidR="00F935B1" w14:paraId="0C9F2246" w14:textId="77777777" w:rsidTr="0083602C">
        <w:trPr>
          <w:tblCellSpacing w:w="15" w:type="dxa"/>
        </w:trPr>
        <w:tc>
          <w:tcPr>
            <w:tcW w:w="3656" w:type="dxa"/>
          </w:tcPr>
          <w:p w14:paraId="598AE862" w14:textId="77777777" w:rsidR="00F935B1" w:rsidRPr="000A4491" w:rsidRDefault="00F935B1" w:rsidP="0083602C">
            <w:pPr>
              <w:rPr>
                <w:rFonts w:ascii="Verdana" w:hAnsi="Verdana"/>
                <w:sz w:val="20"/>
              </w:rPr>
            </w:pPr>
            <w:r w:rsidRPr="000A4491">
              <w:rPr>
                <w:rFonts w:ascii="Verdana" w:hAnsi="Verdana"/>
                <w:sz w:val="20"/>
              </w:rPr>
              <w:t>Power Strips/Power Distribution Units</w:t>
            </w:r>
            <w:r w:rsidRPr="000A4491">
              <w:rPr>
                <w:rFonts w:ascii="Verdana" w:hAnsi="Verdana"/>
                <w:sz w:val="20"/>
              </w:rPr>
              <w:fldChar w:fldCharType="begin"/>
            </w:r>
            <w:r w:rsidRPr="000A4491">
              <w:rPr>
                <w:rFonts w:ascii="Verdana" w:hAnsi="Verdana"/>
                <w:sz w:val="20"/>
              </w:rPr>
              <w:instrText>xe "</w:instrText>
            </w:r>
            <w:r w:rsidRPr="000A4491">
              <w:rPr>
                <w:rStyle w:val="Hyperlink"/>
                <w:rFonts w:ascii="Verdana" w:hAnsi="Verdana"/>
                <w:bCs/>
                <w:sz w:val="20"/>
              </w:rPr>
              <w:instrText>Power Distribution Units</w:instrText>
            </w:r>
            <w:r w:rsidRPr="000A4491">
              <w:rPr>
                <w:rFonts w:ascii="Verdana" w:hAnsi="Verdana"/>
                <w:sz w:val="20"/>
              </w:rPr>
              <w:instrText>"</w:instrText>
            </w:r>
            <w:r w:rsidRPr="000A4491">
              <w:rPr>
                <w:rFonts w:ascii="Verdana" w:hAnsi="Verdana"/>
                <w:sz w:val="20"/>
              </w:rPr>
              <w:fldChar w:fldCharType="end"/>
            </w:r>
            <w:r w:rsidRPr="000A4491">
              <w:rPr>
                <w:rFonts w:ascii="Verdana" w:hAnsi="Verdana"/>
                <w:sz w:val="20"/>
              </w:rPr>
              <w:t>(PDU</w:t>
            </w:r>
            <w:r w:rsidRPr="000A4491">
              <w:rPr>
                <w:rFonts w:ascii="Verdana" w:hAnsi="Verdana"/>
                <w:sz w:val="20"/>
              </w:rPr>
              <w:fldChar w:fldCharType="begin"/>
            </w:r>
            <w:r w:rsidRPr="000A4491">
              <w:rPr>
                <w:rFonts w:ascii="Verdana" w:hAnsi="Verdana"/>
                <w:sz w:val="20"/>
              </w:rPr>
              <w:instrText>xe "</w:instrText>
            </w:r>
            <w:r w:rsidRPr="000A4491">
              <w:rPr>
                <w:rStyle w:val="Hyperlink"/>
                <w:rFonts w:ascii="Verdana" w:hAnsi="Verdana"/>
                <w:bCs/>
                <w:sz w:val="20"/>
              </w:rPr>
              <w:instrText>PDU</w:instrText>
            </w:r>
            <w:r w:rsidRPr="000A4491">
              <w:rPr>
                <w:rFonts w:ascii="Verdana" w:hAnsi="Verdana"/>
                <w:sz w:val="20"/>
              </w:rPr>
              <w:instrText>"</w:instrText>
            </w:r>
            <w:r w:rsidRPr="000A4491">
              <w:rPr>
                <w:rFonts w:ascii="Verdana" w:hAnsi="Verdana"/>
                <w:sz w:val="20"/>
              </w:rPr>
              <w:fldChar w:fldCharType="end"/>
            </w:r>
            <w:r w:rsidRPr="000A4491">
              <w:rPr>
                <w:rFonts w:ascii="Verdana" w:hAnsi="Verdana"/>
                <w:sz w:val="20"/>
              </w:rPr>
              <w:t>)</w:t>
            </w:r>
          </w:p>
          <w:p w14:paraId="4101D676" w14:textId="77777777" w:rsidR="00F935B1" w:rsidRPr="000A4491" w:rsidRDefault="00F935B1" w:rsidP="0083602C">
            <w:pPr>
              <w:rPr>
                <w:rFonts w:ascii="Verdana" w:hAnsi="Verdana"/>
                <w:sz w:val="20"/>
              </w:rPr>
            </w:pPr>
            <w:r w:rsidRPr="000A4491">
              <w:rPr>
                <w:rFonts w:ascii="Verdana" w:hAnsi="Verdana"/>
                <w:sz w:val="20"/>
              </w:rPr>
              <w:t>(</w:t>
            </w:r>
            <w:hyperlink w:anchor="aaIneligibleComponents" w:history="1">
              <w:r w:rsidRPr="000A4491">
                <w:rPr>
                  <w:rStyle w:val="Hyperlink"/>
                  <w:rFonts w:ascii="Verdana" w:hAnsi="Verdana"/>
                  <w:sz w:val="20"/>
                </w:rPr>
                <w:t>Ineligible Internal Connections Components</w:t>
              </w:r>
            </w:hyperlink>
            <w:r w:rsidRPr="000A4491">
              <w:rPr>
                <w:rFonts w:ascii="Verdana" w:hAnsi="Verdana"/>
                <w:sz w:val="20"/>
              </w:rPr>
              <w:t>)</w:t>
            </w:r>
          </w:p>
        </w:tc>
        <w:tc>
          <w:tcPr>
            <w:tcW w:w="5441" w:type="dxa"/>
          </w:tcPr>
          <w:p w14:paraId="7E8D450E" w14:textId="77777777" w:rsidR="00F935B1" w:rsidRPr="000A4491" w:rsidRDefault="00F935B1" w:rsidP="0083602C">
            <w:pPr>
              <w:rPr>
                <w:rFonts w:ascii="Verdana" w:hAnsi="Verdana"/>
                <w:sz w:val="20"/>
              </w:rPr>
            </w:pPr>
            <w:r w:rsidRPr="000A4491">
              <w:rPr>
                <w:rFonts w:ascii="Verdana" w:hAnsi="Verdana"/>
                <w:sz w:val="20"/>
              </w:rPr>
              <w:t>A Power Strip</w:t>
            </w:r>
            <w:r w:rsidRPr="000A4491">
              <w:rPr>
                <w:rFonts w:ascii="Verdana" w:hAnsi="Verdana"/>
                <w:sz w:val="20"/>
              </w:rPr>
              <w:fldChar w:fldCharType="begin"/>
            </w:r>
            <w:r w:rsidRPr="000A4491">
              <w:rPr>
                <w:rFonts w:ascii="Verdana" w:hAnsi="Verdana"/>
                <w:sz w:val="20"/>
              </w:rPr>
              <w:instrText>xe "Power Strip"</w:instrText>
            </w:r>
            <w:r w:rsidRPr="000A4491">
              <w:rPr>
                <w:rFonts w:ascii="Verdana" w:hAnsi="Verdana"/>
                <w:sz w:val="20"/>
              </w:rPr>
              <w:fldChar w:fldCharType="end"/>
            </w:r>
            <w:r w:rsidRPr="000A4491">
              <w:rPr>
                <w:rFonts w:ascii="Verdana" w:hAnsi="Verdana"/>
                <w:sz w:val="20"/>
              </w:rPr>
              <w:t xml:space="preserve"> is a group of sockets that allow for multiple power cords to plug into a single device.  A Power Distribution Unit is a power strip designed for data centers or racks with greater capacity and features than a power strip.</w:t>
            </w:r>
          </w:p>
        </w:tc>
      </w:tr>
      <w:tr w:rsidR="00F935B1" w14:paraId="606B5959" w14:textId="77777777" w:rsidTr="0083602C">
        <w:trPr>
          <w:tblCellSpacing w:w="15" w:type="dxa"/>
        </w:trPr>
        <w:tc>
          <w:tcPr>
            <w:tcW w:w="3656" w:type="dxa"/>
          </w:tcPr>
          <w:p w14:paraId="4FF29864" w14:textId="77777777" w:rsidR="00F935B1" w:rsidRPr="000A4491" w:rsidRDefault="00F935B1" w:rsidP="0083602C">
            <w:pPr>
              <w:rPr>
                <w:rFonts w:ascii="Verdana" w:hAnsi="Verdana"/>
                <w:sz w:val="20"/>
                <w:lang w:val="fr-FR"/>
              </w:rPr>
            </w:pPr>
            <w:r w:rsidRPr="000A4491">
              <w:rPr>
                <w:rFonts w:ascii="Verdana" w:hAnsi="Verdana"/>
                <w:sz w:val="20"/>
                <w:lang w:val="fr-FR"/>
              </w:rPr>
              <w:t>Printer</w:t>
            </w:r>
            <w:r w:rsidRPr="000A4491">
              <w:rPr>
                <w:rFonts w:ascii="Verdana" w:hAnsi="Verdana"/>
                <w:sz w:val="20"/>
                <w:lang w:val="fr-FR"/>
              </w:rPr>
              <w:fldChar w:fldCharType="begin"/>
            </w:r>
            <w:r w:rsidRPr="000A4491">
              <w:rPr>
                <w:rFonts w:ascii="Verdana" w:hAnsi="Verdana"/>
                <w:sz w:val="20"/>
                <w:lang w:val="fr-FR"/>
              </w:rPr>
              <w:instrText>xe "Printers"</w:instrText>
            </w:r>
            <w:r w:rsidRPr="000A4491">
              <w:rPr>
                <w:rFonts w:ascii="Verdana" w:hAnsi="Verdana"/>
                <w:sz w:val="20"/>
                <w:lang w:val="fr-FR"/>
              </w:rPr>
              <w:fldChar w:fldCharType="end"/>
            </w:r>
            <w:r w:rsidRPr="000A4491">
              <w:rPr>
                <w:rFonts w:ascii="Verdana" w:hAnsi="Verdana"/>
                <w:sz w:val="20"/>
                <w:lang w:val="fr-FR"/>
              </w:rPr>
              <w:t xml:space="preserve"> </w:t>
            </w:r>
            <w:r w:rsidRPr="000A4491">
              <w:rPr>
                <w:rFonts w:ascii="Verdana" w:hAnsi="Verdana"/>
                <w:sz w:val="20"/>
                <w:lang w:val="fr-FR"/>
              </w:rPr>
              <w:br/>
              <w:t>(</w:t>
            </w:r>
            <w:hyperlink w:anchor="aaIneligibleComponents" w:history="1">
              <w:r w:rsidRPr="000A4491">
                <w:rPr>
                  <w:rStyle w:val="Hyperlink"/>
                  <w:rFonts w:ascii="Verdana" w:hAnsi="Verdana"/>
                  <w:sz w:val="20"/>
                  <w:lang w:val="fr-FR"/>
                </w:rPr>
                <w:t>Ineligible Internal Connections Components</w:t>
              </w:r>
            </w:hyperlink>
            <w:r w:rsidRPr="000A4491">
              <w:rPr>
                <w:rFonts w:ascii="Verdana" w:hAnsi="Verdana"/>
                <w:sz w:val="20"/>
                <w:lang w:val="fr-FR"/>
              </w:rPr>
              <w:t>)</w:t>
            </w:r>
          </w:p>
        </w:tc>
        <w:tc>
          <w:tcPr>
            <w:tcW w:w="5441" w:type="dxa"/>
          </w:tcPr>
          <w:p w14:paraId="28CD20AD" w14:textId="77777777" w:rsidR="00F935B1" w:rsidRPr="000A4491" w:rsidRDefault="00F935B1" w:rsidP="0083602C">
            <w:pPr>
              <w:pStyle w:val="NormalWeb"/>
              <w:spacing w:before="0" w:beforeAutospacing="0" w:after="0"/>
              <w:rPr>
                <w:rFonts w:ascii="Verdana" w:hAnsi="Verdana"/>
                <w:sz w:val="20"/>
              </w:rPr>
            </w:pPr>
            <w:r w:rsidRPr="000A4491">
              <w:rPr>
                <w:rFonts w:ascii="Verdana" w:hAnsi="Verdana"/>
                <w:sz w:val="20"/>
              </w:rPr>
              <w:t>A printer</w:t>
            </w:r>
            <w:r w:rsidRPr="000A4491">
              <w:rPr>
                <w:rFonts w:ascii="Verdana" w:hAnsi="Verdana"/>
                <w:sz w:val="20"/>
              </w:rPr>
              <w:fldChar w:fldCharType="begin"/>
            </w:r>
            <w:r w:rsidRPr="000A4491">
              <w:rPr>
                <w:rFonts w:ascii="Verdana" w:hAnsi="Verdana"/>
                <w:sz w:val="20"/>
              </w:rPr>
              <w:instrText>xe "Printers"</w:instrText>
            </w:r>
            <w:r w:rsidRPr="000A4491">
              <w:rPr>
                <w:rFonts w:ascii="Verdana" w:hAnsi="Verdana"/>
                <w:sz w:val="20"/>
              </w:rPr>
              <w:fldChar w:fldCharType="end"/>
            </w:r>
            <w:r w:rsidRPr="000A4491">
              <w:rPr>
                <w:rFonts w:ascii="Verdana" w:hAnsi="Verdana"/>
                <w:sz w:val="20"/>
              </w:rPr>
              <w:t xml:space="preserve"> is a device that receives computer information and prints it on paper.</w:t>
            </w:r>
          </w:p>
        </w:tc>
      </w:tr>
      <w:tr w:rsidR="00F935B1" w14:paraId="387FF8F2" w14:textId="77777777" w:rsidTr="0083602C">
        <w:trPr>
          <w:tblCellSpacing w:w="15" w:type="dxa"/>
        </w:trPr>
        <w:tc>
          <w:tcPr>
            <w:tcW w:w="3656" w:type="dxa"/>
          </w:tcPr>
          <w:p w14:paraId="114F96A2" w14:textId="77777777" w:rsidR="00F935B1" w:rsidRPr="000A4491" w:rsidRDefault="00F935B1" w:rsidP="0083602C">
            <w:pPr>
              <w:rPr>
                <w:rFonts w:ascii="Verdana" w:hAnsi="Verdana"/>
                <w:sz w:val="20"/>
              </w:rPr>
            </w:pPr>
            <w:r w:rsidRPr="000A4491">
              <w:rPr>
                <w:rFonts w:ascii="Verdana" w:hAnsi="Verdana"/>
                <w:sz w:val="20"/>
              </w:rPr>
              <w:t>Private Branch Exchange</w:t>
            </w:r>
            <w:r w:rsidRPr="000A4491">
              <w:rPr>
                <w:rFonts w:ascii="Verdana" w:hAnsi="Verdana"/>
                <w:sz w:val="20"/>
              </w:rPr>
              <w:fldChar w:fldCharType="begin"/>
            </w:r>
            <w:r w:rsidRPr="000A4491">
              <w:rPr>
                <w:rFonts w:ascii="Verdana" w:hAnsi="Verdana"/>
                <w:sz w:val="20"/>
              </w:rPr>
              <w:instrText>xe "</w:instrText>
            </w:r>
            <w:r w:rsidRPr="000A4491">
              <w:rPr>
                <w:rStyle w:val="Hyperlink"/>
                <w:rFonts w:ascii="Verdana" w:hAnsi="Verdana"/>
                <w:bCs/>
                <w:sz w:val="20"/>
              </w:rPr>
              <w:instrText>Private Branch Exchange</w:instrText>
            </w:r>
            <w:r w:rsidRPr="000A4491">
              <w:rPr>
                <w:rFonts w:ascii="Verdana" w:hAnsi="Verdana"/>
                <w:sz w:val="20"/>
              </w:rPr>
              <w:instrText>"</w:instrText>
            </w:r>
            <w:r w:rsidRPr="000A4491">
              <w:rPr>
                <w:rFonts w:ascii="Verdana" w:hAnsi="Verdana"/>
                <w:sz w:val="20"/>
              </w:rPr>
              <w:fldChar w:fldCharType="end"/>
            </w:r>
            <w:r w:rsidRPr="000A4491">
              <w:rPr>
                <w:rFonts w:ascii="Verdana" w:hAnsi="Verdana"/>
                <w:sz w:val="20"/>
              </w:rPr>
              <w:t xml:space="preserve"> (PBX</w:t>
            </w:r>
            <w:r w:rsidRPr="000A4491">
              <w:rPr>
                <w:rFonts w:ascii="Verdana" w:hAnsi="Verdana"/>
                <w:sz w:val="20"/>
              </w:rPr>
              <w:fldChar w:fldCharType="begin"/>
            </w:r>
            <w:r w:rsidRPr="000A4491">
              <w:rPr>
                <w:rFonts w:ascii="Verdana" w:hAnsi="Verdana"/>
                <w:sz w:val="20"/>
              </w:rPr>
              <w:instrText>xe "</w:instrText>
            </w:r>
            <w:r w:rsidRPr="000A4491">
              <w:rPr>
                <w:rFonts w:ascii="Verdana" w:hAnsi="Verdana"/>
                <w:bCs/>
                <w:sz w:val="20"/>
              </w:rPr>
              <w:instrText>PBX</w:instrText>
            </w:r>
            <w:r w:rsidRPr="000A4491">
              <w:rPr>
                <w:rFonts w:ascii="Verdana" w:hAnsi="Verdana"/>
                <w:sz w:val="20"/>
              </w:rPr>
              <w:instrText>"</w:instrText>
            </w:r>
            <w:r w:rsidRPr="000A4491">
              <w:rPr>
                <w:rFonts w:ascii="Verdana" w:hAnsi="Verdana"/>
                <w:sz w:val="20"/>
              </w:rPr>
              <w:fldChar w:fldCharType="end"/>
            </w:r>
            <w:r w:rsidRPr="000A4491">
              <w:rPr>
                <w:rFonts w:ascii="Verdana" w:hAnsi="Verdana"/>
                <w:sz w:val="20"/>
              </w:rPr>
              <w:t xml:space="preserve">) </w:t>
            </w:r>
            <w:r w:rsidRPr="000A4491">
              <w:rPr>
                <w:rFonts w:ascii="Verdana" w:hAnsi="Verdana"/>
                <w:sz w:val="20"/>
              </w:rPr>
              <w:br/>
              <w:t>(</w:t>
            </w:r>
            <w:hyperlink w:anchor="aaTelephoneComponents" w:history="1">
              <w:r w:rsidRPr="000A4491">
                <w:rPr>
                  <w:rStyle w:val="Hyperlink"/>
                  <w:rFonts w:ascii="Verdana" w:hAnsi="Verdana"/>
                  <w:sz w:val="20"/>
                </w:rPr>
                <w:t>Telephone Service</w:t>
              </w:r>
              <w:r w:rsidRPr="000A4491">
                <w:rPr>
                  <w:rFonts w:ascii="Verdana" w:hAnsi="Verdana"/>
                  <w:sz w:val="20"/>
                </w:rPr>
                <w:fldChar w:fldCharType="begin"/>
              </w:r>
              <w:r w:rsidRPr="000A4491">
                <w:rPr>
                  <w:rFonts w:ascii="Verdana" w:hAnsi="Verdana"/>
                  <w:sz w:val="20"/>
                </w:rPr>
                <w:instrText>xe "Telephone Service"</w:instrText>
              </w:r>
              <w:r w:rsidRPr="000A4491">
                <w:rPr>
                  <w:rFonts w:ascii="Verdana" w:hAnsi="Verdana"/>
                  <w:sz w:val="20"/>
                </w:rPr>
                <w:fldChar w:fldCharType="end"/>
              </w:r>
            </w:hyperlink>
            <w:r w:rsidRPr="000A4491">
              <w:rPr>
                <w:rFonts w:ascii="Verdana" w:hAnsi="Verdana"/>
                <w:sz w:val="20"/>
              </w:rPr>
              <w:t>)</w:t>
            </w:r>
          </w:p>
        </w:tc>
        <w:tc>
          <w:tcPr>
            <w:tcW w:w="5441" w:type="dxa"/>
          </w:tcPr>
          <w:p w14:paraId="35527C86" w14:textId="77777777" w:rsidR="00F935B1" w:rsidRPr="000A4491" w:rsidRDefault="00F935B1" w:rsidP="0083602C">
            <w:pPr>
              <w:pStyle w:val="NormalWeb"/>
              <w:spacing w:before="0" w:beforeAutospacing="0" w:after="0"/>
              <w:rPr>
                <w:rFonts w:ascii="Verdana" w:hAnsi="Verdana"/>
                <w:sz w:val="20"/>
              </w:rPr>
            </w:pPr>
            <w:r w:rsidRPr="000A4491">
              <w:rPr>
                <w:rFonts w:ascii="Verdana" w:hAnsi="Verdana"/>
                <w:sz w:val="20"/>
              </w:rPr>
              <w:t>A PBX</w:t>
            </w:r>
            <w:r w:rsidRPr="000A4491">
              <w:rPr>
                <w:rFonts w:ascii="Verdana" w:hAnsi="Verdana"/>
                <w:sz w:val="20"/>
              </w:rPr>
              <w:fldChar w:fldCharType="begin"/>
            </w:r>
            <w:r w:rsidRPr="000A4491">
              <w:rPr>
                <w:rFonts w:ascii="Verdana" w:hAnsi="Verdana"/>
                <w:sz w:val="20"/>
              </w:rPr>
              <w:instrText>xe "</w:instrText>
            </w:r>
            <w:r w:rsidRPr="000A4491">
              <w:rPr>
                <w:rFonts w:ascii="Verdana" w:hAnsi="Verdana"/>
                <w:bCs/>
                <w:sz w:val="20"/>
              </w:rPr>
              <w:instrText>PBX</w:instrText>
            </w:r>
            <w:r w:rsidRPr="000A4491">
              <w:rPr>
                <w:rFonts w:ascii="Verdana" w:hAnsi="Verdana"/>
                <w:sz w:val="20"/>
              </w:rPr>
              <w:instrText>"</w:instrText>
            </w:r>
            <w:r w:rsidRPr="000A4491">
              <w:rPr>
                <w:rFonts w:ascii="Verdana" w:hAnsi="Verdana"/>
                <w:sz w:val="20"/>
              </w:rPr>
              <w:fldChar w:fldCharType="end"/>
            </w:r>
            <w:r w:rsidRPr="000A4491">
              <w:rPr>
                <w:rFonts w:ascii="Verdana" w:hAnsi="Verdana"/>
                <w:sz w:val="20"/>
              </w:rPr>
              <w:t xml:space="preserve"> is a centralized telephone switching system located at a business or organization site.  The PBX provides internal station-to-station dialing and access to the public switched network.</w:t>
            </w:r>
          </w:p>
        </w:tc>
      </w:tr>
      <w:tr w:rsidR="00F935B1" w14:paraId="5EC173F0" w14:textId="77777777" w:rsidTr="0083602C">
        <w:trPr>
          <w:tblCellSpacing w:w="15" w:type="dxa"/>
        </w:trPr>
        <w:tc>
          <w:tcPr>
            <w:tcW w:w="3656" w:type="dxa"/>
          </w:tcPr>
          <w:p w14:paraId="207E34B5" w14:textId="77777777" w:rsidR="00F935B1" w:rsidRPr="000A4491" w:rsidRDefault="00F935B1" w:rsidP="0083602C">
            <w:pPr>
              <w:rPr>
                <w:rFonts w:ascii="Verdana" w:hAnsi="Verdana"/>
                <w:sz w:val="20"/>
              </w:rPr>
            </w:pPr>
            <w:r w:rsidRPr="000A4491">
              <w:rPr>
                <w:rFonts w:ascii="Verdana" w:hAnsi="Verdana"/>
                <w:sz w:val="20"/>
              </w:rPr>
              <w:t>Processor Terminator Card</w:t>
            </w:r>
            <w:r w:rsidRPr="000A4491">
              <w:rPr>
                <w:rFonts w:ascii="Verdana" w:hAnsi="Verdana"/>
                <w:sz w:val="20"/>
              </w:rPr>
              <w:fldChar w:fldCharType="begin"/>
            </w:r>
            <w:r w:rsidRPr="000A4491">
              <w:rPr>
                <w:rFonts w:ascii="Verdana" w:hAnsi="Verdana"/>
                <w:sz w:val="20"/>
              </w:rPr>
              <w:instrText>xe "Processor Terminator Card"</w:instrText>
            </w:r>
            <w:r w:rsidRPr="000A4491">
              <w:rPr>
                <w:rFonts w:ascii="Verdana" w:hAnsi="Verdana"/>
                <w:sz w:val="20"/>
              </w:rPr>
              <w:fldChar w:fldCharType="end"/>
            </w:r>
            <w:r w:rsidRPr="000A4491">
              <w:rPr>
                <w:rFonts w:ascii="Verdana" w:hAnsi="Verdana"/>
                <w:sz w:val="20"/>
              </w:rPr>
              <w:t xml:space="preserve"> </w:t>
            </w:r>
            <w:r w:rsidRPr="000A4491">
              <w:rPr>
                <w:rFonts w:ascii="Verdana" w:hAnsi="Verdana"/>
                <w:sz w:val="20"/>
              </w:rPr>
              <w:br/>
              <w:t>(</w:t>
            </w:r>
            <w:hyperlink w:anchor="aaCircuitCardsComponents" w:history="1">
              <w:r w:rsidRPr="000A4491">
                <w:rPr>
                  <w:rStyle w:val="Hyperlink"/>
                  <w:rFonts w:ascii="Verdana" w:hAnsi="Verdana"/>
                  <w:sz w:val="20"/>
                </w:rPr>
                <w:t>Circuit Cards</w:t>
              </w:r>
              <w:r w:rsidRPr="000A4491">
                <w:rPr>
                  <w:rFonts w:ascii="Verdana" w:hAnsi="Verdana"/>
                  <w:sz w:val="20"/>
                </w:rPr>
                <w:fldChar w:fldCharType="begin"/>
              </w:r>
              <w:r w:rsidRPr="000A4491">
                <w:rPr>
                  <w:rFonts w:ascii="Verdana" w:hAnsi="Verdana"/>
                  <w:sz w:val="20"/>
                </w:rPr>
                <w:instrText>xe "Circuit"</w:instrText>
              </w:r>
              <w:r w:rsidRPr="000A4491">
                <w:rPr>
                  <w:rFonts w:ascii="Verdana" w:hAnsi="Verdana"/>
                  <w:sz w:val="20"/>
                </w:rPr>
                <w:fldChar w:fldCharType="end"/>
              </w:r>
            </w:hyperlink>
            <w:r w:rsidRPr="000A4491">
              <w:rPr>
                <w:rFonts w:ascii="Verdana" w:hAnsi="Verdana"/>
                <w:sz w:val="20"/>
              </w:rPr>
              <w:t>)</w:t>
            </w:r>
          </w:p>
        </w:tc>
        <w:tc>
          <w:tcPr>
            <w:tcW w:w="5441" w:type="dxa"/>
          </w:tcPr>
          <w:p w14:paraId="24B8C099" w14:textId="77777777" w:rsidR="00F935B1" w:rsidRPr="000A4491" w:rsidRDefault="00F935B1" w:rsidP="0083602C">
            <w:pPr>
              <w:pStyle w:val="NormalWeb"/>
              <w:spacing w:before="0" w:beforeAutospacing="0" w:after="0"/>
              <w:rPr>
                <w:rFonts w:ascii="Verdana" w:hAnsi="Verdana"/>
                <w:sz w:val="20"/>
              </w:rPr>
            </w:pPr>
            <w:r w:rsidRPr="000A4491">
              <w:rPr>
                <w:rFonts w:ascii="Verdana" w:hAnsi="Verdana"/>
                <w:sz w:val="20"/>
              </w:rPr>
              <w:t>A processor terminator card</w:t>
            </w:r>
            <w:r w:rsidRPr="000A4491">
              <w:rPr>
                <w:rFonts w:ascii="Verdana" w:hAnsi="Verdana"/>
                <w:sz w:val="20"/>
              </w:rPr>
              <w:fldChar w:fldCharType="begin"/>
            </w:r>
            <w:r w:rsidRPr="000A4491">
              <w:rPr>
                <w:rFonts w:ascii="Verdana" w:hAnsi="Verdana"/>
                <w:sz w:val="20"/>
              </w:rPr>
              <w:instrText>xe "Processor Terminator Card"</w:instrText>
            </w:r>
            <w:r w:rsidRPr="000A4491">
              <w:rPr>
                <w:rFonts w:ascii="Verdana" w:hAnsi="Verdana"/>
                <w:sz w:val="20"/>
              </w:rPr>
              <w:fldChar w:fldCharType="end"/>
            </w:r>
            <w:r w:rsidRPr="000A4491">
              <w:rPr>
                <w:rFonts w:ascii="Verdana" w:hAnsi="Verdana"/>
                <w:sz w:val="20"/>
              </w:rPr>
              <w:t xml:space="preserve"> is a device installed in a multi-processor computer to signal the computer that only one processor is installed.</w:t>
            </w:r>
          </w:p>
        </w:tc>
      </w:tr>
      <w:tr w:rsidR="00F935B1" w14:paraId="61F595EE" w14:textId="77777777" w:rsidTr="0083602C">
        <w:trPr>
          <w:tblCellSpacing w:w="15" w:type="dxa"/>
        </w:trPr>
        <w:tc>
          <w:tcPr>
            <w:tcW w:w="3656" w:type="dxa"/>
          </w:tcPr>
          <w:p w14:paraId="3E89AD88" w14:textId="77777777" w:rsidR="00F935B1" w:rsidRPr="000A4491" w:rsidRDefault="00F935B1" w:rsidP="0083602C">
            <w:pPr>
              <w:rPr>
                <w:rFonts w:ascii="Verdana" w:hAnsi="Verdana"/>
                <w:sz w:val="20"/>
              </w:rPr>
            </w:pPr>
            <w:r w:rsidRPr="000A4491">
              <w:rPr>
                <w:rFonts w:ascii="Verdana" w:hAnsi="Verdana"/>
                <w:sz w:val="20"/>
              </w:rPr>
              <w:t>Proxy Server</w:t>
            </w:r>
            <w:r w:rsidRPr="000A4491">
              <w:rPr>
                <w:rFonts w:ascii="Verdana" w:hAnsi="Verdana"/>
                <w:sz w:val="20"/>
              </w:rPr>
              <w:fldChar w:fldCharType="begin"/>
            </w:r>
            <w:r w:rsidRPr="000A4491">
              <w:rPr>
                <w:rFonts w:ascii="Verdana" w:hAnsi="Verdana"/>
                <w:sz w:val="20"/>
              </w:rPr>
              <w:instrText>xe "</w:instrText>
            </w:r>
            <w:r w:rsidRPr="000A4491">
              <w:rPr>
                <w:rStyle w:val="Hyperlink"/>
                <w:rFonts w:ascii="Verdana" w:hAnsi="Verdana"/>
                <w:bCs/>
                <w:sz w:val="20"/>
              </w:rPr>
              <w:instrText>Proxy Server</w:instrText>
            </w:r>
            <w:r w:rsidRPr="000A4491">
              <w:rPr>
                <w:rFonts w:ascii="Verdana" w:hAnsi="Verdana"/>
                <w:sz w:val="20"/>
              </w:rPr>
              <w:instrText>"</w:instrText>
            </w:r>
            <w:r w:rsidRPr="000A4491">
              <w:rPr>
                <w:rFonts w:ascii="Verdana" w:hAnsi="Verdana"/>
                <w:sz w:val="20"/>
              </w:rPr>
              <w:fldChar w:fldCharType="end"/>
            </w:r>
            <w:r w:rsidRPr="000A4491">
              <w:rPr>
                <w:rFonts w:ascii="Verdana" w:hAnsi="Verdana"/>
                <w:sz w:val="20"/>
              </w:rPr>
              <w:t xml:space="preserve"> </w:t>
            </w:r>
            <w:r w:rsidRPr="000A4491">
              <w:rPr>
                <w:rFonts w:ascii="Verdana" w:hAnsi="Verdana"/>
                <w:sz w:val="20"/>
              </w:rPr>
              <w:br/>
              <w:t>(</w:t>
            </w:r>
            <w:hyperlink w:anchor="aaDataProtection" w:history="1">
              <w:r w:rsidRPr="000A4491">
                <w:rPr>
                  <w:rStyle w:val="Hyperlink"/>
                  <w:rFonts w:ascii="Verdana" w:hAnsi="Verdana"/>
                  <w:sz w:val="20"/>
                </w:rPr>
                <w:t>Data Protection</w:t>
              </w:r>
              <w:r w:rsidRPr="000A4491">
                <w:rPr>
                  <w:rFonts w:ascii="Verdana" w:hAnsi="Verdana"/>
                  <w:sz w:val="20"/>
                </w:rPr>
                <w:fldChar w:fldCharType="begin"/>
              </w:r>
              <w:r w:rsidRPr="000A4491">
                <w:rPr>
                  <w:rFonts w:ascii="Verdana" w:hAnsi="Verdana"/>
                  <w:sz w:val="20"/>
                </w:rPr>
                <w:instrText>xe "Data Protection"</w:instrText>
              </w:r>
              <w:r w:rsidRPr="000A4491">
                <w:rPr>
                  <w:rFonts w:ascii="Verdana" w:hAnsi="Verdana"/>
                  <w:sz w:val="20"/>
                </w:rPr>
                <w:fldChar w:fldCharType="end"/>
              </w:r>
            </w:hyperlink>
            <w:r w:rsidRPr="000A4491">
              <w:rPr>
                <w:rFonts w:ascii="Verdana" w:hAnsi="Verdana"/>
                <w:sz w:val="20"/>
              </w:rPr>
              <w:t>)</w:t>
            </w:r>
          </w:p>
          <w:p w14:paraId="42D31119" w14:textId="77777777" w:rsidR="00F935B1" w:rsidRPr="000A4491" w:rsidRDefault="00F935B1" w:rsidP="0083602C">
            <w:pPr>
              <w:rPr>
                <w:rFonts w:ascii="Verdana" w:hAnsi="Verdana"/>
                <w:sz w:val="20"/>
              </w:rPr>
            </w:pPr>
            <w:r w:rsidRPr="000A4491">
              <w:rPr>
                <w:rFonts w:ascii="Verdana" w:hAnsi="Verdana"/>
                <w:sz w:val="20"/>
              </w:rPr>
              <w:t>(</w:t>
            </w:r>
            <w:hyperlink w:anchor="aaServers" w:history="1">
              <w:r w:rsidRPr="000A4491">
                <w:rPr>
                  <w:rStyle w:val="Hyperlink"/>
                  <w:rFonts w:ascii="Verdana" w:hAnsi="Verdana"/>
                  <w:sz w:val="20"/>
                </w:rPr>
                <w:t>Servers</w:t>
              </w:r>
              <w:r w:rsidRPr="000A4491">
                <w:rPr>
                  <w:rFonts w:ascii="Verdana" w:hAnsi="Verdana"/>
                  <w:sz w:val="20"/>
                </w:rPr>
                <w:fldChar w:fldCharType="begin"/>
              </w:r>
              <w:r w:rsidRPr="000A4491">
                <w:rPr>
                  <w:rFonts w:ascii="Verdana" w:hAnsi="Verdana"/>
                  <w:sz w:val="20"/>
                </w:rPr>
                <w:instrText>xe "Servers"</w:instrText>
              </w:r>
              <w:r w:rsidRPr="000A4491">
                <w:rPr>
                  <w:rFonts w:ascii="Verdana" w:hAnsi="Verdana"/>
                  <w:sz w:val="20"/>
                </w:rPr>
                <w:fldChar w:fldCharType="end"/>
              </w:r>
            </w:hyperlink>
            <w:r w:rsidRPr="000A4491">
              <w:rPr>
                <w:rFonts w:ascii="Verdana" w:hAnsi="Verdana"/>
                <w:sz w:val="20"/>
              </w:rPr>
              <w:t>)</w:t>
            </w:r>
          </w:p>
        </w:tc>
        <w:tc>
          <w:tcPr>
            <w:tcW w:w="5441" w:type="dxa"/>
          </w:tcPr>
          <w:p w14:paraId="3643CBFE" w14:textId="77777777" w:rsidR="00F935B1" w:rsidRPr="000A4491" w:rsidRDefault="00F935B1" w:rsidP="0083602C">
            <w:pPr>
              <w:pStyle w:val="NormalWeb"/>
              <w:spacing w:before="0" w:beforeAutospacing="0" w:after="0"/>
              <w:rPr>
                <w:rFonts w:ascii="Verdana" w:hAnsi="Verdana"/>
                <w:sz w:val="20"/>
              </w:rPr>
            </w:pPr>
            <w:r w:rsidRPr="000A4491">
              <w:rPr>
                <w:rFonts w:ascii="Verdana" w:hAnsi="Verdana"/>
                <w:sz w:val="20"/>
              </w:rPr>
              <w:t>A proxy server</w:t>
            </w:r>
            <w:r w:rsidRPr="000A4491">
              <w:rPr>
                <w:rFonts w:ascii="Verdana" w:hAnsi="Verdana"/>
                <w:sz w:val="20"/>
              </w:rPr>
              <w:fldChar w:fldCharType="begin"/>
            </w:r>
            <w:r w:rsidRPr="000A4491">
              <w:rPr>
                <w:rFonts w:ascii="Verdana" w:hAnsi="Verdana"/>
                <w:sz w:val="20"/>
              </w:rPr>
              <w:instrText>xe "Servers"</w:instrText>
            </w:r>
            <w:r w:rsidRPr="000A4491">
              <w:rPr>
                <w:rFonts w:ascii="Verdana" w:hAnsi="Verdana"/>
                <w:sz w:val="20"/>
              </w:rPr>
              <w:fldChar w:fldCharType="end"/>
            </w:r>
            <w:r w:rsidRPr="000A4491">
              <w:rPr>
                <w:rFonts w:ascii="Verdana" w:hAnsi="Verdana"/>
                <w:sz w:val="20"/>
              </w:rPr>
              <w:t xml:space="preserve"> is a device that sits between “trusted clients” (</w:t>
            </w:r>
            <w:r w:rsidRPr="000A4491">
              <w:rPr>
                <w:rFonts w:ascii="Verdana" w:hAnsi="Verdana"/>
                <w:i/>
                <w:sz w:val="20"/>
              </w:rPr>
              <w:t>e.g.</w:t>
            </w:r>
            <w:r w:rsidRPr="000A4491">
              <w:rPr>
                <w:rFonts w:ascii="Verdana" w:hAnsi="Verdana"/>
                <w:sz w:val="20"/>
              </w:rPr>
              <w:t>, workstations</w:t>
            </w:r>
            <w:r w:rsidRPr="000A4491">
              <w:rPr>
                <w:rFonts w:ascii="Verdana" w:hAnsi="Verdana"/>
                <w:sz w:val="20"/>
              </w:rPr>
              <w:fldChar w:fldCharType="begin"/>
            </w:r>
            <w:r w:rsidRPr="000A4491">
              <w:rPr>
                <w:rFonts w:ascii="Verdana" w:hAnsi="Verdana"/>
                <w:sz w:val="20"/>
              </w:rPr>
              <w:instrText>xe "Workstations"</w:instrText>
            </w:r>
            <w:r w:rsidRPr="000A4491">
              <w:rPr>
                <w:rFonts w:ascii="Verdana" w:hAnsi="Verdana"/>
                <w:sz w:val="20"/>
              </w:rPr>
              <w:fldChar w:fldCharType="end"/>
            </w:r>
            <w:r w:rsidRPr="000A4491">
              <w:rPr>
                <w:rFonts w:ascii="Verdana" w:hAnsi="Verdana"/>
                <w:sz w:val="20"/>
              </w:rPr>
              <w:t xml:space="preserve"> inside an organization) and “untrusted clients” (</w:t>
            </w:r>
            <w:r w:rsidRPr="000A4491">
              <w:rPr>
                <w:rFonts w:ascii="Verdana" w:hAnsi="Verdana"/>
                <w:i/>
                <w:sz w:val="20"/>
              </w:rPr>
              <w:t>e.g.</w:t>
            </w:r>
            <w:r w:rsidRPr="000A4491">
              <w:rPr>
                <w:rFonts w:ascii="Verdana" w:hAnsi="Verdana"/>
                <w:sz w:val="20"/>
              </w:rPr>
              <w:t>, the Internet</w:t>
            </w:r>
            <w:r w:rsidRPr="000A4491">
              <w:rPr>
                <w:rFonts w:ascii="Verdana" w:hAnsi="Verdana"/>
                <w:sz w:val="20"/>
              </w:rPr>
              <w:fldChar w:fldCharType="begin"/>
            </w:r>
            <w:r w:rsidRPr="000A4491">
              <w:rPr>
                <w:rFonts w:ascii="Verdana" w:hAnsi="Verdana"/>
                <w:sz w:val="20"/>
              </w:rPr>
              <w:instrText>xe "Internet"</w:instrText>
            </w:r>
            <w:r w:rsidRPr="000A4491">
              <w:rPr>
                <w:rFonts w:ascii="Verdana" w:hAnsi="Verdana"/>
                <w:sz w:val="20"/>
              </w:rPr>
              <w:fldChar w:fldCharType="end"/>
            </w:r>
            <w:r w:rsidRPr="000A4491">
              <w:rPr>
                <w:rFonts w:ascii="Verdana" w:hAnsi="Verdana"/>
                <w:sz w:val="20"/>
              </w:rPr>
              <w:t>) that provides security</w:t>
            </w:r>
            <w:r w:rsidRPr="000A4491">
              <w:rPr>
                <w:rFonts w:ascii="Verdana" w:hAnsi="Verdana"/>
                <w:sz w:val="20"/>
              </w:rPr>
              <w:fldChar w:fldCharType="begin"/>
            </w:r>
            <w:r w:rsidRPr="000A4491">
              <w:rPr>
                <w:rFonts w:ascii="Verdana" w:hAnsi="Verdana"/>
                <w:sz w:val="20"/>
              </w:rPr>
              <w:instrText>xe "S</w:instrText>
            </w:r>
            <w:r w:rsidRPr="000A4491">
              <w:rPr>
                <w:rFonts w:ascii="Verdana" w:hAnsi="Verdana"/>
                <w:bCs/>
                <w:sz w:val="20"/>
              </w:rPr>
              <w:instrText>ecurity Features</w:instrText>
            </w:r>
            <w:r w:rsidRPr="000A4491">
              <w:rPr>
                <w:rFonts w:ascii="Verdana" w:hAnsi="Verdana"/>
                <w:sz w:val="20"/>
              </w:rPr>
              <w:instrText>"</w:instrText>
            </w:r>
            <w:r w:rsidRPr="000A4491">
              <w:rPr>
                <w:rFonts w:ascii="Verdana" w:hAnsi="Verdana"/>
                <w:sz w:val="20"/>
              </w:rPr>
              <w:fldChar w:fldCharType="end"/>
            </w:r>
            <w:r w:rsidRPr="000A4491">
              <w:rPr>
                <w:rFonts w:ascii="Verdana" w:hAnsi="Verdana"/>
                <w:sz w:val="20"/>
              </w:rPr>
              <w:t xml:space="preserve"> features and often times address translation.  To the “untrusted clients”, communication appears to be taking place with the proxy, even though the communication is passed to and from the trusted clients. </w:t>
            </w:r>
          </w:p>
        </w:tc>
      </w:tr>
      <w:tr w:rsidR="00F935B1" w14:paraId="3A36ABE9" w14:textId="77777777" w:rsidTr="0083602C">
        <w:trPr>
          <w:trHeight w:val="782"/>
          <w:tblCellSpacing w:w="15" w:type="dxa"/>
        </w:trPr>
        <w:tc>
          <w:tcPr>
            <w:tcW w:w="3656" w:type="dxa"/>
          </w:tcPr>
          <w:p w14:paraId="2585B051" w14:textId="77777777" w:rsidR="00F935B1" w:rsidRPr="000A4491" w:rsidRDefault="00F935B1" w:rsidP="0083602C">
            <w:pPr>
              <w:rPr>
                <w:rFonts w:ascii="Verdana" w:hAnsi="Verdana"/>
                <w:sz w:val="20"/>
              </w:rPr>
            </w:pPr>
            <w:r w:rsidRPr="000A4491">
              <w:rPr>
                <w:rFonts w:ascii="Verdana" w:hAnsi="Verdana"/>
                <w:sz w:val="20"/>
              </w:rPr>
              <w:lastRenderedPageBreak/>
              <w:t xml:space="preserve">Public Address (PA) System </w:t>
            </w:r>
            <w:r w:rsidRPr="000A4491">
              <w:rPr>
                <w:rFonts w:ascii="Verdana" w:hAnsi="Verdana"/>
                <w:sz w:val="20"/>
              </w:rPr>
              <w:br/>
              <w:t>(</w:t>
            </w:r>
            <w:hyperlink w:anchor="aaTelephoneComponents" w:history="1">
              <w:r w:rsidRPr="000A4491">
                <w:rPr>
                  <w:rStyle w:val="Hyperlink"/>
                  <w:rFonts w:ascii="Verdana" w:hAnsi="Verdana"/>
                  <w:sz w:val="20"/>
                </w:rPr>
                <w:t>Telephone</w:t>
              </w:r>
              <w:r w:rsidRPr="000A4491">
                <w:rPr>
                  <w:rFonts w:ascii="Verdana" w:hAnsi="Verdana"/>
                  <w:sz w:val="20"/>
                </w:rPr>
                <w:fldChar w:fldCharType="begin"/>
              </w:r>
              <w:r w:rsidRPr="000A4491">
                <w:rPr>
                  <w:rFonts w:ascii="Verdana" w:hAnsi="Verdana"/>
                  <w:sz w:val="20"/>
                </w:rPr>
                <w:instrText>xe "Telephone Components"</w:instrText>
              </w:r>
              <w:r w:rsidRPr="000A4491">
                <w:rPr>
                  <w:rFonts w:ascii="Verdana" w:hAnsi="Verdana"/>
                  <w:sz w:val="20"/>
                </w:rPr>
                <w:fldChar w:fldCharType="end"/>
              </w:r>
            </w:hyperlink>
            <w:r w:rsidRPr="000A4491">
              <w:rPr>
                <w:rFonts w:ascii="Verdana" w:hAnsi="Verdana"/>
                <w:sz w:val="20"/>
              </w:rPr>
              <w:t xml:space="preserve">—Ineligible) </w:t>
            </w:r>
          </w:p>
          <w:p w14:paraId="14C9D9A3" w14:textId="77777777" w:rsidR="00F935B1" w:rsidRPr="000A4491" w:rsidRDefault="00F935B1" w:rsidP="0083602C">
            <w:pPr>
              <w:rPr>
                <w:rFonts w:ascii="Verdana" w:hAnsi="Verdana"/>
                <w:sz w:val="20"/>
              </w:rPr>
            </w:pPr>
            <w:r w:rsidRPr="000A4491">
              <w:rPr>
                <w:rFonts w:ascii="Verdana" w:hAnsi="Verdana"/>
                <w:sz w:val="20"/>
              </w:rPr>
              <w:t>(</w:t>
            </w:r>
            <w:hyperlink w:anchor="aaIneligibleComponents" w:history="1">
              <w:r w:rsidRPr="000A4491">
                <w:rPr>
                  <w:rStyle w:val="Hyperlink"/>
                  <w:rFonts w:ascii="Verdana" w:hAnsi="Verdana"/>
                  <w:sz w:val="20"/>
                </w:rPr>
                <w:t>Ineligible Internal Connections Components</w:t>
              </w:r>
            </w:hyperlink>
            <w:r w:rsidRPr="000A4491">
              <w:rPr>
                <w:rFonts w:ascii="Verdana" w:hAnsi="Verdana"/>
                <w:sz w:val="20"/>
              </w:rPr>
              <w:t>)</w:t>
            </w:r>
          </w:p>
        </w:tc>
        <w:tc>
          <w:tcPr>
            <w:tcW w:w="5441" w:type="dxa"/>
          </w:tcPr>
          <w:p w14:paraId="1EAEFD43" w14:textId="77777777" w:rsidR="00F935B1" w:rsidRPr="000A4491" w:rsidRDefault="00F935B1" w:rsidP="0083602C">
            <w:pPr>
              <w:pStyle w:val="NormalWeb"/>
              <w:spacing w:before="0" w:beforeAutospacing="0" w:after="0"/>
              <w:rPr>
                <w:rFonts w:ascii="Verdana" w:hAnsi="Verdana"/>
                <w:sz w:val="20"/>
              </w:rPr>
            </w:pPr>
            <w:r w:rsidRPr="000A4491">
              <w:rPr>
                <w:rFonts w:ascii="Verdana" w:hAnsi="Verdana"/>
                <w:sz w:val="20"/>
              </w:rPr>
              <w:t>A Public Address System</w:t>
            </w:r>
            <w:r w:rsidRPr="000A4491">
              <w:rPr>
                <w:rFonts w:ascii="Verdana" w:hAnsi="Verdana"/>
                <w:sz w:val="20"/>
              </w:rPr>
              <w:fldChar w:fldCharType="begin"/>
            </w:r>
            <w:r w:rsidRPr="000A4491">
              <w:rPr>
                <w:rFonts w:ascii="Verdana" w:hAnsi="Verdana"/>
                <w:sz w:val="20"/>
              </w:rPr>
              <w:instrText>xe "Public Address System"</w:instrText>
            </w:r>
            <w:r w:rsidRPr="000A4491">
              <w:rPr>
                <w:rFonts w:ascii="Verdana" w:hAnsi="Verdana"/>
                <w:sz w:val="20"/>
              </w:rPr>
              <w:fldChar w:fldCharType="end"/>
            </w:r>
            <w:r w:rsidRPr="000A4491">
              <w:rPr>
                <w:rFonts w:ascii="Verdana" w:hAnsi="Verdana"/>
                <w:sz w:val="20"/>
              </w:rPr>
              <w:t xml:space="preserve"> allows the user to make announcements through the use of amplifiers and speakers</w:t>
            </w:r>
            <w:r w:rsidRPr="000A4491">
              <w:rPr>
                <w:rFonts w:ascii="Verdana" w:hAnsi="Verdana"/>
                <w:sz w:val="20"/>
              </w:rPr>
              <w:fldChar w:fldCharType="begin"/>
            </w:r>
            <w:r w:rsidRPr="000A4491">
              <w:rPr>
                <w:rFonts w:ascii="Verdana" w:hAnsi="Verdana"/>
                <w:sz w:val="20"/>
              </w:rPr>
              <w:instrText>xe "S</w:instrText>
            </w:r>
            <w:r w:rsidRPr="000A4491">
              <w:rPr>
                <w:rStyle w:val="Hyperlink"/>
                <w:rFonts w:ascii="Verdana" w:hAnsi="Verdana"/>
                <w:bCs/>
                <w:sz w:val="20"/>
              </w:rPr>
              <w:instrText>peakers</w:instrText>
            </w:r>
            <w:r w:rsidRPr="000A4491">
              <w:rPr>
                <w:rFonts w:ascii="Verdana" w:hAnsi="Verdana"/>
                <w:sz w:val="20"/>
              </w:rPr>
              <w:instrText>"</w:instrText>
            </w:r>
            <w:r w:rsidRPr="000A4491">
              <w:rPr>
                <w:rFonts w:ascii="Verdana" w:hAnsi="Verdana"/>
                <w:sz w:val="20"/>
              </w:rPr>
              <w:fldChar w:fldCharType="end"/>
            </w:r>
            <w:r w:rsidRPr="000A4491">
              <w:rPr>
                <w:rFonts w:ascii="Verdana" w:hAnsi="Verdana"/>
                <w:sz w:val="20"/>
              </w:rPr>
              <w:t>.</w:t>
            </w:r>
          </w:p>
        </w:tc>
      </w:tr>
      <w:tr w:rsidR="00F935B1" w14:paraId="561A1378" w14:textId="77777777" w:rsidTr="0083602C">
        <w:trPr>
          <w:tblCellSpacing w:w="15" w:type="dxa"/>
        </w:trPr>
        <w:tc>
          <w:tcPr>
            <w:tcW w:w="3656" w:type="dxa"/>
          </w:tcPr>
          <w:p w14:paraId="5E6DE8CD" w14:textId="77777777" w:rsidR="00F935B1" w:rsidRPr="000A4491" w:rsidRDefault="00F935B1" w:rsidP="0083602C">
            <w:pPr>
              <w:rPr>
                <w:rFonts w:ascii="Verdana" w:hAnsi="Verdana"/>
                <w:sz w:val="20"/>
              </w:rPr>
            </w:pPr>
            <w:r w:rsidRPr="000A4491">
              <w:rPr>
                <w:rFonts w:ascii="Verdana" w:hAnsi="Verdana"/>
                <w:sz w:val="20"/>
              </w:rPr>
              <w:t>PVBX</w:t>
            </w:r>
            <w:r w:rsidRPr="000A4491">
              <w:rPr>
                <w:rFonts w:ascii="Verdana" w:hAnsi="Verdana"/>
                <w:sz w:val="20"/>
              </w:rPr>
              <w:fldChar w:fldCharType="begin"/>
            </w:r>
            <w:r w:rsidRPr="000A4491">
              <w:rPr>
                <w:rFonts w:ascii="Verdana" w:hAnsi="Verdana"/>
                <w:sz w:val="20"/>
              </w:rPr>
              <w:instrText>xe "</w:instrText>
            </w:r>
            <w:r w:rsidRPr="000A4491">
              <w:rPr>
                <w:rStyle w:val="Hyperlink"/>
                <w:rFonts w:ascii="Verdana" w:hAnsi="Verdana"/>
                <w:bCs/>
                <w:sz w:val="20"/>
              </w:rPr>
              <w:instrText>PVBX</w:instrText>
            </w:r>
            <w:r w:rsidRPr="000A4491">
              <w:rPr>
                <w:rFonts w:ascii="Verdana" w:hAnsi="Verdana"/>
                <w:sz w:val="20"/>
              </w:rPr>
              <w:instrText>"</w:instrText>
            </w:r>
            <w:r w:rsidRPr="000A4491">
              <w:rPr>
                <w:rFonts w:ascii="Verdana" w:hAnsi="Verdana"/>
                <w:sz w:val="20"/>
              </w:rPr>
              <w:fldChar w:fldCharType="end"/>
            </w:r>
            <w:r w:rsidRPr="000A4491">
              <w:rPr>
                <w:rFonts w:ascii="Verdana" w:hAnsi="Verdana"/>
                <w:sz w:val="20"/>
              </w:rPr>
              <w:t xml:space="preserve"> </w:t>
            </w:r>
            <w:r w:rsidRPr="000A4491">
              <w:rPr>
                <w:rFonts w:ascii="Verdana" w:hAnsi="Verdana"/>
                <w:sz w:val="20"/>
              </w:rPr>
              <w:br/>
              <w:t>(</w:t>
            </w:r>
            <w:hyperlink w:anchor="aaVideo" w:history="1">
              <w:r w:rsidRPr="000A4491">
                <w:rPr>
                  <w:rStyle w:val="Hyperlink"/>
                  <w:rFonts w:ascii="Verdana" w:hAnsi="Verdana"/>
                  <w:sz w:val="20"/>
                </w:rPr>
                <w:t>Video Components</w:t>
              </w:r>
              <w:r w:rsidRPr="000A4491">
                <w:rPr>
                  <w:rFonts w:ascii="Verdana" w:hAnsi="Verdana"/>
                  <w:sz w:val="20"/>
                </w:rPr>
                <w:fldChar w:fldCharType="begin"/>
              </w:r>
              <w:r w:rsidRPr="000A4491">
                <w:rPr>
                  <w:rFonts w:ascii="Verdana" w:hAnsi="Verdana"/>
                  <w:sz w:val="20"/>
                </w:rPr>
                <w:instrText>xe "Video Components"</w:instrText>
              </w:r>
              <w:r w:rsidRPr="000A4491">
                <w:rPr>
                  <w:rFonts w:ascii="Verdana" w:hAnsi="Verdana"/>
                  <w:sz w:val="20"/>
                </w:rPr>
                <w:fldChar w:fldCharType="end"/>
              </w:r>
            </w:hyperlink>
            <w:r w:rsidRPr="000A4491">
              <w:rPr>
                <w:rFonts w:ascii="Verdana" w:hAnsi="Verdana"/>
                <w:sz w:val="20"/>
              </w:rPr>
              <w:t>)</w:t>
            </w:r>
          </w:p>
        </w:tc>
        <w:tc>
          <w:tcPr>
            <w:tcW w:w="5441" w:type="dxa"/>
          </w:tcPr>
          <w:p w14:paraId="3988F48A" w14:textId="77777777" w:rsidR="00F935B1" w:rsidRPr="000A4491" w:rsidRDefault="00F935B1" w:rsidP="0083602C">
            <w:pPr>
              <w:pStyle w:val="NormalWeb"/>
              <w:spacing w:before="0" w:beforeAutospacing="0" w:after="0"/>
              <w:rPr>
                <w:rFonts w:ascii="Verdana" w:hAnsi="Verdana"/>
                <w:sz w:val="20"/>
              </w:rPr>
            </w:pPr>
            <w:r w:rsidRPr="000A4491">
              <w:rPr>
                <w:rFonts w:ascii="Verdana" w:hAnsi="Verdana"/>
                <w:sz w:val="20"/>
              </w:rPr>
              <w:t>A Private Video Branch Exchange (PVBX</w:t>
            </w:r>
            <w:r w:rsidRPr="000A4491">
              <w:rPr>
                <w:rFonts w:ascii="Verdana" w:hAnsi="Verdana"/>
                <w:sz w:val="20"/>
              </w:rPr>
              <w:fldChar w:fldCharType="begin"/>
            </w:r>
            <w:r w:rsidRPr="000A4491">
              <w:rPr>
                <w:rFonts w:ascii="Verdana" w:hAnsi="Verdana"/>
                <w:sz w:val="20"/>
              </w:rPr>
              <w:instrText>xe "</w:instrText>
            </w:r>
            <w:r w:rsidRPr="000A4491">
              <w:rPr>
                <w:rStyle w:val="Hyperlink"/>
                <w:rFonts w:ascii="Verdana" w:hAnsi="Verdana"/>
                <w:bCs/>
                <w:sz w:val="20"/>
              </w:rPr>
              <w:instrText>PVBX</w:instrText>
            </w:r>
            <w:r w:rsidRPr="000A4491">
              <w:rPr>
                <w:rFonts w:ascii="Verdana" w:hAnsi="Verdana"/>
                <w:sz w:val="20"/>
              </w:rPr>
              <w:instrText>"</w:instrText>
            </w:r>
            <w:r w:rsidRPr="000A4491">
              <w:rPr>
                <w:rFonts w:ascii="Verdana" w:hAnsi="Verdana"/>
                <w:sz w:val="20"/>
              </w:rPr>
              <w:fldChar w:fldCharType="end"/>
            </w:r>
            <w:r w:rsidRPr="000A4491">
              <w:rPr>
                <w:rFonts w:ascii="Verdana" w:hAnsi="Verdana"/>
                <w:sz w:val="20"/>
              </w:rPr>
              <w:t>) is a PBX</w:t>
            </w:r>
            <w:r w:rsidRPr="000A4491">
              <w:rPr>
                <w:rFonts w:ascii="Verdana" w:hAnsi="Verdana"/>
                <w:sz w:val="20"/>
              </w:rPr>
              <w:fldChar w:fldCharType="begin"/>
            </w:r>
            <w:r w:rsidRPr="000A4491">
              <w:rPr>
                <w:rFonts w:ascii="Verdana" w:hAnsi="Verdana"/>
                <w:sz w:val="20"/>
              </w:rPr>
              <w:instrText>xe "</w:instrText>
            </w:r>
            <w:r w:rsidRPr="000A4491">
              <w:rPr>
                <w:rFonts w:ascii="Verdana" w:hAnsi="Verdana"/>
                <w:bCs/>
                <w:sz w:val="20"/>
              </w:rPr>
              <w:instrText>PBX</w:instrText>
            </w:r>
            <w:r w:rsidRPr="000A4491">
              <w:rPr>
                <w:rFonts w:ascii="Verdana" w:hAnsi="Verdana"/>
                <w:sz w:val="20"/>
              </w:rPr>
              <w:instrText>"</w:instrText>
            </w:r>
            <w:r w:rsidRPr="000A4491">
              <w:rPr>
                <w:rFonts w:ascii="Verdana" w:hAnsi="Verdana"/>
                <w:sz w:val="20"/>
              </w:rPr>
              <w:fldChar w:fldCharType="end"/>
            </w:r>
            <w:r w:rsidRPr="000A4491">
              <w:rPr>
                <w:rFonts w:ascii="Verdana" w:hAnsi="Verdana"/>
                <w:sz w:val="20"/>
              </w:rPr>
              <w:t xml:space="preserve"> designed for video</w:t>
            </w:r>
            <w:r w:rsidRPr="000A4491">
              <w:rPr>
                <w:rFonts w:ascii="Verdana" w:hAnsi="Verdana"/>
                <w:sz w:val="20"/>
              </w:rPr>
              <w:fldChar w:fldCharType="begin"/>
            </w:r>
            <w:r w:rsidRPr="000A4491">
              <w:rPr>
                <w:rFonts w:ascii="Verdana" w:hAnsi="Verdana"/>
                <w:sz w:val="20"/>
              </w:rPr>
              <w:instrText>xe "Video"</w:instrText>
            </w:r>
            <w:r w:rsidRPr="000A4491">
              <w:rPr>
                <w:rFonts w:ascii="Verdana" w:hAnsi="Verdana"/>
                <w:sz w:val="20"/>
              </w:rPr>
              <w:fldChar w:fldCharType="end"/>
            </w:r>
            <w:r w:rsidRPr="000A4491">
              <w:rPr>
                <w:rFonts w:ascii="Verdana" w:hAnsi="Verdana"/>
                <w:sz w:val="20"/>
              </w:rPr>
              <w:t xml:space="preserve"> information.  A PVBX can link classrooms or other locations together and can interconnect end-user and other equipment, such as cameras</w:t>
            </w:r>
            <w:r w:rsidRPr="000A4491">
              <w:rPr>
                <w:rFonts w:ascii="Verdana" w:hAnsi="Verdana"/>
                <w:sz w:val="20"/>
              </w:rPr>
              <w:fldChar w:fldCharType="begin"/>
            </w:r>
            <w:r w:rsidRPr="000A4491">
              <w:rPr>
                <w:rFonts w:ascii="Verdana" w:hAnsi="Verdana"/>
                <w:sz w:val="20"/>
              </w:rPr>
              <w:instrText>xe "Cameras"</w:instrText>
            </w:r>
            <w:r w:rsidRPr="000A4491">
              <w:rPr>
                <w:rFonts w:ascii="Verdana" w:hAnsi="Verdana"/>
                <w:sz w:val="20"/>
              </w:rPr>
              <w:fldChar w:fldCharType="end"/>
            </w:r>
            <w:r w:rsidRPr="000A4491">
              <w:rPr>
                <w:rFonts w:ascii="Verdana" w:hAnsi="Verdana"/>
                <w:sz w:val="20"/>
              </w:rPr>
              <w:t>, monitors, and videocassette recorders</w:t>
            </w:r>
            <w:r w:rsidRPr="000A4491">
              <w:rPr>
                <w:rFonts w:ascii="Verdana" w:hAnsi="Verdana"/>
                <w:sz w:val="20"/>
              </w:rPr>
              <w:fldChar w:fldCharType="begin"/>
            </w:r>
            <w:r w:rsidRPr="000A4491">
              <w:rPr>
                <w:rFonts w:ascii="Verdana" w:hAnsi="Verdana"/>
                <w:sz w:val="20"/>
              </w:rPr>
              <w:instrText>xe "Videocassette Recorders"</w:instrText>
            </w:r>
            <w:r w:rsidRPr="000A4491">
              <w:rPr>
                <w:rFonts w:ascii="Verdana" w:hAnsi="Verdana"/>
                <w:sz w:val="20"/>
              </w:rPr>
              <w:fldChar w:fldCharType="end"/>
            </w:r>
            <w:r w:rsidRPr="000A4491">
              <w:rPr>
                <w:rFonts w:ascii="Verdana" w:hAnsi="Verdana"/>
                <w:sz w:val="20"/>
              </w:rPr>
              <w:t>.</w:t>
            </w:r>
          </w:p>
        </w:tc>
      </w:tr>
      <w:tr w:rsidR="00F935B1" w14:paraId="2ACB2D29" w14:textId="77777777" w:rsidTr="0083602C">
        <w:trPr>
          <w:tblCellSpacing w:w="15" w:type="dxa"/>
        </w:trPr>
        <w:tc>
          <w:tcPr>
            <w:tcW w:w="3656" w:type="dxa"/>
          </w:tcPr>
          <w:p w14:paraId="4169CB6B" w14:textId="77777777" w:rsidR="00F935B1" w:rsidRPr="000A4491" w:rsidRDefault="00F935B1" w:rsidP="0083602C">
            <w:pPr>
              <w:rPr>
                <w:rFonts w:ascii="Verdana" w:hAnsi="Verdana"/>
                <w:sz w:val="20"/>
              </w:rPr>
            </w:pPr>
            <w:r w:rsidRPr="000A4491">
              <w:rPr>
                <w:rFonts w:ascii="Verdana" w:hAnsi="Verdana"/>
                <w:sz w:val="20"/>
              </w:rPr>
              <w:t>Racks</w:t>
            </w:r>
            <w:r w:rsidRPr="000A4491">
              <w:rPr>
                <w:rFonts w:ascii="Verdana" w:hAnsi="Verdana"/>
                <w:sz w:val="20"/>
              </w:rPr>
              <w:fldChar w:fldCharType="begin"/>
            </w:r>
            <w:r w:rsidRPr="000A4491">
              <w:rPr>
                <w:rFonts w:ascii="Verdana" w:hAnsi="Verdana"/>
                <w:sz w:val="20"/>
              </w:rPr>
              <w:instrText>xe "</w:instrText>
            </w:r>
            <w:r w:rsidRPr="000A4491">
              <w:rPr>
                <w:rStyle w:val="Hyperlink"/>
                <w:rFonts w:ascii="Verdana" w:hAnsi="Verdana"/>
                <w:bCs/>
                <w:sz w:val="20"/>
              </w:rPr>
              <w:instrText>Racks</w:instrText>
            </w:r>
            <w:r w:rsidRPr="000A4491">
              <w:rPr>
                <w:rFonts w:ascii="Verdana" w:hAnsi="Verdana"/>
                <w:sz w:val="20"/>
              </w:rPr>
              <w:instrText>"</w:instrText>
            </w:r>
            <w:r w:rsidRPr="000A4491">
              <w:rPr>
                <w:rFonts w:ascii="Verdana" w:hAnsi="Verdana"/>
                <w:sz w:val="20"/>
              </w:rPr>
              <w:fldChar w:fldCharType="end"/>
            </w:r>
            <w:r w:rsidRPr="000A4491">
              <w:rPr>
                <w:rFonts w:ascii="Verdana" w:hAnsi="Verdana"/>
                <w:sz w:val="20"/>
              </w:rPr>
              <w:t xml:space="preserve"> and Cabinets </w:t>
            </w:r>
            <w:r w:rsidRPr="000A4491">
              <w:rPr>
                <w:rFonts w:ascii="Verdana" w:hAnsi="Verdana"/>
                <w:sz w:val="20"/>
              </w:rPr>
              <w:br/>
              <w:t>(</w:t>
            </w:r>
            <w:hyperlink w:anchor="aaOtherEligibleComponents" w:history="1">
              <w:r w:rsidRPr="000A4491">
                <w:rPr>
                  <w:rStyle w:val="Hyperlink"/>
                  <w:rFonts w:ascii="Verdana" w:hAnsi="Verdana"/>
                  <w:sz w:val="20"/>
                </w:rPr>
                <w:t>Other Eligible Internal Connections Components</w:t>
              </w:r>
            </w:hyperlink>
            <w:r w:rsidRPr="000A4491">
              <w:rPr>
                <w:rFonts w:ascii="Verdana" w:hAnsi="Verdana"/>
                <w:sz w:val="20"/>
              </w:rPr>
              <w:t>)</w:t>
            </w:r>
          </w:p>
        </w:tc>
        <w:tc>
          <w:tcPr>
            <w:tcW w:w="5441" w:type="dxa"/>
          </w:tcPr>
          <w:p w14:paraId="12ADA622" w14:textId="77777777" w:rsidR="00F935B1" w:rsidRPr="000A4491" w:rsidRDefault="00F935B1" w:rsidP="0083602C">
            <w:pPr>
              <w:pStyle w:val="NormalWeb"/>
              <w:spacing w:before="0" w:beforeAutospacing="0" w:after="0"/>
              <w:rPr>
                <w:rFonts w:ascii="Verdana" w:hAnsi="Verdana"/>
                <w:sz w:val="20"/>
              </w:rPr>
            </w:pPr>
            <w:r w:rsidRPr="000A4491">
              <w:rPr>
                <w:rFonts w:ascii="Verdana" w:hAnsi="Verdana"/>
                <w:sz w:val="20"/>
              </w:rPr>
              <w:t>A rack</w:t>
            </w:r>
            <w:r w:rsidRPr="000A4491">
              <w:rPr>
                <w:rFonts w:ascii="Verdana" w:hAnsi="Verdana"/>
                <w:sz w:val="20"/>
              </w:rPr>
              <w:fldChar w:fldCharType="begin"/>
            </w:r>
            <w:r w:rsidRPr="000A4491">
              <w:rPr>
                <w:rFonts w:ascii="Verdana" w:hAnsi="Verdana"/>
                <w:sz w:val="20"/>
              </w:rPr>
              <w:instrText>xe "R</w:instrText>
            </w:r>
            <w:r w:rsidRPr="000A4491">
              <w:rPr>
                <w:rFonts w:ascii="Verdana" w:hAnsi="Verdana"/>
                <w:bCs/>
                <w:sz w:val="20"/>
              </w:rPr>
              <w:instrText>acks</w:instrText>
            </w:r>
            <w:r w:rsidRPr="000A4491">
              <w:rPr>
                <w:rFonts w:ascii="Verdana" w:hAnsi="Verdana"/>
                <w:sz w:val="20"/>
              </w:rPr>
              <w:instrText>"</w:instrText>
            </w:r>
            <w:r w:rsidRPr="000A4491">
              <w:rPr>
                <w:rFonts w:ascii="Verdana" w:hAnsi="Verdana"/>
                <w:sz w:val="20"/>
              </w:rPr>
              <w:fldChar w:fldCharType="end"/>
            </w:r>
            <w:r w:rsidRPr="000A4491">
              <w:rPr>
                <w:rFonts w:ascii="Verdana" w:hAnsi="Verdana"/>
                <w:sz w:val="20"/>
              </w:rPr>
              <w:t xml:space="preserve"> is a metal supporting framework for mounting cables, equipment, and/or wires.  A cabinet</w:t>
            </w:r>
            <w:r w:rsidRPr="000A4491">
              <w:rPr>
                <w:rFonts w:ascii="Verdana" w:hAnsi="Verdana"/>
                <w:sz w:val="20"/>
              </w:rPr>
              <w:fldChar w:fldCharType="begin"/>
            </w:r>
            <w:r w:rsidRPr="000A4491">
              <w:rPr>
                <w:rFonts w:ascii="Verdana" w:hAnsi="Verdana"/>
                <w:sz w:val="20"/>
              </w:rPr>
              <w:instrText>xe "C</w:instrText>
            </w:r>
            <w:r w:rsidRPr="000A4491">
              <w:rPr>
                <w:rFonts w:ascii="Verdana" w:hAnsi="Verdana"/>
                <w:bCs/>
                <w:sz w:val="20"/>
              </w:rPr>
              <w:instrText>abinet</w:instrText>
            </w:r>
            <w:r w:rsidRPr="000A4491">
              <w:rPr>
                <w:rFonts w:ascii="Verdana" w:hAnsi="Verdana"/>
                <w:sz w:val="20"/>
              </w:rPr>
              <w:instrText>"</w:instrText>
            </w:r>
            <w:r w:rsidRPr="000A4491">
              <w:rPr>
                <w:rFonts w:ascii="Verdana" w:hAnsi="Verdana"/>
                <w:sz w:val="20"/>
              </w:rPr>
              <w:fldChar w:fldCharType="end"/>
            </w:r>
            <w:r w:rsidRPr="000A4491">
              <w:rPr>
                <w:rFonts w:ascii="Verdana" w:hAnsi="Verdana"/>
                <w:sz w:val="20"/>
              </w:rPr>
              <w:t xml:space="preserve"> is an enclosure for equipment, terminating cables, connection devices, and/or wires.</w:t>
            </w:r>
          </w:p>
        </w:tc>
      </w:tr>
      <w:tr w:rsidR="00F935B1" w14:paraId="7A21BDF9" w14:textId="77777777" w:rsidTr="0083602C">
        <w:trPr>
          <w:tblCellSpacing w:w="15" w:type="dxa"/>
        </w:trPr>
        <w:tc>
          <w:tcPr>
            <w:tcW w:w="3656" w:type="dxa"/>
          </w:tcPr>
          <w:p w14:paraId="4F904A52" w14:textId="77777777" w:rsidR="00F935B1" w:rsidRPr="000A4491" w:rsidRDefault="00F935B1" w:rsidP="0083602C">
            <w:pPr>
              <w:rPr>
                <w:rFonts w:ascii="Verdana" w:hAnsi="Verdana"/>
                <w:sz w:val="20"/>
              </w:rPr>
            </w:pPr>
            <w:r w:rsidRPr="000A4491">
              <w:rPr>
                <w:rFonts w:ascii="Verdana" w:hAnsi="Verdana"/>
                <w:sz w:val="20"/>
              </w:rPr>
              <w:t>Radio Loop</w:t>
            </w:r>
            <w:r w:rsidRPr="000A4491">
              <w:rPr>
                <w:rFonts w:ascii="Verdana" w:hAnsi="Verdana"/>
                <w:sz w:val="20"/>
              </w:rPr>
              <w:fldChar w:fldCharType="begin"/>
            </w:r>
            <w:r w:rsidRPr="000A4491">
              <w:rPr>
                <w:rFonts w:ascii="Verdana" w:hAnsi="Verdana"/>
                <w:sz w:val="20"/>
              </w:rPr>
              <w:instrText>xe "Radio Loop"</w:instrText>
            </w:r>
            <w:r w:rsidRPr="000A4491">
              <w:rPr>
                <w:rFonts w:ascii="Verdana" w:hAnsi="Verdana"/>
                <w:sz w:val="20"/>
              </w:rPr>
              <w:fldChar w:fldCharType="end"/>
            </w:r>
          </w:p>
          <w:p w14:paraId="6D80101E" w14:textId="77777777" w:rsidR="00F935B1" w:rsidRPr="000A4491" w:rsidRDefault="00F935B1" w:rsidP="0083602C">
            <w:pPr>
              <w:rPr>
                <w:rFonts w:ascii="Verdana" w:hAnsi="Verdana"/>
                <w:sz w:val="20"/>
              </w:rPr>
            </w:pPr>
            <w:r w:rsidRPr="000A4491">
              <w:rPr>
                <w:rFonts w:ascii="Verdana" w:hAnsi="Verdana"/>
                <w:sz w:val="20"/>
              </w:rPr>
              <w:t>(</w:t>
            </w:r>
            <w:hyperlink w:anchor="aattTelephoneService" w:history="1">
              <w:r w:rsidRPr="000A4491">
                <w:rPr>
                  <w:rStyle w:val="Hyperlink"/>
                  <w:rFonts w:ascii="Verdana" w:hAnsi="Verdana"/>
                  <w:sz w:val="20"/>
                </w:rPr>
                <w:t>Telephone</w:t>
              </w:r>
              <w:r w:rsidRPr="000A4491">
                <w:rPr>
                  <w:rFonts w:ascii="Verdana" w:hAnsi="Verdana"/>
                  <w:sz w:val="20"/>
                </w:rPr>
                <w:fldChar w:fldCharType="begin"/>
              </w:r>
              <w:r w:rsidRPr="000A4491">
                <w:rPr>
                  <w:rFonts w:ascii="Verdana" w:hAnsi="Verdana"/>
                  <w:sz w:val="20"/>
                </w:rPr>
                <w:instrText>xe "Telephone Service"</w:instrText>
              </w:r>
              <w:r w:rsidRPr="000A4491">
                <w:rPr>
                  <w:rFonts w:ascii="Verdana" w:hAnsi="Verdana"/>
                  <w:sz w:val="20"/>
                </w:rPr>
                <w:fldChar w:fldCharType="end"/>
              </w:r>
            </w:hyperlink>
            <w:r w:rsidRPr="000A4491">
              <w:rPr>
                <w:rFonts w:ascii="Verdana" w:hAnsi="Verdana"/>
                <w:sz w:val="20"/>
              </w:rPr>
              <w:t>)</w:t>
            </w:r>
          </w:p>
        </w:tc>
        <w:tc>
          <w:tcPr>
            <w:tcW w:w="5441" w:type="dxa"/>
          </w:tcPr>
          <w:p w14:paraId="64F7310D" w14:textId="77777777" w:rsidR="00F935B1" w:rsidRPr="000A4491" w:rsidRDefault="00F935B1" w:rsidP="0083602C">
            <w:pPr>
              <w:rPr>
                <w:rFonts w:ascii="Verdana" w:hAnsi="Verdana"/>
                <w:sz w:val="20"/>
              </w:rPr>
            </w:pPr>
            <w:r w:rsidRPr="000A4491">
              <w:rPr>
                <w:rFonts w:ascii="Verdana" w:hAnsi="Verdana"/>
                <w:sz w:val="20"/>
              </w:rPr>
              <w:t>Radio Loop</w:t>
            </w:r>
            <w:r w:rsidRPr="000A4491">
              <w:rPr>
                <w:rFonts w:ascii="Verdana" w:hAnsi="Verdana"/>
                <w:sz w:val="20"/>
              </w:rPr>
              <w:fldChar w:fldCharType="begin"/>
            </w:r>
            <w:r w:rsidRPr="000A4491">
              <w:rPr>
                <w:rFonts w:ascii="Verdana" w:hAnsi="Verdana"/>
                <w:sz w:val="20"/>
              </w:rPr>
              <w:instrText>xe "Radio Loop"</w:instrText>
            </w:r>
            <w:r w:rsidRPr="000A4491">
              <w:rPr>
                <w:rFonts w:ascii="Verdana" w:hAnsi="Verdana"/>
                <w:sz w:val="20"/>
              </w:rPr>
              <w:fldChar w:fldCharType="end"/>
            </w:r>
            <w:r w:rsidRPr="000A4491">
              <w:rPr>
                <w:rFonts w:ascii="Verdana" w:hAnsi="Verdana"/>
                <w:sz w:val="20"/>
              </w:rPr>
              <w:t xml:space="preserve"> is provided by a local exchange telecommunications</w:t>
            </w:r>
            <w:r w:rsidRPr="000A4491">
              <w:rPr>
                <w:rFonts w:ascii="Verdana" w:hAnsi="Verdana"/>
                <w:sz w:val="20"/>
              </w:rPr>
              <w:fldChar w:fldCharType="begin"/>
            </w:r>
            <w:r w:rsidRPr="000A4491">
              <w:rPr>
                <w:rFonts w:ascii="Verdana" w:hAnsi="Verdana"/>
                <w:sz w:val="20"/>
              </w:rPr>
              <w:instrText>xe "Telecommunications"</w:instrText>
            </w:r>
            <w:r w:rsidRPr="000A4491">
              <w:rPr>
                <w:rFonts w:ascii="Verdana" w:hAnsi="Verdana"/>
                <w:sz w:val="20"/>
              </w:rPr>
              <w:fldChar w:fldCharType="end"/>
            </w:r>
            <w:r w:rsidRPr="000A4491">
              <w:rPr>
                <w:rFonts w:ascii="Verdana" w:hAnsi="Verdana"/>
                <w:sz w:val="20"/>
              </w:rPr>
              <w:t xml:space="preserve"> carrier and is also called Basic Exchange Telecommunications Radio Service (BETRS).  BETRS is used by local telephone companies to provide dial tone to subscribers in certain circumstances, such as when it is either not technically possible or not cost-effective</w:t>
            </w:r>
            <w:r w:rsidRPr="000A4491">
              <w:rPr>
                <w:rFonts w:ascii="Verdana" w:hAnsi="Verdana"/>
                <w:sz w:val="20"/>
              </w:rPr>
              <w:fldChar w:fldCharType="begin"/>
            </w:r>
            <w:r w:rsidRPr="000A4491">
              <w:rPr>
                <w:rFonts w:ascii="Verdana" w:hAnsi="Verdana"/>
                <w:sz w:val="20"/>
              </w:rPr>
              <w:instrText>xe "Cost-Effective"</w:instrText>
            </w:r>
            <w:r w:rsidRPr="000A4491">
              <w:rPr>
                <w:rFonts w:ascii="Verdana" w:hAnsi="Verdana"/>
                <w:sz w:val="20"/>
              </w:rPr>
              <w:fldChar w:fldCharType="end"/>
            </w:r>
            <w:r w:rsidRPr="000A4491">
              <w:rPr>
                <w:rFonts w:ascii="Verdana" w:hAnsi="Verdana"/>
                <w:sz w:val="20"/>
              </w:rPr>
              <w:t xml:space="preserve"> to provide the service by conventional means.</w:t>
            </w:r>
          </w:p>
        </w:tc>
      </w:tr>
      <w:tr w:rsidR="00F935B1" w14:paraId="69E75A76" w14:textId="77777777" w:rsidTr="0083602C">
        <w:trPr>
          <w:tblCellSpacing w:w="15" w:type="dxa"/>
        </w:trPr>
        <w:tc>
          <w:tcPr>
            <w:tcW w:w="3656" w:type="dxa"/>
          </w:tcPr>
          <w:p w14:paraId="7B81FC21" w14:textId="77777777" w:rsidR="00F935B1" w:rsidRPr="000A4491" w:rsidRDefault="00F935B1" w:rsidP="0083602C">
            <w:pPr>
              <w:rPr>
                <w:rFonts w:ascii="Verdana" w:hAnsi="Verdana"/>
                <w:sz w:val="20"/>
              </w:rPr>
            </w:pPr>
            <w:r w:rsidRPr="000A4491">
              <w:rPr>
                <w:rFonts w:ascii="Verdana" w:hAnsi="Verdana"/>
                <w:sz w:val="20"/>
              </w:rPr>
              <w:t>Relay I/O Module</w:t>
            </w:r>
          </w:p>
          <w:p w14:paraId="44B275CC" w14:textId="77777777" w:rsidR="00F935B1" w:rsidRPr="000A4491" w:rsidRDefault="00F935B1" w:rsidP="0083602C">
            <w:pPr>
              <w:rPr>
                <w:rFonts w:ascii="Verdana" w:hAnsi="Verdana"/>
                <w:sz w:val="20"/>
              </w:rPr>
            </w:pPr>
            <w:r w:rsidRPr="000A4491">
              <w:rPr>
                <w:rFonts w:ascii="Verdana" w:hAnsi="Verdana"/>
                <w:sz w:val="20"/>
              </w:rPr>
              <w:t>(</w:t>
            </w:r>
            <w:hyperlink w:anchor="aaDataProtection" w:history="1">
              <w:r w:rsidRPr="000A4491">
                <w:rPr>
                  <w:rStyle w:val="Hyperlink"/>
                  <w:rFonts w:ascii="Verdana" w:hAnsi="Verdana"/>
                  <w:sz w:val="20"/>
                </w:rPr>
                <w:t>Data Protection</w:t>
              </w:r>
              <w:r w:rsidRPr="000A4491">
                <w:rPr>
                  <w:rFonts w:ascii="Verdana" w:hAnsi="Verdana"/>
                  <w:sz w:val="20"/>
                </w:rPr>
                <w:fldChar w:fldCharType="begin"/>
              </w:r>
              <w:r w:rsidRPr="000A4491">
                <w:rPr>
                  <w:rFonts w:ascii="Verdana" w:hAnsi="Verdana"/>
                  <w:sz w:val="20"/>
                </w:rPr>
                <w:instrText>xe "Data Protection"</w:instrText>
              </w:r>
              <w:r w:rsidRPr="000A4491">
                <w:rPr>
                  <w:rFonts w:ascii="Verdana" w:hAnsi="Verdana"/>
                  <w:sz w:val="20"/>
                </w:rPr>
                <w:fldChar w:fldCharType="end"/>
              </w:r>
            </w:hyperlink>
            <w:r w:rsidRPr="000A4491">
              <w:rPr>
                <w:rFonts w:ascii="Verdana" w:hAnsi="Verdana"/>
                <w:sz w:val="20"/>
              </w:rPr>
              <w:t>)</w:t>
            </w:r>
          </w:p>
        </w:tc>
        <w:tc>
          <w:tcPr>
            <w:tcW w:w="5441" w:type="dxa"/>
          </w:tcPr>
          <w:p w14:paraId="0D5DFE09" w14:textId="77777777" w:rsidR="00F935B1" w:rsidRPr="000A4491" w:rsidRDefault="00F935B1" w:rsidP="0083602C">
            <w:pPr>
              <w:pStyle w:val="NormalWeb"/>
              <w:spacing w:before="0" w:beforeAutospacing="0" w:after="0"/>
              <w:rPr>
                <w:rFonts w:ascii="Verdana" w:hAnsi="Verdana"/>
                <w:sz w:val="20"/>
              </w:rPr>
            </w:pPr>
            <w:r w:rsidRPr="000A4491">
              <w:rPr>
                <w:rFonts w:ascii="Verdana" w:hAnsi="Verdana"/>
                <w:bCs/>
                <w:sz w:val="20"/>
              </w:rPr>
              <w:t xml:space="preserve">A Relay I/O Module allows protection by an Uninterruptible Power Supply (UPS) </w:t>
            </w:r>
            <w:r w:rsidRPr="000A4491">
              <w:rPr>
                <w:rFonts w:ascii="Verdana" w:hAnsi="Verdana"/>
                <w:sz w:val="20"/>
              </w:rPr>
              <w:fldChar w:fldCharType="begin"/>
            </w:r>
            <w:r w:rsidRPr="000A4491">
              <w:rPr>
                <w:rFonts w:ascii="Verdana" w:hAnsi="Verdana"/>
                <w:sz w:val="20"/>
              </w:rPr>
              <w:instrText>xe "</w:instrText>
            </w:r>
            <w:r w:rsidRPr="000A4491">
              <w:rPr>
                <w:rFonts w:ascii="Verdana" w:hAnsi="Verdana"/>
                <w:bCs/>
                <w:sz w:val="20"/>
              </w:rPr>
              <w:instrText>Relay I/O Module</w:instrText>
            </w:r>
            <w:r w:rsidRPr="000A4491">
              <w:rPr>
                <w:rFonts w:ascii="Verdana" w:hAnsi="Verdana"/>
                <w:sz w:val="20"/>
              </w:rPr>
              <w:instrText>"</w:instrText>
            </w:r>
            <w:r w:rsidRPr="000A4491">
              <w:rPr>
                <w:rFonts w:ascii="Verdana" w:hAnsi="Verdana"/>
                <w:sz w:val="20"/>
              </w:rPr>
              <w:fldChar w:fldCharType="end"/>
            </w:r>
            <w:r w:rsidRPr="000A4491">
              <w:rPr>
                <w:rFonts w:ascii="Verdana" w:hAnsi="Verdana"/>
                <w:sz w:val="20"/>
              </w:rPr>
              <w:fldChar w:fldCharType="begin"/>
            </w:r>
            <w:r w:rsidRPr="000A4491">
              <w:rPr>
                <w:rFonts w:ascii="Verdana" w:hAnsi="Verdana"/>
                <w:sz w:val="20"/>
              </w:rPr>
              <w:instrText>xe "</w:instrText>
            </w:r>
            <w:r w:rsidRPr="000A4491">
              <w:rPr>
                <w:rFonts w:ascii="Verdana" w:hAnsi="Verdana"/>
                <w:bCs/>
                <w:sz w:val="20"/>
              </w:rPr>
              <w:instrText>UPS</w:instrText>
            </w:r>
            <w:r w:rsidRPr="000A4491">
              <w:rPr>
                <w:rFonts w:ascii="Verdana" w:hAnsi="Verdana"/>
                <w:sz w:val="20"/>
              </w:rPr>
              <w:instrText>"</w:instrText>
            </w:r>
            <w:r w:rsidRPr="000A4491">
              <w:rPr>
                <w:rFonts w:ascii="Verdana" w:hAnsi="Verdana"/>
                <w:sz w:val="20"/>
              </w:rPr>
              <w:fldChar w:fldCharType="end"/>
            </w:r>
            <w:r w:rsidRPr="000A4491">
              <w:rPr>
                <w:rFonts w:ascii="Verdana" w:hAnsi="Verdana"/>
                <w:bCs/>
                <w:sz w:val="20"/>
              </w:rPr>
              <w:t>for equipment not pre-designed for a UPS interface.</w:t>
            </w:r>
          </w:p>
        </w:tc>
      </w:tr>
      <w:tr w:rsidR="00F935B1" w14:paraId="72905CA3" w14:textId="77777777" w:rsidTr="0083602C">
        <w:trPr>
          <w:tblCellSpacing w:w="15" w:type="dxa"/>
        </w:trPr>
        <w:tc>
          <w:tcPr>
            <w:tcW w:w="3656" w:type="dxa"/>
          </w:tcPr>
          <w:p w14:paraId="6B864DBC" w14:textId="77777777" w:rsidR="00F935B1" w:rsidRPr="000A4491" w:rsidRDefault="00F935B1" w:rsidP="0083602C">
            <w:pPr>
              <w:rPr>
                <w:rFonts w:ascii="Verdana" w:hAnsi="Verdana"/>
                <w:sz w:val="20"/>
              </w:rPr>
            </w:pPr>
            <w:r w:rsidRPr="000A4491">
              <w:rPr>
                <w:rFonts w:ascii="Verdana" w:hAnsi="Verdana"/>
                <w:sz w:val="20"/>
              </w:rPr>
              <w:t>Remote Access Components</w:t>
            </w:r>
            <w:r w:rsidRPr="000A4491">
              <w:rPr>
                <w:rFonts w:ascii="Verdana" w:hAnsi="Verdana"/>
                <w:sz w:val="20"/>
              </w:rPr>
              <w:fldChar w:fldCharType="begin"/>
            </w:r>
            <w:r w:rsidRPr="000A4491">
              <w:rPr>
                <w:rFonts w:ascii="Verdana" w:hAnsi="Verdana"/>
                <w:sz w:val="20"/>
              </w:rPr>
              <w:instrText>xe "</w:instrText>
            </w:r>
            <w:r w:rsidRPr="000A4491">
              <w:rPr>
                <w:rStyle w:val="Hyperlink"/>
                <w:rFonts w:ascii="Verdana" w:hAnsi="Verdana"/>
                <w:bCs/>
                <w:sz w:val="20"/>
              </w:rPr>
              <w:instrText>Remote Access Components</w:instrText>
            </w:r>
            <w:r w:rsidRPr="000A4491">
              <w:rPr>
                <w:rFonts w:ascii="Verdana" w:hAnsi="Verdana"/>
                <w:sz w:val="20"/>
              </w:rPr>
              <w:instrText>"</w:instrText>
            </w:r>
            <w:r w:rsidRPr="000A4491">
              <w:rPr>
                <w:rFonts w:ascii="Verdana" w:hAnsi="Verdana"/>
                <w:sz w:val="20"/>
              </w:rPr>
              <w:fldChar w:fldCharType="end"/>
            </w:r>
          </w:p>
          <w:p w14:paraId="1A612294" w14:textId="77777777" w:rsidR="00F935B1" w:rsidRPr="000A4491" w:rsidRDefault="00F935B1" w:rsidP="0083602C">
            <w:pPr>
              <w:rPr>
                <w:rFonts w:ascii="Verdana" w:hAnsi="Verdana"/>
                <w:sz w:val="20"/>
              </w:rPr>
            </w:pPr>
            <w:r w:rsidRPr="000A4491">
              <w:rPr>
                <w:rFonts w:ascii="Verdana" w:hAnsi="Verdana"/>
                <w:sz w:val="20"/>
              </w:rPr>
              <w:t>(</w:t>
            </w:r>
            <w:hyperlink w:anchor="aaServers" w:history="1">
              <w:r w:rsidRPr="000A4491">
                <w:rPr>
                  <w:rStyle w:val="Hyperlink"/>
                  <w:rFonts w:ascii="Verdana" w:hAnsi="Verdana"/>
                  <w:sz w:val="20"/>
                </w:rPr>
                <w:t>Servers</w:t>
              </w:r>
              <w:r w:rsidRPr="000A4491">
                <w:rPr>
                  <w:rFonts w:ascii="Verdana" w:hAnsi="Verdana"/>
                  <w:sz w:val="20"/>
                </w:rPr>
                <w:fldChar w:fldCharType="begin"/>
              </w:r>
              <w:r w:rsidRPr="000A4491">
                <w:rPr>
                  <w:rFonts w:ascii="Verdana" w:hAnsi="Verdana"/>
                  <w:sz w:val="20"/>
                </w:rPr>
                <w:instrText>xe "Servers"</w:instrText>
              </w:r>
              <w:r w:rsidRPr="000A4491">
                <w:rPr>
                  <w:rFonts w:ascii="Verdana" w:hAnsi="Verdana"/>
                  <w:sz w:val="20"/>
                </w:rPr>
                <w:fldChar w:fldCharType="end"/>
              </w:r>
            </w:hyperlink>
            <w:r w:rsidRPr="000A4491">
              <w:rPr>
                <w:rFonts w:ascii="Verdana" w:hAnsi="Verdana"/>
                <w:sz w:val="20"/>
              </w:rPr>
              <w:t>)</w:t>
            </w:r>
          </w:p>
        </w:tc>
        <w:tc>
          <w:tcPr>
            <w:tcW w:w="5441" w:type="dxa"/>
          </w:tcPr>
          <w:p w14:paraId="1B785638" w14:textId="77777777" w:rsidR="00F935B1" w:rsidRPr="000A4491" w:rsidRDefault="00F935B1" w:rsidP="0083602C">
            <w:pPr>
              <w:pStyle w:val="NormalWeb"/>
              <w:spacing w:before="0" w:beforeAutospacing="0" w:after="0"/>
              <w:rPr>
                <w:rFonts w:ascii="Verdana" w:hAnsi="Verdana"/>
                <w:sz w:val="20"/>
              </w:rPr>
            </w:pPr>
            <w:r w:rsidRPr="000A4491">
              <w:rPr>
                <w:rFonts w:ascii="Verdana" w:hAnsi="Verdana"/>
                <w:sz w:val="20"/>
              </w:rPr>
              <w:t>Remote access components, such as a remote</w:t>
            </w:r>
            <w:r w:rsidRPr="000A4491">
              <w:rPr>
                <w:rFonts w:ascii="Verdana" w:hAnsi="Verdana"/>
                <w:sz w:val="20"/>
              </w:rPr>
              <w:fldChar w:fldCharType="begin"/>
            </w:r>
            <w:r w:rsidRPr="000A4491">
              <w:rPr>
                <w:rFonts w:ascii="Verdana" w:hAnsi="Verdana"/>
                <w:sz w:val="20"/>
              </w:rPr>
              <w:instrText>xe "R</w:instrText>
            </w:r>
            <w:r w:rsidRPr="000A4491">
              <w:rPr>
                <w:rFonts w:ascii="Verdana" w:hAnsi="Verdana"/>
                <w:bCs/>
                <w:sz w:val="20"/>
              </w:rPr>
              <w:instrText>emote Access Router</w:instrText>
            </w:r>
            <w:r w:rsidRPr="000A4491">
              <w:rPr>
                <w:rFonts w:ascii="Verdana" w:hAnsi="Verdana"/>
                <w:sz w:val="20"/>
              </w:rPr>
              <w:instrText>"</w:instrText>
            </w:r>
            <w:r w:rsidRPr="000A4491">
              <w:rPr>
                <w:rFonts w:ascii="Verdana" w:hAnsi="Verdana"/>
                <w:sz w:val="20"/>
              </w:rPr>
              <w:fldChar w:fldCharType="end"/>
            </w:r>
            <w:r w:rsidRPr="000A4491">
              <w:rPr>
                <w:rFonts w:ascii="Verdana" w:hAnsi="Verdana"/>
                <w:sz w:val="20"/>
              </w:rPr>
              <w:t xml:space="preserve"> access router</w:t>
            </w:r>
            <w:r w:rsidRPr="000A4491">
              <w:rPr>
                <w:rFonts w:ascii="Verdana" w:hAnsi="Verdana"/>
                <w:sz w:val="20"/>
              </w:rPr>
              <w:fldChar w:fldCharType="begin"/>
            </w:r>
            <w:r w:rsidRPr="000A4491">
              <w:rPr>
                <w:rFonts w:ascii="Verdana" w:hAnsi="Verdana"/>
                <w:sz w:val="20"/>
              </w:rPr>
              <w:instrText>xe "Routers"</w:instrText>
            </w:r>
            <w:r w:rsidRPr="000A4491">
              <w:rPr>
                <w:rFonts w:ascii="Verdana" w:hAnsi="Verdana"/>
                <w:sz w:val="20"/>
              </w:rPr>
              <w:fldChar w:fldCharType="end"/>
            </w:r>
            <w:r w:rsidRPr="000A4491">
              <w:rPr>
                <w:rFonts w:ascii="Verdana" w:hAnsi="Verdana"/>
                <w:sz w:val="20"/>
              </w:rPr>
              <w:t xml:space="preserve"> or communications server</w:t>
            </w:r>
            <w:r w:rsidRPr="000A4491">
              <w:rPr>
                <w:rFonts w:ascii="Verdana" w:hAnsi="Verdana"/>
                <w:sz w:val="20"/>
              </w:rPr>
              <w:fldChar w:fldCharType="begin"/>
            </w:r>
            <w:r w:rsidRPr="000A4491">
              <w:rPr>
                <w:rFonts w:ascii="Verdana" w:hAnsi="Verdana"/>
                <w:sz w:val="20"/>
              </w:rPr>
              <w:instrText>xe "Servers"</w:instrText>
            </w:r>
            <w:r w:rsidRPr="000A4491">
              <w:rPr>
                <w:rFonts w:ascii="Verdana" w:hAnsi="Verdana"/>
                <w:sz w:val="20"/>
              </w:rPr>
              <w:fldChar w:fldCharType="end"/>
            </w:r>
            <w:r w:rsidRPr="000A4491">
              <w:rPr>
                <w:rFonts w:ascii="Verdana" w:hAnsi="Verdana"/>
                <w:sz w:val="20"/>
              </w:rPr>
              <w:t>, allow users to access network resources by dialing in from an off-site</w:t>
            </w:r>
            <w:r w:rsidRPr="000A4491">
              <w:rPr>
                <w:rFonts w:ascii="Verdana" w:hAnsi="Verdana"/>
                <w:sz w:val="20"/>
              </w:rPr>
              <w:fldChar w:fldCharType="begin"/>
            </w:r>
            <w:r w:rsidRPr="000A4491">
              <w:rPr>
                <w:rFonts w:ascii="Verdana" w:hAnsi="Verdana"/>
                <w:sz w:val="20"/>
              </w:rPr>
              <w:instrText>xe "Off-Site Location"</w:instrText>
            </w:r>
            <w:r w:rsidRPr="000A4491">
              <w:rPr>
                <w:rFonts w:ascii="Verdana" w:hAnsi="Verdana"/>
                <w:sz w:val="20"/>
              </w:rPr>
              <w:fldChar w:fldCharType="end"/>
            </w:r>
            <w:r w:rsidRPr="000A4491">
              <w:rPr>
                <w:rFonts w:ascii="Verdana" w:hAnsi="Verdana"/>
                <w:sz w:val="20"/>
              </w:rPr>
              <w:t xml:space="preserve"> location in order to connect their local computer with network devices.  Dialing in most cases typically utilizes standard telephone lines but, in some cases, may be based on other technologies.</w:t>
            </w:r>
          </w:p>
        </w:tc>
      </w:tr>
      <w:tr w:rsidR="00F935B1" w14:paraId="5764D59C" w14:textId="77777777" w:rsidTr="0083602C">
        <w:trPr>
          <w:tblCellSpacing w:w="15" w:type="dxa"/>
        </w:trPr>
        <w:tc>
          <w:tcPr>
            <w:tcW w:w="3656" w:type="dxa"/>
          </w:tcPr>
          <w:p w14:paraId="273EBF32" w14:textId="77777777" w:rsidR="00F935B1" w:rsidRPr="000A4491" w:rsidRDefault="00F935B1" w:rsidP="0083602C">
            <w:pPr>
              <w:rPr>
                <w:rFonts w:ascii="Verdana" w:hAnsi="Verdana"/>
                <w:sz w:val="20"/>
              </w:rPr>
            </w:pPr>
            <w:r w:rsidRPr="000A4491">
              <w:rPr>
                <w:rFonts w:ascii="Verdana" w:hAnsi="Verdana"/>
                <w:sz w:val="20"/>
              </w:rPr>
              <w:t>Reverse Directory Assistance</w:t>
            </w:r>
            <w:r w:rsidRPr="000A4491">
              <w:rPr>
                <w:rFonts w:ascii="Verdana" w:hAnsi="Verdana"/>
                <w:sz w:val="20"/>
              </w:rPr>
              <w:fldChar w:fldCharType="begin"/>
            </w:r>
            <w:r w:rsidRPr="000A4491">
              <w:rPr>
                <w:rFonts w:ascii="Verdana" w:hAnsi="Verdana"/>
                <w:sz w:val="20"/>
              </w:rPr>
              <w:instrText>xe "Reverse Directory Assistance"</w:instrText>
            </w:r>
            <w:r w:rsidRPr="000A4491">
              <w:rPr>
                <w:rFonts w:ascii="Verdana" w:hAnsi="Verdana"/>
                <w:sz w:val="20"/>
              </w:rPr>
              <w:fldChar w:fldCharType="end"/>
            </w:r>
          </w:p>
          <w:p w14:paraId="2D399CE2" w14:textId="77777777" w:rsidR="00F935B1" w:rsidRPr="000A4491" w:rsidRDefault="00F935B1" w:rsidP="0083602C">
            <w:pPr>
              <w:rPr>
                <w:rFonts w:ascii="Verdana" w:hAnsi="Verdana"/>
                <w:sz w:val="20"/>
              </w:rPr>
            </w:pPr>
            <w:r w:rsidRPr="000A4491">
              <w:rPr>
                <w:rFonts w:ascii="Verdana" w:hAnsi="Verdana"/>
                <w:sz w:val="20"/>
              </w:rPr>
              <w:t>(</w:t>
            </w:r>
            <w:hyperlink w:anchor="aattIneligibleServices" w:history="1">
              <w:r w:rsidRPr="000A4491">
                <w:rPr>
                  <w:rStyle w:val="Hyperlink"/>
                  <w:rFonts w:ascii="Verdana" w:hAnsi="Verdana"/>
                  <w:sz w:val="20"/>
                </w:rPr>
                <w:t>NOT Eligible for Funding as Telecommunications Services</w:t>
              </w:r>
              <w:r w:rsidRPr="000A4491">
                <w:rPr>
                  <w:rFonts w:ascii="Verdana" w:hAnsi="Verdana"/>
                  <w:sz w:val="20"/>
                </w:rPr>
                <w:fldChar w:fldCharType="begin"/>
              </w:r>
              <w:r w:rsidRPr="000A4491">
                <w:rPr>
                  <w:rFonts w:ascii="Verdana" w:hAnsi="Verdana"/>
                  <w:sz w:val="20"/>
                </w:rPr>
                <w:instrText>xe "</w:instrText>
              </w:r>
              <w:r w:rsidRPr="000A4491">
                <w:rPr>
                  <w:rStyle w:val="Hyperlink"/>
                  <w:rFonts w:ascii="Verdana" w:hAnsi="Verdana"/>
                  <w:sz w:val="20"/>
                </w:rPr>
                <w:instrText>Telecommunications</w:instrText>
              </w:r>
              <w:r w:rsidRPr="000A4491">
                <w:rPr>
                  <w:rFonts w:ascii="Verdana" w:hAnsi="Verdana"/>
                  <w:sz w:val="20"/>
                </w:rPr>
                <w:instrText>"</w:instrText>
              </w:r>
              <w:r w:rsidRPr="000A4491">
                <w:rPr>
                  <w:rFonts w:ascii="Verdana" w:hAnsi="Verdana"/>
                  <w:sz w:val="20"/>
                </w:rPr>
                <w:fldChar w:fldCharType="end"/>
              </w:r>
            </w:hyperlink>
            <w:r w:rsidRPr="000A4491">
              <w:rPr>
                <w:rFonts w:ascii="Verdana" w:hAnsi="Verdana"/>
                <w:sz w:val="20"/>
              </w:rPr>
              <w:t>)</w:t>
            </w:r>
          </w:p>
        </w:tc>
        <w:tc>
          <w:tcPr>
            <w:tcW w:w="5441" w:type="dxa"/>
          </w:tcPr>
          <w:p w14:paraId="16445B07" w14:textId="77777777" w:rsidR="00F935B1" w:rsidRPr="000A4491" w:rsidRDefault="00F935B1" w:rsidP="0083602C">
            <w:pPr>
              <w:rPr>
                <w:rFonts w:ascii="Verdana" w:hAnsi="Verdana"/>
                <w:sz w:val="20"/>
              </w:rPr>
            </w:pPr>
            <w:r w:rsidRPr="000A4491">
              <w:rPr>
                <w:rFonts w:ascii="Verdana" w:hAnsi="Verdana"/>
                <w:sz w:val="20"/>
              </w:rPr>
              <w:t>Reverse Directory Assistance</w:t>
            </w:r>
            <w:r w:rsidRPr="000A4491">
              <w:rPr>
                <w:rFonts w:ascii="Verdana" w:hAnsi="Verdana"/>
                <w:sz w:val="20"/>
              </w:rPr>
              <w:fldChar w:fldCharType="begin"/>
            </w:r>
            <w:r w:rsidRPr="000A4491">
              <w:rPr>
                <w:rFonts w:ascii="Verdana" w:hAnsi="Verdana"/>
                <w:sz w:val="20"/>
              </w:rPr>
              <w:instrText>xe "Reverse Directory Assistance"</w:instrText>
            </w:r>
            <w:r w:rsidRPr="000A4491">
              <w:rPr>
                <w:rFonts w:ascii="Verdana" w:hAnsi="Verdana"/>
                <w:sz w:val="20"/>
              </w:rPr>
              <w:fldChar w:fldCharType="end"/>
            </w:r>
            <w:r w:rsidRPr="000A4491">
              <w:rPr>
                <w:rFonts w:ascii="Verdana" w:hAnsi="Verdana"/>
                <w:sz w:val="20"/>
              </w:rPr>
              <w:t xml:space="preserve"> is a service that can use a phone number to provide the name and, in some cases, the address of the subscriber of that phone number.</w:t>
            </w:r>
          </w:p>
        </w:tc>
      </w:tr>
      <w:tr w:rsidR="00F935B1" w14:paraId="4C3BC08A" w14:textId="77777777" w:rsidTr="0083602C">
        <w:trPr>
          <w:tblCellSpacing w:w="15" w:type="dxa"/>
        </w:trPr>
        <w:tc>
          <w:tcPr>
            <w:tcW w:w="3656" w:type="dxa"/>
          </w:tcPr>
          <w:p w14:paraId="5263B91B" w14:textId="77777777" w:rsidR="00F935B1" w:rsidRPr="000A4491" w:rsidRDefault="00F935B1" w:rsidP="0083602C">
            <w:pPr>
              <w:rPr>
                <w:rFonts w:ascii="Verdana" w:hAnsi="Verdana"/>
                <w:sz w:val="20"/>
              </w:rPr>
            </w:pPr>
            <w:r w:rsidRPr="000A4491">
              <w:rPr>
                <w:rFonts w:ascii="Verdana" w:hAnsi="Verdana"/>
                <w:sz w:val="20"/>
              </w:rPr>
              <w:t>Router</w:t>
            </w:r>
            <w:r w:rsidRPr="000A4491">
              <w:rPr>
                <w:rFonts w:ascii="Verdana" w:hAnsi="Verdana"/>
                <w:sz w:val="20"/>
              </w:rPr>
              <w:fldChar w:fldCharType="begin"/>
            </w:r>
            <w:r w:rsidRPr="000A4491">
              <w:rPr>
                <w:rFonts w:ascii="Verdana" w:hAnsi="Verdana"/>
                <w:sz w:val="20"/>
              </w:rPr>
              <w:instrText>xe "Routers"</w:instrText>
            </w:r>
            <w:r w:rsidRPr="000A4491">
              <w:rPr>
                <w:rFonts w:ascii="Verdana" w:hAnsi="Verdana"/>
                <w:sz w:val="20"/>
              </w:rPr>
              <w:fldChar w:fldCharType="end"/>
            </w:r>
            <w:r w:rsidRPr="000A4491">
              <w:rPr>
                <w:rFonts w:ascii="Verdana" w:hAnsi="Verdana"/>
                <w:sz w:val="20"/>
              </w:rPr>
              <w:t xml:space="preserve"> </w:t>
            </w:r>
            <w:r w:rsidRPr="000A4491">
              <w:rPr>
                <w:rFonts w:ascii="Verdana" w:hAnsi="Verdana"/>
                <w:sz w:val="20"/>
              </w:rPr>
              <w:br/>
              <w:t>(</w:t>
            </w:r>
            <w:hyperlink w:anchor="aaDataDistribution" w:history="1">
              <w:r w:rsidRPr="000A4491">
                <w:rPr>
                  <w:rStyle w:val="Hyperlink"/>
                  <w:rFonts w:ascii="Verdana" w:hAnsi="Verdana"/>
                  <w:sz w:val="20"/>
                </w:rPr>
                <w:t>Data Distribution</w:t>
              </w:r>
              <w:r w:rsidRPr="000A4491">
                <w:rPr>
                  <w:rFonts w:ascii="Verdana" w:hAnsi="Verdana"/>
                  <w:sz w:val="20"/>
                </w:rPr>
                <w:fldChar w:fldCharType="begin"/>
              </w:r>
              <w:r w:rsidRPr="000A4491">
                <w:rPr>
                  <w:rFonts w:ascii="Verdana" w:hAnsi="Verdana"/>
                  <w:sz w:val="20"/>
                </w:rPr>
                <w:instrText>xe "Data Distribution"</w:instrText>
              </w:r>
              <w:r w:rsidRPr="000A4491">
                <w:rPr>
                  <w:rFonts w:ascii="Verdana" w:hAnsi="Verdana"/>
                  <w:sz w:val="20"/>
                </w:rPr>
                <w:fldChar w:fldCharType="end"/>
              </w:r>
            </w:hyperlink>
            <w:r w:rsidRPr="000A4491">
              <w:rPr>
                <w:rFonts w:ascii="Verdana" w:hAnsi="Verdana"/>
                <w:sz w:val="20"/>
              </w:rPr>
              <w:t>)</w:t>
            </w:r>
          </w:p>
        </w:tc>
        <w:tc>
          <w:tcPr>
            <w:tcW w:w="5441" w:type="dxa"/>
          </w:tcPr>
          <w:p w14:paraId="56C12F2D" w14:textId="77777777" w:rsidR="00F935B1" w:rsidRPr="000A4491" w:rsidRDefault="00F935B1" w:rsidP="0083602C">
            <w:pPr>
              <w:pStyle w:val="NormalWeb"/>
              <w:spacing w:before="0" w:beforeAutospacing="0" w:after="0"/>
              <w:rPr>
                <w:rFonts w:ascii="Verdana" w:hAnsi="Verdana"/>
                <w:sz w:val="20"/>
              </w:rPr>
            </w:pPr>
            <w:r w:rsidRPr="000A4491">
              <w:rPr>
                <w:rFonts w:ascii="Verdana" w:hAnsi="Verdana"/>
                <w:sz w:val="20"/>
              </w:rPr>
              <w:t>Routers</w:t>
            </w:r>
            <w:r w:rsidRPr="000A4491">
              <w:rPr>
                <w:rFonts w:ascii="Verdana" w:hAnsi="Verdana"/>
                <w:sz w:val="20"/>
              </w:rPr>
              <w:fldChar w:fldCharType="begin"/>
            </w:r>
            <w:r w:rsidRPr="000A4491">
              <w:rPr>
                <w:rFonts w:ascii="Verdana" w:hAnsi="Verdana"/>
                <w:sz w:val="20"/>
              </w:rPr>
              <w:instrText>xe "Routers"</w:instrText>
            </w:r>
            <w:r w:rsidRPr="000A4491">
              <w:rPr>
                <w:rFonts w:ascii="Verdana" w:hAnsi="Verdana"/>
                <w:sz w:val="20"/>
              </w:rPr>
              <w:fldChar w:fldCharType="end"/>
            </w:r>
            <w:r w:rsidRPr="000A4491">
              <w:rPr>
                <w:rFonts w:ascii="Verdana" w:hAnsi="Verdana"/>
                <w:sz w:val="20"/>
              </w:rPr>
              <w:t xml:space="preserve"> are switching devices that can act as an interface between two networks and connect different segments, such as departments or floors in a building.  Functionally, routers select the routing path for traffic, may provide features such as load balancing, and can provide trouble-shooting diagnostic capabilities.</w:t>
            </w:r>
          </w:p>
        </w:tc>
      </w:tr>
      <w:tr w:rsidR="00F935B1" w14:paraId="759A5D53" w14:textId="77777777" w:rsidTr="0083602C">
        <w:trPr>
          <w:tblCellSpacing w:w="15" w:type="dxa"/>
        </w:trPr>
        <w:tc>
          <w:tcPr>
            <w:tcW w:w="3656" w:type="dxa"/>
          </w:tcPr>
          <w:p w14:paraId="2B565D41" w14:textId="77777777" w:rsidR="00F935B1" w:rsidRPr="000A4491" w:rsidRDefault="00F935B1" w:rsidP="0083602C">
            <w:pPr>
              <w:rPr>
                <w:rFonts w:ascii="Verdana" w:hAnsi="Verdana"/>
                <w:sz w:val="20"/>
              </w:rPr>
            </w:pPr>
            <w:r w:rsidRPr="000A4491">
              <w:rPr>
                <w:rFonts w:ascii="Verdana" w:hAnsi="Verdana"/>
                <w:sz w:val="20"/>
              </w:rPr>
              <w:lastRenderedPageBreak/>
              <w:t>Satellite</w:t>
            </w:r>
            <w:r w:rsidRPr="000A4491">
              <w:rPr>
                <w:rFonts w:ascii="Verdana" w:hAnsi="Verdana"/>
                <w:sz w:val="20"/>
              </w:rPr>
              <w:fldChar w:fldCharType="begin"/>
            </w:r>
            <w:r w:rsidRPr="000A4491">
              <w:rPr>
                <w:rFonts w:ascii="Verdana" w:hAnsi="Verdana"/>
                <w:sz w:val="20"/>
              </w:rPr>
              <w:instrText>xe "</w:instrText>
            </w:r>
            <w:r w:rsidRPr="000A4491">
              <w:rPr>
                <w:rStyle w:val="Hyperlink"/>
                <w:rFonts w:ascii="Verdana" w:hAnsi="Verdana"/>
                <w:sz w:val="20"/>
              </w:rPr>
              <w:instrText>Satellite</w:instrText>
            </w:r>
            <w:r w:rsidRPr="000A4491">
              <w:rPr>
                <w:rFonts w:ascii="Verdana" w:hAnsi="Verdana"/>
                <w:sz w:val="20"/>
              </w:rPr>
              <w:instrText>"</w:instrText>
            </w:r>
            <w:r w:rsidRPr="000A4491">
              <w:rPr>
                <w:rFonts w:ascii="Verdana" w:hAnsi="Verdana"/>
                <w:sz w:val="20"/>
              </w:rPr>
              <w:fldChar w:fldCharType="end"/>
            </w:r>
            <w:r w:rsidRPr="000A4491">
              <w:rPr>
                <w:rFonts w:ascii="Verdana" w:hAnsi="Verdana"/>
                <w:sz w:val="20"/>
              </w:rPr>
              <w:t xml:space="preserve"> Dishes </w:t>
            </w:r>
            <w:r w:rsidRPr="000A4491">
              <w:rPr>
                <w:rFonts w:ascii="Verdana" w:hAnsi="Verdana"/>
                <w:sz w:val="20"/>
              </w:rPr>
              <w:br/>
              <w:t>(</w:t>
            </w:r>
            <w:hyperlink w:anchor="aaInterfacesGatewaysAntennas" w:history="1">
              <w:r w:rsidRPr="000A4491">
                <w:rPr>
                  <w:rStyle w:val="Hyperlink"/>
                  <w:rFonts w:ascii="Verdana" w:hAnsi="Verdana"/>
                  <w:sz w:val="20"/>
                </w:rPr>
                <w:t>Interfaces</w:t>
              </w:r>
              <w:r w:rsidRPr="000A4491">
                <w:rPr>
                  <w:rFonts w:ascii="Verdana" w:hAnsi="Verdana"/>
                  <w:sz w:val="20"/>
                </w:rPr>
                <w:fldChar w:fldCharType="begin"/>
              </w:r>
              <w:r w:rsidRPr="000A4491">
                <w:rPr>
                  <w:rFonts w:ascii="Verdana" w:hAnsi="Verdana"/>
                  <w:sz w:val="20"/>
                </w:rPr>
                <w:instrText>xe "</w:instrText>
              </w:r>
              <w:r w:rsidRPr="000A4491">
                <w:rPr>
                  <w:rFonts w:ascii="Verdana" w:hAnsi="Verdana"/>
                  <w:bCs/>
                  <w:sz w:val="20"/>
                </w:rPr>
                <w:instrText>Interfaces</w:instrText>
              </w:r>
              <w:r w:rsidRPr="000A4491">
                <w:rPr>
                  <w:rFonts w:ascii="Verdana" w:hAnsi="Verdana"/>
                  <w:sz w:val="20"/>
                </w:rPr>
                <w:instrText>"</w:instrText>
              </w:r>
              <w:r w:rsidRPr="000A4491">
                <w:rPr>
                  <w:rFonts w:ascii="Verdana" w:hAnsi="Verdana"/>
                  <w:sz w:val="20"/>
                </w:rPr>
                <w:fldChar w:fldCharType="end"/>
              </w:r>
            </w:hyperlink>
            <w:r w:rsidRPr="000A4491">
              <w:rPr>
                <w:rFonts w:ascii="Verdana" w:hAnsi="Verdana"/>
                <w:sz w:val="20"/>
              </w:rPr>
              <w:t>)</w:t>
            </w:r>
          </w:p>
        </w:tc>
        <w:tc>
          <w:tcPr>
            <w:tcW w:w="5441" w:type="dxa"/>
          </w:tcPr>
          <w:p w14:paraId="2B444867" w14:textId="77777777" w:rsidR="00F935B1" w:rsidRPr="000A4491" w:rsidRDefault="00F935B1" w:rsidP="0083602C">
            <w:pPr>
              <w:pStyle w:val="NormalWeb"/>
              <w:spacing w:before="0" w:beforeAutospacing="0" w:after="0"/>
              <w:rPr>
                <w:rFonts w:ascii="Verdana" w:hAnsi="Verdana"/>
                <w:sz w:val="20"/>
              </w:rPr>
            </w:pPr>
            <w:r w:rsidRPr="000A4491">
              <w:rPr>
                <w:rFonts w:ascii="Verdana" w:hAnsi="Verdana"/>
                <w:sz w:val="20"/>
              </w:rPr>
              <w:t>Satellite</w:t>
            </w:r>
            <w:r w:rsidRPr="000A4491">
              <w:rPr>
                <w:rFonts w:ascii="Verdana" w:hAnsi="Verdana"/>
                <w:sz w:val="20"/>
              </w:rPr>
              <w:fldChar w:fldCharType="begin"/>
            </w:r>
            <w:r w:rsidRPr="000A4491">
              <w:rPr>
                <w:rFonts w:ascii="Verdana" w:hAnsi="Verdana"/>
                <w:sz w:val="20"/>
              </w:rPr>
              <w:instrText>xe "</w:instrText>
            </w:r>
            <w:r w:rsidRPr="000A4491">
              <w:rPr>
                <w:rStyle w:val="Hyperlink"/>
                <w:rFonts w:ascii="Verdana" w:hAnsi="Verdana"/>
                <w:sz w:val="20"/>
              </w:rPr>
              <w:instrText>Satellite</w:instrText>
            </w:r>
            <w:r w:rsidRPr="000A4491">
              <w:rPr>
                <w:rFonts w:ascii="Verdana" w:hAnsi="Verdana"/>
                <w:sz w:val="20"/>
              </w:rPr>
              <w:instrText>"</w:instrText>
            </w:r>
            <w:r w:rsidRPr="000A4491">
              <w:rPr>
                <w:rFonts w:ascii="Verdana" w:hAnsi="Verdana"/>
                <w:sz w:val="20"/>
              </w:rPr>
              <w:fldChar w:fldCharType="end"/>
            </w:r>
            <w:r w:rsidRPr="000A4491">
              <w:rPr>
                <w:rFonts w:ascii="Verdana" w:hAnsi="Verdana"/>
                <w:sz w:val="20"/>
              </w:rPr>
              <w:t xml:space="preserve"> Dishes are antennas</w:t>
            </w:r>
            <w:r w:rsidRPr="000A4491">
              <w:rPr>
                <w:rFonts w:ascii="Verdana" w:hAnsi="Verdana"/>
                <w:sz w:val="20"/>
              </w:rPr>
              <w:fldChar w:fldCharType="begin"/>
            </w:r>
            <w:r w:rsidRPr="000A4491">
              <w:rPr>
                <w:rFonts w:ascii="Verdana" w:hAnsi="Verdana"/>
                <w:sz w:val="20"/>
              </w:rPr>
              <w:instrText>xe "Antennas"</w:instrText>
            </w:r>
            <w:r w:rsidRPr="000A4491">
              <w:rPr>
                <w:rFonts w:ascii="Verdana" w:hAnsi="Verdana"/>
                <w:sz w:val="20"/>
              </w:rPr>
              <w:fldChar w:fldCharType="end"/>
            </w:r>
            <w:r w:rsidRPr="000A4491">
              <w:rPr>
                <w:rFonts w:ascii="Verdana" w:hAnsi="Verdana"/>
                <w:sz w:val="20"/>
              </w:rPr>
              <w:t xml:space="preserve"> capable of receiving signals from and, in some cases, transmitting signals to communications satellites</w:t>
            </w:r>
            <w:r w:rsidRPr="000A4491">
              <w:rPr>
                <w:rFonts w:ascii="Verdana" w:hAnsi="Verdana"/>
                <w:sz w:val="20"/>
              </w:rPr>
              <w:fldChar w:fldCharType="begin"/>
            </w:r>
            <w:r w:rsidRPr="000A4491">
              <w:rPr>
                <w:rFonts w:ascii="Verdana" w:hAnsi="Verdana"/>
                <w:sz w:val="20"/>
              </w:rPr>
              <w:instrText>xe "Satellite"</w:instrText>
            </w:r>
            <w:r w:rsidRPr="000A4491">
              <w:rPr>
                <w:rFonts w:ascii="Verdana" w:hAnsi="Verdana"/>
                <w:sz w:val="20"/>
              </w:rPr>
              <w:fldChar w:fldCharType="end"/>
            </w:r>
            <w:r w:rsidRPr="000A4491">
              <w:rPr>
                <w:rFonts w:ascii="Verdana" w:hAnsi="Verdana"/>
                <w:sz w:val="20"/>
              </w:rPr>
              <w:t>.</w:t>
            </w:r>
          </w:p>
        </w:tc>
      </w:tr>
      <w:tr w:rsidR="00F935B1" w14:paraId="5D1C8B6D" w14:textId="77777777" w:rsidTr="0083602C">
        <w:trPr>
          <w:tblCellSpacing w:w="15" w:type="dxa"/>
        </w:trPr>
        <w:tc>
          <w:tcPr>
            <w:tcW w:w="3656" w:type="dxa"/>
          </w:tcPr>
          <w:p w14:paraId="3DFB250D" w14:textId="77777777" w:rsidR="00F935B1" w:rsidRPr="000A4491" w:rsidRDefault="00F935B1" w:rsidP="0083602C">
            <w:pPr>
              <w:rPr>
                <w:rFonts w:ascii="Verdana" w:hAnsi="Verdana"/>
                <w:sz w:val="20"/>
                <w:lang w:val="fr-FR"/>
              </w:rPr>
            </w:pPr>
            <w:r w:rsidRPr="000A4491">
              <w:rPr>
                <w:rFonts w:ascii="Verdana" w:hAnsi="Verdana"/>
                <w:sz w:val="20"/>
                <w:lang w:val="fr-FR"/>
              </w:rPr>
              <w:t>Satellite</w:t>
            </w:r>
            <w:r w:rsidRPr="000A4491">
              <w:rPr>
                <w:rFonts w:ascii="Verdana" w:hAnsi="Verdana"/>
                <w:sz w:val="20"/>
                <w:lang w:val="fr-FR"/>
              </w:rPr>
              <w:fldChar w:fldCharType="begin"/>
            </w:r>
            <w:r w:rsidRPr="000A4491">
              <w:rPr>
                <w:rFonts w:ascii="Verdana" w:hAnsi="Verdana"/>
                <w:sz w:val="20"/>
                <w:lang w:val="fr-FR"/>
              </w:rPr>
              <w:instrText>xe "</w:instrText>
            </w:r>
            <w:r w:rsidRPr="000A4491">
              <w:rPr>
                <w:rStyle w:val="Hyperlink"/>
                <w:rFonts w:ascii="Verdana" w:hAnsi="Verdana"/>
                <w:sz w:val="20"/>
                <w:lang w:val="fr-FR"/>
              </w:rPr>
              <w:instrText>Satellite</w:instrText>
            </w:r>
            <w:r w:rsidRPr="000A4491">
              <w:rPr>
                <w:rFonts w:ascii="Verdana" w:hAnsi="Verdana"/>
                <w:sz w:val="20"/>
                <w:lang w:val="fr-FR"/>
              </w:rPr>
              <w:instrText>"</w:instrText>
            </w:r>
            <w:r w:rsidRPr="000A4491">
              <w:rPr>
                <w:rFonts w:ascii="Verdana" w:hAnsi="Verdana"/>
                <w:sz w:val="20"/>
                <w:lang w:val="fr-FR"/>
              </w:rPr>
              <w:fldChar w:fldCharType="end"/>
            </w:r>
            <w:r w:rsidRPr="000A4491">
              <w:rPr>
                <w:rFonts w:ascii="Verdana" w:hAnsi="Verdana"/>
                <w:sz w:val="20"/>
                <w:lang w:val="fr-FR"/>
              </w:rPr>
              <w:t xml:space="preserve"> Service</w:t>
            </w:r>
          </w:p>
          <w:p w14:paraId="66C92CC7" w14:textId="77777777" w:rsidR="00F935B1" w:rsidRPr="000A4491" w:rsidRDefault="00F935B1" w:rsidP="0083602C">
            <w:pPr>
              <w:rPr>
                <w:rFonts w:ascii="Verdana" w:hAnsi="Verdana"/>
                <w:sz w:val="20"/>
                <w:lang w:val="fr-FR"/>
              </w:rPr>
            </w:pPr>
            <w:r w:rsidRPr="000A4491">
              <w:rPr>
                <w:rFonts w:ascii="Verdana" w:hAnsi="Verdana"/>
                <w:sz w:val="20"/>
                <w:lang w:val="fr-FR"/>
              </w:rPr>
              <w:t>(</w:t>
            </w:r>
            <w:hyperlink w:anchor="aattDigitalTransmissionServices" w:history="1">
              <w:r w:rsidRPr="000A4491">
                <w:rPr>
                  <w:rStyle w:val="Hyperlink"/>
                  <w:rFonts w:ascii="Verdana" w:hAnsi="Verdana"/>
                  <w:sz w:val="20"/>
                  <w:lang w:val="fr-FR"/>
                </w:rPr>
                <w:t>Digital Transmission Services</w:t>
              </w:r>
            </w:hyperlink>
            <w:r w:rsidRPr="000A4491">
              <w:rPr>
                <w:rFonts w:ascii="Verdana" w:hAnsi="Verdana"/>
                <w:sz w:val="20"/>
                <w:lang w:val="fr-FR"/>
              </w:rPr>
              <w:t>)</w:t>
            </w:r>
          </w:p>
        </w:tc>
        <w:tc>
          <w:tcPr>
            <w:tcW w:w="5441" w:type="dxa"/>
          </w:tcPr>
          <w:p w14:paraId="4EC7ABF4" w14:textId="77777777" w:rsidR="00F935B1" w:rsidRPr="000A4491" w:rsidRDefault="00F935B1" w:rsidP="0083602C">
            <w:pPr>
              <w:rPr>
                <w:rFonts w:ascii="Verdana" w:hAnsi="Verdana"/>
                <w:sz w:val="20"/>
              </w:rPr>
            </w:pPr>
            <w:r w:rsidRPr="000A4491">
              <w:rPr>
                <w:rFonts w:ascii="Verdana" w:hAnsi="Verdana"/>
                <w:sz w:val="20"/>
              </w:rPr>
              <w:t>Satellite</w:t>
            </w:r>
            <w:r w:rsidRPr="000A4491">
              <w:rPr>
                <w:rFonts w:ascii="Verdana" w:hAnsi="Verdana"/>
                <w:sz w:val="20"/>
              </w:rPr>
              <w:fldChar w:fldCharType="begin"/>
            </w:r>
            <w:r w:rsidRPr="000A4491">
              <w:rPr>
                <w:rFonts w:ascii="Verdana" w:hAnsi="Verdana"/>
                <w:sz w:val="20"/>
              </w:rPr>
              <w:instrText>xe "</w:instrText>
            </w:r>
            <w:r w:rsidRPr="000A4491">
              <w:rPr>
                <w:rStyle w:val="Hyperlink"/>
                <w:rFonts w:ascii="Verdana" w:hAnsi="Verdana"/>
                <w:sz w:val="20"/>
              </w:rPr>
              <w:instrText>Satellite</w:instrText>
            </w:r>
            <w:r w:rsidRPr="000A4491">
              <w:rPr>
                <w:rFonts w:ascii="Verdana" w:hAnsi="Verdana"/>
                <w:sz w:val="20"/>
              </w:rPr>
              <w:instrText>"</w:instrText>
            </w:r>
            <w:r w:rsidRPr="000A4491">
              <w:rPr>
                <w:rFonts w:ascii="Verdana" w:hAnsi="Verdana"/>
                <w:sz w:val="20"/>
              </w:rPr>
              <w:fldChar w:fldCharType="end"/>
            </w:r>
            <w:r w:rsidRPr="000A4491">
              <w:rPr>
                <w:rFonts w:ascii="Verdana" w:hAnsi="Verdana"/>
                <w:sz w:val="20"/>
              </w:rPr>
              <w:t xml:space="preserve"> service provides communication between points on Earth by using an orbiting satellite</w:t>
            </w:r>
            <w:r w:rsidRPr="000A4491">
              <w:rPr>
                <w:rFonts w:ascii="Verdana" w:hAnsi="Verdana"/>
                <w:sz w:val="20"/>
              </w:rPr>
              <w:fldChar w:fldCharType="begin"/>
            </w:r>
            <w:r w:rsidRPr="000A4491">
              <w:rPr>
                <w:rFonts w:ascii="Verdana" w:hAnsi="Verdana"/>
                <w:sz w:val="20"/>
              </w:rPr>
              <w:instrText>xe "Satellite"</w:instrText>
            </w:r>
            <w:r w:rsidRPr="000A4491">
              <w:rPr>
                <w:rFonts w:ascii="Verdana" w:hAnsi="Verdana"/>
                <w:sz w:val="20"/>
              </w:rPr>
              <w:fldChar w:fldCharType="end"/>
            </w:r>
            <w:r w:rsidRPr="000A4491">
              <w:rPr>
                <w:rFonts w:ascii="Verdana" w:hAnsi="Verdana"/>
                <w:sz w:val="20"/>
              </w:rPr>
              <w:t xml:space="preserve"> as a communications relay point.</w:t>
            </w:r>
          </w:p>
        </w:tc>
      </w:tr>
      <w:tr w:rsidR="00F935B1" w14:paraId="4126E8B6" w14:textId="77777777" w:rsidTr="0083602C">
        <w:trPr>
          <w:tblCellSpacing w:w="15" w:type="dxa"/>
        </w:trPr>
        <w:tc>
          <w:tcPr>
            <w:tcW w:w="3656" w:type="dxa"/>
          </w:tcPr>
          <w:p w14:paraId="2B1DC1FF" w14:textId="77777777" w:rsidR="00F935B1" w:rsidRPr="000A4491" w:rsidRDefault="00F935B1" w:rsidP="0083602C">
            <w:pPr>
              <w:rPr>
                <w:rFonts w:ascii="Verdana" w:hAnsi="Verdana"/>
                <w:sz w:val="20"/>
              </w:rPr>
            </w:pPr>
            <w:r w:rsidRPr="000A4491">
              <w:rPr>
                <w:rFonts w:ascii="Verdana" w:hAnsi="Verdana"/>
                <w:sz w:val="20"/>
              </w:rPr>
              <w:t>Servers</w:t>
            </w:r>
          </w:p>
          <w:p w14:paraId="2FA80E9B" w14:textId="77777777" w:rsidR="00F935B1" w:rsidRPr="000A4491" w:rsidRDefault="00F935B1" w:rsidP="0083602C">
            <w:pPr>
              <w:rPr>
                <w:rFonts w:ascii="Verdana" w:hAnsi="Verdana"/>
                <w:sz w:val="20"/>
              </w:rPr>
            </w:pPr>
            <w:r w:rsidRPr="000A4491">
              <w:rPr>
                <w:rFonts w:ascii="Verdana" w:hAnsi="Verdana"/>
                <w:sz w:val="20"/>
              </w:rPr>
              <w:t>(</w:t>
            </w:r>
            <w:hyperlink w:anchor="aaServers" w:history="1">
              <w:r w:rsidRPr="000A4491">
                <w:rPr>
                  <w:rStyle w:val="Hyperlink"/>
                  <w:rFonts w:ascii="Verdana" w:hAnsi="Verdana"/>
                  <w:sz w:val="20"/>
                </w:rPr>
                <w:t>Servers</w:t>
              </w:r>
              <w:r w:rsidRPr="000A4491">
                <w:rPr>
                  <w:rFonts w:ascii="Verdana" w:hAnsi="Verdana"/>
                  <w:sz w:val="20"/>
                </w:rPr>
                <w:fldChar w:fldCharType="begin"/>
              </w:r>
              <w:r w:rsidRPr="000A4491">
                <w:rPr>
                  <w:rFonts w:ascii="Verdana" w:hAnsi="Verdana"/>
                  <w:sz w:val="20"/>
                </w:rPr>
                <w:instrText>xe "Servers"</w:instrText>
              </w:r>
              <w:r w:rsidRPr="000A4491">
                <w:rPr>
                  <w:rFonts w:ascii="Verdana" w:hAnsi="Verdana"/>
                  <w:sz w:val="20"/>
                </w:rPr>
                <w:fldChar w:fldCharType="end"/>
              </w:r>
            </w:hyperlink>
            <w:r w:rsidRPr="000A4491">
              <w:rPr>
                <w:rFonts w:ascii="Verdana" w:hAnsi="Verdana"/>
                <w:sz w:val="20"/>
              </w:rPr>
              <w:t>)</w:t>
            </w:r>
          </w:p>
        </w:tc>
        <w:tc>
          <w:tcPr>
            <w:tcW w:w="5441" w:type="dxa"/>
          </w:tcPr>
          <w:p w14:paraId="5D452846" w14:textId="77777777" w:rsidR="00F935B1" w:rsidRPr="000A4491" w:rsidRDefault="00F935B1" w:rsidP="0083602C">
            <w:pPr>
              <w:pStyle w:val="NormalWeb"/>
              <w:spacing w:before="0" w:beforeAutospacing="0" w:after="0"/>
              <w:rPr>
                <w:rFonts w:ascii="Verdana" w:hAnsi="Verdana"/>
                <w:bCs/>
                <w:sz w:val="20"/>
              </w:rPr>
            </w:pPr>
            <w:r w:rsidRPr="000A4491">
              <w:rPr>
                <w:rFonts w:ascii="Verdana" w:hAnsi="Verdana"/>
                <w:bCs/>
                <w:sz w:val="20"/>
              </w:rPr>
              <w:t>Servers</w:t>
            </w:r>
            <w:r w:rsidRPr="000A4491">
              <w:rPr>
                <w:rFonts w:ascii="Verdana" w:hAnsi="Verdana"/>
                <w:sz w:val="20"/>
              </w:rPr>
              <w:fldChar w:fldCharType="begin"/>
            </w:r>
            <w:r w:rsidRPr="000A4491">
              <w:rPr>
                <w:rFonts w:ascii="Verdana" w:hAnsi="Verdana"/>
                <w:sz w:val="20"/>
              </w:rPr>
              <w:instrText>xe "Servers"</w:instrText>
            </w:r>
            <w:r w:rsidRPr="000A4491">
              <w:rPr>
                <w:rFonts w:ascii="Verdana" w:hAnsi="Verdana"/>
                <w:sz w:val="20"/>
              </w:rPr>
              <w:fldChar w:fldCharType="end"/>
            </w:r>
            <w:r w:rsidRPr="000A4491">
              <w:rPr>
                <w:rFonts w:ascii="Verdana" w:hAnsi="Verdana"/>
                <w:bCs/>
                <w:sz w:val="20"/>
              </w:rPr>
              <w:t xml:space="preserve"> are computers on a local area network</w:t>
            </w:r>
            <w:r w:rsidRPr="000A4491">
              <w:rPr>
                <w:rFonts w:ascii="Verdana" w:hAnsi="Verdana"/>
                <w:sz w:val="20"/>
              </w:rPr>
              <w:fldChar w:fldCharType="begin"/>
            </w:r>
            <w:r w:rsidRPr="000A4491">
              <w:rPr>
                <w:rFonts w:ascii="Verdana" w:hAnsi="Verdana"/>
                <w:sz w:val="20"/>
              </w:rPr>
              <w:instrText>xe "L</w:instrText>
            </w:r>
            <w:r w:rsidRPr="000A4491">
              <w:rPr>
                <w:rStyle w:val="Hyperlink"/>
                <w:rFonts w:ascii="Verdana" w:hAnsi="Verdana"/>
                <w:bCs/>
                <w:sz w:val="20"/>
              </w:rPr>
              <w:instrText>ocal Area Networks</w:instrText>
            </w:r>
            <w:r w:rsidRPr="000A4491">
              <w:rPr>
                <w:rFonts w:ascii="Verdana" w:hAnsi="Verdana"/>
                <w:sz w:val="20"/>
              </w:rPr>
              <w:instrText>"</w:instrText>
            </w:r>
            <w:r w:rsidRPr="000A4491">
              <w:rPr>
                <w:rFonts w:ascii="Verdana" w:hAnsi="Verdana"/>
                <w:sz w:val="20"/>
              </w:rPr>
              <w:fldChar w:fldCharType="end"/>
            </w:r>
            <w:r w:rsidRPr="000A4491">
              <w:rPr>
                <w:rFonts w:ascii="Verdana" w:hAnsi="Verdana"/>
                <w:bCs/>
                <w:sz w:val="20"/>
              </w:rPr>
              <w:t xml:space="preserve"> that can provide access to files, software</w:t>
            </w:r>
            <w:r w:rsidRPr="000A4491">
              <w:rPr>
                <w:rFonts w:ascii="Verdana" w:hAnsi="Verdana"/>
                <w:sz w:val="20"/>
              </w:rPr>
              <w:fldChar w:fldCharType="begin"/>
            </w:r>
            <w:r w:rsidRPr="000A4491">
              <w:rPr>
                <w:rFonts w:ascii="Verdana" w:hAnsi="Verdana"/>
                <w:sz w:val="20"/>
              </w:rPr>
              <w:instrText>xe "Software"</w:instrText>
            </w:r>
            <w:r w:rsidRPr="000A4491">
              <w:rPr>
                <w:rFonts w:ascii="Verdana" w:hAnsi="Verdana"/>
                <w:sz w:val="20"/>
              </w:rPr>
              <w:fldChar w:fldCharType="end"/>
            </w:r>
            <w:r w:rsidRPr="000A4491">
              <w:rPr>
                <w:rFonts w:ascii="Verdana" w:hAnsi="Verdana"/>
                <w:bCs/>
                <w:sz w:val="20"/>
              </w:rPr>
              <w:t>, printers, or other features that are shared among multiple users.</w:t>
            </w:r>
          </w:p>
        </w:tc>
      </w:tr>
      <w:tr w:rsidR="00F935B1" w14:paraId="5BCBF97F" w14:textId="77777777" w:rsidTr="0083602C">
        <w:trPr>
          <w:tblCellSpacing w:w="15" w:type="dxa"/>
        </w:trPr>
        <w:tc>
          <w:tcPr>
            <w:tcW w:w="3656" w:type="dxa"/>
          </w:tcPr>
          <w:p w14:paraId="0CBA5B72" w14:textId="77777777" w:rsidR="00F935B1" w:rsidRPr="000A4491" w:rsidRDefault="00F935B1" w:rsidP="0083602C">
            <w:pPr>
              <w:rPr>
                <w:rFonts w:ascii="Verdana" w:hAnsi="Verdana"/>
                <w:sz w:val="20"/>
              </w:rPr>
            </w:pPr>
            <w:r w:rsidRPr="000A4491">
              <w:rPr>
                <w:rFonts w:ascii="Verdana" w:hAnsi="Verdana"/>
                <w:sz w:val="20"/>
              </w:rPr>
              <w:t>Shipping Charges</w:t>
            </w:r>
            <w:r w:rsidRPr="000A4491">
              <w:rPr>
                <w:rFonts w:ascii="Verdana" w:hAnsi="Verdana"/>
                <w:sz w:val="20"/>
              </w:rPr>
              <w:fldChar w:fldCharType="begin"/>
            </w:r>
            <w:r w:rsidRPr="000A4491">
              <w:rPr>
                <w:rFonts w:ascii="Verdana" w:hAnsi="Verdana"/>
                <w:sz w:val="20"/>
              </w:rPr>
              <w:instrText>xe "Shipping Charges"</w:instrText>
            </w:r>
            <w:r w:rsidRPr="000A4491">
              <w:rPr>
                <w:rFonts w:ascii="Verdana" w:hAnsi="Verdana"/>
                <w:sz w:val="20"/>
              </w:rPr>
              <w:fldChar w:fldCharType="end"/>
            </w:r>
            <w:r w:rsidRPr="000A4491">
              <w:rPr>
                <w:rFonts w:ascii="Verdana" w:hAnsi="Verdana"/>
                <w:sz w:val="20"/>
              </w:rPr>
              <w:t xml:space="preserve"> (</w:t>
            </w:r>
            <w:hyperlink w:anchor="MiscMiscellaneousFeesAndCharges" w:history="1">
              <w:r w:rsidRPr="000A4491">
                <w:rPr>
                  <w:rStyle w:val="Hyperlink"/>
                  <w:rFonts w:ascii="Verdana" w:hAnsi="Verdana"/>
                  <w:sz w:val="20"/>
                </w:rPr>
                <w:t>Miscellaneous Fees and Charges</w:t>
              </w:r>
            </w:hyperlink>
            <w:r w:rsidRPr="000A4491">
              <w:rPr>
                <w:rFonts w:ascii="Verdana" w:hAnsi="Verdana"/>
                <w:sz w:val="20"/>
              </w:rPr>
              <w:t>)</w:t>
            </w:r>
          </w:p>
        </w:tc>
        <w:tc>
          <w:tcPr>
            <w:tcW w:w="5441" w:type="dxa"/>
          </w:tcPr>
          <w:p w14:paraId="6452E945" w14:textId="77777777" w:rsidR="00F935B1" w:rsidRPr="000A4491" w:rsidRDefault="00F935B1" w:rsidP="0083602C">
            <w:pPr>
              <w:pStyle w:val="NormalWeb"/>
              <w:spacing w:before="0" w:beforeAutospacing="0" w:after="0"/>
              <w:rPr>
                <w:rFonts w:ascii="Verdana" w:hAnsi="Verdana"/>
                <w:bCs/>
                <w:sz w:val="20"/>
              </w:rPr>
            </w:pPr>
            <w:r w:rsidRPr="000A4491">
              <w:rPr>
                <w:rFonts w:ascii="Verdana" w:hAnsi="Verdana"/>
                <w:sz w:val="20"/>
              </w:rPr>
              <w:t>Shipping Charges</w:t>
            </w:r>
            <w:r w:rsidRPr="000A4491">
              <w:rPr>
                <w:rFonts w:ascii="Verdana" w:hAnsi="Verdana"/>
                <w:sz w:val="20"/>
              </w:rPr>
              <w:fldChar w:fldCharType="begin"/>
            </w:r>
            <w:r w:rsidRPr="000A4491">
              <w:rPr>
                <w:rFonts w:ascii="Verdana" w:hAnsi="Verdana"/>
                <w:sz w:val="20"/>
              </w:rPr>
              <w:instrText>xe "Shipping Charges"</w:instrText>
            </w:r>
            <w:r w:rsidRPr="000A4491">
              <w:rPr>
                <w:rFonts w:ascii="Verdana" w:hAnsi="Verdana"/>
                <w:sz w:val="20"/>
              </w:rPr>
              <w:fldChar w:fldCharType="end"/>
            </w:r>
            <w:r w:rsidRPr="000A4491">
              <w:rPr>
                <w:rFonts w:ascii="Verdana" w:hAnsi="Verdana"/>
                <w:sz w:val="20"/>
              </w:rPr>
              <w:t xml:space="preserve"> are the charges associated with the delivery of products from their point of origin to the customer premises.</w:t>
            </w:r>
          </w:p>
        </w:tc>
      </w:tr>
      <w:tr w:rsidR="00F935B1" w14:paraId="523DE560" w14:textId="77777777" w:rsidTr="0083602C">
        <w:trPr>
          <w:tblCellSpacing w:w="15" w:type="dxa"/>
        </w:trPr>
        <w:tc>
          <w:tcPr>
            <w:tcW w:w="3656" w:type="dxa"/>
          </w:tcPr>
          <w:p w14:paraId="3B2F5986" w14:textId="77777777" w:rsidR="00F935B1" w:rsidRPr="000A4491" w:rsidRDefault="00F935B1" w:rsidP="0083602C">
            <w:pPr>
              <w:rPr>
                <w:rFonts w:ascii="Verdana" w:hAnsi="Verdana"/>
                <w:sz w:val="20"/>
              </w:rPr>
            </w:pPr>
            <w:r w:rsidRPr="000A4491">
              <w:rPr>
                <w:rFonts w:ascii="Verdana" w:hAnsi="Verdana"/>
                <w:sz w:val="20"/>
              </w:rPr>
              <w:t>Smartphone</w:t>
            </w:r>
          </w:p>
          <w:p w14:paraId="228A4219" w14:textId="77777777" w:rsidR="00F935B1" w:rsidRPr="000A4491" w:rsidRDefault="00F935B1" w:rsidP="0083602C">
            <w:pPr>
              <w:rPr>
                <w:rFonts w:ascii="Verdana" w:hAnsi="Verdana"/>
                <w:sz w:val="20"/>
              </w:rPr>
            </w:pPr>
            <w:r w:rsidRPr="000A4491">
              <w:rPr>
                <w:rFonts w:ascii="Verdana" w:hAnsi="Verdana"/>
                <w:sz w:val="20"/>
              </w:rPr>
              <w:t>(</w:t>
            </w:r>
            <w:hyperlink w:anchor="aaIneligibleComponents" w:history="1">
              <w:r w:rsidRPr="000A4491">
                <w:rPr>
                  <w:rStyle w:val="Hyperlink"/>
                  <w:rFonts w:ascii="Verdana" w:hAnsi="Verdana"/>
                  <w:sz w:val="20"/>
                </w:rPr>
                <w:t>Not Eligible for E-rate Funding as Internal Connections Components</w:t>
              </w:r>
            </w:hyperlink>
            <w:r w:rsidRPr="000A4491">
              <w:rPr>
                <w:rFonts w:ascii="Verdana" w:hAnsi="Verdana"/>
                <w:sz w:val="20"/>
              </w:rPr>
              <w:t>)</w:t>
            </w:r>
          </w:p>
        </w:tc>
        <w:tc>
          <w:tcPr>
            <w:tcW w:w="5441" w:type="dxa"/>
          </w:tcPr>
          <w:p w14:paraId="2D167972" w14:textId="77777777" w:rsidR="00F935B1" w:rsidRPr="000A4491" w:rsidRDefault="00F935B1" w:rsidP="0083602C">
            <w:pPr>
              <w:pStyle w:val="NormalWeb"/>
              <w:spacing w:before="0" w:beforeAutospacing="0" w:after="0"/>
              <w:rPr>
                <w:rFonts w:ascii="Verdana" w:hAnsi="Verdana"/>
                <w:sz w:val="20"/>
              </w:rPr>
            </w:pPr>
            <w:r w:rsidRPr="000A4491">
              <w:rPr>
                <w:rFonts w:ascii="Verdana" w:hAnsi="Verdana"/>
                <w:sz w:val="20"/>
              </w:rPr>
              <w:t xml:space="preserve">Mobile phone that offers more advanced computing ability and connectivity than a contemporary feature phone. </w:t>
            </w:r>
          </w:p>
        </w:tc>
      </w:tr>
      <w:tr w:rsidR="00F935B1" w14:paraId="4FBE6D4C" w14:textId="77777777" w:rsidTr="0083602C">
        <w:trPr>
          <w:tblCellSpacing w:w="15" w:type="dxa"/>
        </w:trPr>
        <w:tc>
          <w:tcPr>
            <w:tcW w:w="3656" w:type="dxa"/>
          </w:tcPr>
          <w:p w14:paraId="2B958159" w14:textId="77777777" w:rsidR="00F935B1" w:rsidRPr="000A4491" w:rsidRDefault="00F935B1" w:rsidP="0083602C">
            <w:pPr>
              <w:rPr>
                <w:rFonts w:ascii="Verdana" w:hAnsi="Verdana"/>
                <w:sz w:val="20"/>
              </w:rPr>
            </w:pPr>
            <w:r w:rsidRPr="000A4491">
              <w:rPr>
                <w:rFonts w:ascii="Verdana" w:hAnsi="Verdana"/>
                <w:sz w:val="20"/>
              </w:rPr>
              <w:t>Softphone</w:t>
            </w:r>
          </w:p>
          <w:p w14:paraId="218FF545" w14:textId="77777777" w:rsidR="00F935B1" w:rsidRPr="000A4491" w:rsidRDefault="00F935B1" w:rsidP="0083602C">
            <w:pPr>
              <w:rPr>
                <w:rFonts w:ascii="Verdana" w:hAnsi="Verdana"/>
                <w:sz w:val="20"/>
              </w:rPr>
            </w:pPr>
            <w:r w:rsidRPr="000A4491">
              <w:rPr>
                <w:rFonts w:ascii="Verdana" w:hAnsi="Verdana"/>
                <w:sz w:val="20"/>
              </w:rPr>
              <w:t>(</w:t>
            </w:r>
            <w:hyperlink w:anchor="aaIneligibleComponents" w:history="1">
              <w:r w:rsidRPr="000A4491">
                <w:rPr>
                  <w:rStyle w:val="Hyperlink"/>
                  <w:rFonts w:ascii="Verdana" w:hAnsi="Verdana"/>
                  <w:sz w:val="20"/>
                </w:rPr>
                <w:t>Not Eligible for E-rate Funding as Internal Connections Components</w:t>
              </w:r>
            </w:hyperlink>
            <w:r w:rsidRPr="000A4491">
              <w:rPr>
                <w:rFonts w:ascii="Verdana" w:hAnsi="Verdana"/>
                <w:sz w:val="20"/>
              </w:rPr>
              <w:t>)</w:t>
            </w:r>
          </w:p>
        </w:tc>
        <w:tc>
          <w:tcPr>
            <w:tcW w:w="5441" w:type="dxa"/>
          </w:tcPr>
          <w:p w14:paraId="2AC12BEA" w14:textId="77777777" w:rsidR="00F935B1" w:rsidRPr="000A4491" w:rsidRDefault="00F935B1" w:rsidP="0083602C">
            <w:pPr>
              <w:pStyle w:val="NormalWeb"/>
              <w:spacing w:before="0" w:beforeAutospacing="0" w:after="0"/>
              <w:rPr>
                <w:rFonts w:ascii="Verdana" w:hAnsi="Verdana"/>
                <w:sz w:val="20"/>
              </w:rPr>
            </w:pPr>
            <w:r w:rsidRPr="000A4491">
              <w:rPr>
                <w:rFonts w:ascii="Verdana" w:hAnsi="Verdana"/>
                <w:bCs/>
                <w:sz w:val="20"/>
              </w:rPr>
              <w:t>A Softphone is end-user application software that allows users the use of a personal computer’s microphone and speakers to make telephone calls.</w:t>
            </w:r>
          </w:p>
        </w:tc>
      </w:tr>
      <w:tr w:rsidR="00F935B1" w14:paraId="0698A046" w14:textId="77777777" w:rsidTr="0083602C">
        <w:trPr>
          <w:tblCellSpacing w:w="15" w:type="dxa"/>
        </w:trPr>
        <w:tc>
          <w:tcPr>
            <w:tcW w:w="3656" w:type="dxa"/>
          </w:tcPr>
          <w:p w14:paraId="5773ECC7" w14:textId="77777777" w:rsidR="00F935B1" w:rsidRPr="000A4491" w:rsidRDefault="00F935B1" w:rsidP="0083602C">
            <w:pPr>
              <w:rPr>
                <w:rFonts w:ascii="Verdana" w:hAnsi="Verdana"/>
                <w:sz w:val="20"/>
              </w:rPr>
            </w:pPr>
            <w:r w:rsidRPr="000A4491">
              <w:rPr>
                <w:rFonts w:ascii="Verdana" w:hAnsi="Verdana"/>
                <w:sz w:val="20"/>
              </w:rPr>
              <w:t>Software</w:t>
            </w:r>
          </w:p>
          <w:p w14:paraId="154F64EA" w14:textId="77777777" w:rsidR="00F935B1" w:rsidRPr="000A4491" w:rsidRDefault="00F935B1" w:rsidP="0083602C">
            <w:pPr>
              <w:rPr>
                <w:rFonts w:ascii="Verdana" w:hAnsi="Verdana"/>
                <w:sz w:val="20"/>
              </w:rPr>
            </w:pPr>
            <w:r w:rsidRPr="000A4491">
              <w:rPr>
                <w:rFonts w:ascii="Verdana" w:hAnsi="Verdana"/>
                <w:sz w:val="20"/>
              </w:rPr>
              <w:t>(</w:t>
            </w:r>
            <w:hyperlink w:anchor="aaSoftware" w:history="1">
              <w:r w:rsidRPr="000A4491">
                <w:rPr>
                  <w:rStyle w:val="Hyperlink"/>
                  <w:rFonts w:ascii="Verdana" w:hAnsi="Verdana"/>
                  <w:sz w:val="20"/>
                </w:rPr>
                <w:t>Software</w:t>
              </w:r>
            </w:hyperlink>
            <w:r w:rsidRPr="000A4491">
              <w:rPr>
                <w:rFonts w:ascii="Verdana" w:hAnsi="Verdana"/>
                <w:sz w:val="20"/>
              </w:rPr>
              <w:t>)</w:t>
            </w:r>
          </w:p>
        </w:tc>
        <w:tc>
          <w:tcPr>
            <w:tcW w:w="5441" w:type="dxa"/>
          </w:tcPr>
          <w:p w14:paraId="21DF1796" w14:textId="77777777" w:rsidR="00F935B1" w:rsidRPr="000A4491" w:rsidRDefault="00F935B1" w:rsidP="0083602C">
            <w:pPr>
              <w:pStyle w:val="NormalWeb"/>
              <w:spacing w:before="0" w:beforeAutospacing="0" w:after="0"/>
              <w:rPr>
                <w:rFonts w:ascii="Verdana" w:hAnsi="Verdana"/>
                <w:bCs/>
                <w:sz w:val="20"/>
              </w:rPr>
            </w:pPr>
            <w:r w:rsidRPr="000A4491">
              <w:rPr>
                <w:rFonts w:ascii="Verdana" w:hAnsi="Verdana"/>
                <w:bCs/>
                <w:sz w:val="20"/>
              </w:rPr>
              <w:t>Software is distinct from physical computer hardware and refers to the detailed instructions that operate a computer.</w:t>
            </w:r>
          </w:p>
        </w:tc>
      </w:tr>
      <w:tr w:rsidR="00F935B1" w14:paraId="4A5D8CED" w14:textId="77777777" w:rsidTr="0083602C">
        <w:trPr>
          <w:tblCellSpacing w:w="15" w:type="dxa"/>
        </w:trPr>
        <w:tc>
          <w:tcPr>
            <w:tcW w:w="3656" w:type="dxa"/>
          </w:tcPr>
          <w:p w14:paraId="28495B8C" w14:textId="77777777" w:rsidR="00F935B1" w:rsidRPr="000A4491" w:rsidRDefault="00F935B1" w:rsidP="0083602C">
            <w:pPr>
              <w:rPr>
                <w:rFonts w:ascii="Verdana" w:hAnsi="Verdana"/>
                <w:sz w:val="20"/>
              </w:rPr>
            </w:pPr>
            <w:r w:rsidRPr="000A4491">
              <w:rPr>
                <w:rFonts w:ascii="Verdana" w:hAnsi="Verdana"/>
                <w:sz w:val="20"/>
              </w:rPr>
              <w:t xml:space="preserve">Spare Parts </w:t>
            </w:r>
            <w:r w:rsidRPr="000A4491">
              <w:rPr>
                <w:rFonts w:ascii="Verdana" w:hAnsi="Verdana"/>
                <w:sz w:val="20"/>
              </w:rPr>
              <w:br/>
              <w:t>(</w:t>
            </w:r>
            <w:hyperlink w:anchor="aaIneligibleComponents" w:history="1">
              <w:r w:rsidRPr="000A4491">
                <w:rPr>
                  <w:rStyle w:val="Hyperlink"/>
                  <w:rFonts w:ascii="Verdana" w:hAnsi="Verdana"/>
                  <w:sz w:val="20"/>
                </w:rPr>
                <w:t>Not Eligible for E-rate Funding as Internal Connections Components</w:t>
              </w:r>
            </w:hyperlink>
            <w:r w:rsidRPr="000A4491">
              <w:rPr>
                <w:rFonts w:ascii="Verdana" w:hAnsi="Verdana"/>
                <w:sz w:val="20"/>
              </w:rPr>
              <w:t>)</w:t>
            </w:r>
          </w:p>
        </w:tc>
        <w:tc>
          <w:tcPr>
            <w:tcW w:w="5441" w:type="dxa"/>
          </w:tcPr>
          <w:p w14:paraId="2149D397" w14:textId="77777777" w:rsidR="00F935B1" w:rsidRPr="000A4491" w:rsidRDefault="00F935B1" w:rsidP="0083602C">
            <w:pPr>
              <w:pStyle w:val="NormalWeb"/>
              <w:spacing w:before="0" w:beforeAutospacing="0" w:after="0"/>
              <w:rPr>
                <w:rFonts w:ascii="Verdana" w:hAnsi="Verdana"/>
                <w:sz w:val="20"/>
              </w:rPr>
            </w:pPr>
            <w:r w:rsidRPr="000A4491">
              <w:rPr>
                <w:rFonts w:ascii="Verdana" w:hAnsi="Verdana"/>
                <w:sz w:val="20"/>
              </w:rPr>
              <w:t>Spare parts</w:t>
            </w:r>
            <w:r w:rsidRPr="000A4491">
              <w:rPr>
                <w:rFonts w:ascii="Verdana" w:hAnsi="Verdana"/>
                <w:sz w:val="20"/>
              </w:rPr>
              <w:fldChar w:fldCharType="begin"/>
            </w:r>
            <w:r w:rsidRPr="000A4491">
              <w:rPr>
                <w:rFonts w:ascii="Verdana" w:hAnsi="Verdana"/>
                <w:sz w:val="20"/>
              </w:rPr>
              <w:instrText>xe "</w:instrText>
            </w:r>
            <w:r w:rsidRPr="000A4491">
              <w:rPr>
                <w:rStyle w:val="Hyperlink"/>
                <w:rFonts w:ascii="Verdana" w:hAnsi="Verdana"/>
                <w:bCs/>
                <w:sz w:val="20"/>
              </w:rPr>
              <w:instrText>Spare Parts</w:instrText>
            </w:r>
            <w:r w:rsidRPr="000A4491">
              <w:rPr>
                <w:rFonts w:ascii="Verdana" w:hAnsi="Verdana"/>
                <w:sz w:val="20"/>
              </w:rPr>
              <w:instrText>"</w:instrText>
            </w:r>
            <w:r w:rsidRPr="000A4491">
              <w:rPr>
                <w:rFonts w:ascii="Verdana" w:hAnsi="Verdana"/>
                <w:sz w:val="20"/>
              </w:rPr>
              <w:fldChar w:fldCharType="end"/>
            </w:r>
            <w:r w:rsidRPr="000A4491">
              <w:rPr>
                <w:rFonts w:ascii="Verdana" w:hAnsi="Verdana"/>
                <w:sz w:val="20"/>
              </w:rPr>
              <w:t xml:space="preserve"> are components on hand to replace hardware that fails.</w:t>
            </w:r>
          </w:p>
          <w:p w14:paraId="28471782" w14:textId="77777777" w:rsidR="00F935B1" w:rsidRPr="000A4491" w:rsidRDefault="00F935B1" w:rsidP="0083602C">
            <w:pPr>
              <w:pStyle w:val="NormalWeb"/>
              <w:spacing w:before="0" w:beforeAutospacing="0" w:after="0"/>
              <w:rPr>
                <w:rFonts w:ascii="Verdana" w:hAnsi="Verdana"/>
                <w:sz w:val="20"/>
              </w:rPr>
            </w:pPr>
          </w:p>
        </w:tc>
      </w:tr>
      <w:tr w:rsidR="00F935B1" w14:paraId="5AC304D6" w14:textId="77777777" w:rsidTr="0083602C">
        <w:trPr>
          <w:tblCellSpacing w:w="15" w:type="dxa"/>
        </w:trPr>
        <w:tc>
          <w:tcPr>
            <w:tcW w:w="3656" w:type="dxa"/>
          </w:tcPr>
          <w:p w14:paraId="01F42A81" w14:textId="77777777" w:rsidR="00F935B1" w:rsidRPr="000A4491" w:rsidRDefault="00F935B1" w:rsidP="0083602C">
            <w:pPr>
              <w:rPr>
                <w:rFonts w:ascii="Verdana" w:hAnsi="Verdana"/>
                <w:sz w:val="20"/>
              </w:rPr>
            </w:pPr>
            <w:r w:rsidRPr="000A4491">
              <w:rPr>
                <w:rFonts w:ascii="Verdana" w:hAnsi="Verdana"/>
                <w:sz w:val="20"/>
              </w:rPr>
              <w:t>Speakers</w:t>
            </w:r>
            <w:r w:rsidRPr="000A4491">
              <w:rPr>
                <w:rFonts w:ascii="Verdana" w:hAnsi="Verdana"/>
                <w:sz w:val="20"/>
              </w:rPr>
              <w:fldChar w:fldCharType="begin"/>
            </w:r>
            <w:r w:rsidRPr="000A4491">
              <w:rPr>
                <w:rFonts w:ascii="Verdana" w:hAnsi="Verdana"/>
                <w:sz w:val="20"/>
              </w:rPr>
              <w:instrText>xe "Speakers"</w:instrText>
            </w:r>
            <w:r w:rsidRPr="000A4491">
              <w:rPr>
                <w:rFonts w:ascii="Verdana" w:hAnsi="Verdana"/>
                <w:sz w:val="20"/>
              </w:rPr>
              <w:fldChar w:fldCharType="end"/>
            </w:r>
            <w:r w:rsidRPr="000A4491">
              <w:rPr>
                <w:rFonts w:ascii="Verdana" w:hAnsi="Verdana"/>
                <w:sz w:val="20"/>
              </w:rPr>
              <w:t xml:space="preserve"> </w:t>
            </w:r>
            <w:r w:rsidRPr="000A4491">
              <w:rPr>
                <w:rFonts w:ascii="Verdana" w:hAnsi="Verdana"/>
                <w:sz w:val="20"/>
              </w:rPr>
              <w:br/>
              <w:t>(</w:t>
            </w:r>
            <w:hyperlink w:anchor="aaIneligibleComponents" w:history="1">
              <w:r w:rsidRPr="000A4491">
                <w:rPr>
                  <w:rStyle w:val="Hyperlink"/>
                  <w:rFonts w:ascii="Verdana" w:hAnsi="Verdana"/>
                  <w:sz w:val="20"/>
                </w:rPr>
                <w:t>Not Eligible for E-rate Funding as Internal Connections Components</w:t>
              </w:r>
            </w:hyperlink>
            <w:r w:rsidRPr="000A4491">
              <w:rPr>
                <w:rFonts w:ascii="Verdana" w:hAnsi="Verdana"/>
                <w:sz w:val="20"/>
              </w:rPr>
              <w:t>)</w:t>
            </w:r>
          </w:p>
        </w:tc>
        <w:tc>
          <w:tcPr>
            <w:tcW w:w="5441" w:type="dxa"/>
          </w:tcPr>
          <w:p w14:paraId="0F0F5881" w14:textId="77777777" w:rsidR="00F935B1" w:rsidRPr="000A4491" w:rsidRDefault="00F935B1" w:rsidP="0083602C">
            <w:pPr>
              <w:pStyle w:val="NormalWeb"/>
              <w:spacing w:before="0" w:beforeAutospacing="0" w:after="0"/>
              <w:rPr>
                <w:rFonts w:ascii="Verdana" w:hAnsi="Verdana"/>
                <w:sz w:val="20"/>
              </w:rPr>
            </w:pPr>
            <w:r w:rsidRPr="000A4491">
              <w:rPr>
                <w:rFonts w:ascii="Verdana" w:hAnsi="Verdana"/>
                <w:sz w:val="20"/>
              </w:rPr>
              <w:t>Speakers</w:t>
            </w:r>
            <w:r w:rsidRPr="000A4491">
              <w:rPr>
                <w:rFonts w:ascii="Verdana" w:hAnsi="Verdana"/>
                <w:sz w:val="20"/>
              </w:rPr>
              <w:fldChar w:fldCharType="begin"/>
            </w:r>
            <w:r w:rsidRPr="000A4491">
              <w:rPr>
                <w:rFonts w:ascii="Verdana" w:hAnsi="Verdana"/>
                <w:sz w:val="20"/>
              </w:rPr>
              <w:instrText>xe "Speakers"</w:instrText>
            </w:r>
            <w:r w:rsidRPr="000A4491">
              <w:rPr>
                <w:rFonts w:ascii="Verdana" w:hAnsi="Verdana"/>
                <w:sz w:val="20"/>
              </w:rPr>
              <w:fldChar w:fldCharType="end"/>
            </w:r>
            <w:r w:rsidRPr="000A4491">
              <w:rPr>
                <w:rFonts w:ascii="Verdana" w:hAnsi="Verdana"/>
                <w:sz w:val="20"/>
              </w:rPr>
              <w:t xml:space="preserve"> are the components that provide sound from a computer, phone, intercom</w:t>
            </w:r>
            <w:r w:rsidRPr="000A4491">
              <w:rPr>
                <w:rFonts w:ascii="Verdana" w:hAnsi="Verdana"/>
                <w:sz w:val="20"/>
              </w:rPr>
              <w:fldChar w:fldCharType="begin"/>
            </w:r>
            <w:r w:rsidRPr="000A4491">
              <w:rPr>
                <w:rFonts w:ascii="Verdana" w:hAnsi="Verdana"/>
                <w:sz w:val="20"/>
              </w:rPr>
              <w:instrText>xe "I</w:instrText>
            </w:r>
            <w:r w:rsidRPr="000A4491">
              <w:rPr>
                <w:rStyle w:val="Hyperlink"/>
                <w:rFonts w:ascii="Verdana" w:hAnsi="Verdana"/>
                <w:bCs/>
                <w:sz w:val="20"/>
              </w:rPr>
              <w:instrText>ntercom</w:instrText>
            </w:r>
            <w:r w:rsidRPr="000A4491">
              <w:rPr>
                <w:rFonts w:ascii="Verdana" w:hAnsi="Verdana"/>
                <w:sz w:val="20"/>
              </w:rPr>
              <w:instrText>"</w:instrText>
            </w:r>
            <w:r w:rsidRPr="000A4491">
              <w:rPr>
                <w:rFonts w:ascii="Verdana" w:hAnsi="Verdana"/>
                <w:sz w:val="20"/>
              </w:rPr>
              <w:fldChar w:fldCharType="end"/>
            </w:r>
            <w:r w:rsidRPr="000A4491">
              <w:rPr>
                <w:rFonts w:ascii="Verdana" w:hAnsi="Verdana"/>
                <w:sz w:val="20"/>
              </w:rPr>
              <w:t>, or other device.</w:t>
            </w:r>
          </w:p>
        </w:tc>
      </w:tr>
      <w:tr w:rsidR="00F935B1" w14:paraId="0F413F1E" w14:textId="77777777" w:rsidTr="0083602C">
        <w:trPr>
          <w:tblCellSpacing w:w="15" w:type="dxa"/>
        </w:trPr>
        <w:tc>
          <w:tcPr>
            <w:tcW w:w="3656" w:type="dxa"/>
          </w:tcPr>
          <w:p w14:paraId="069D6A86" w14:textId="77777777" w:rsidR="00F935B1" w:rsidRPr="000A4491" w:rsidRDefault="00F935B1" w:rsidP="0083602C">
            <w:pPr>
              <w:rPr>
                <w:rFonts w:ascii="Verdana" w:hAnsi="Verdana"/>
                <w:sz w:val="20"/>
              </w:rPr>
            </w:pPr>
            <w:r w:rsidRPr="000A4491">
              <w:rPr>
                <w:rFonts w:ascii="Verdana" w:hAnsi="Verdana"/>
                <w:sz w:val="20"/>
              </w:rPr>
              <w:t>Station Message Detail Recording</w:t>
            </w:r>
            <w:r w:rsidRPr="000A4491">
              <w:rPr>
                <w:rFonts w:ascii="Verdana" w:hAnsi="Verdana"/>
                <w:sz w:val="20"/>
              </w:rPr>
              <w:fldChar w:fldCharType="begin"/>
            </w:r>
            <w:r w:rsidRPr="000A4491">
              <w:rPr>
                <w:rFonts w:ascii="Verdana" w:hAnsi="Verdana"/>
                <w:sz w:val="20"/>
              </w:rPr>
              <w:instrText>xe "</w:instrText>
            </w:r>
            <w:r w:rsidRPr="000A4491">
              <w:rPr>
                <w:rStyle w:val="Hyperlink"/>
                <w:rFonts w:ascii="Verdana" w:hAnsi="Verdana"/>
                <w:sz w:val="20"/>
              </w:rPr>
              <w:instrText>Station Message Detail Recording</w:instrText>
            </w:r>
            <w:r w:rsidRPr="000A4491">
              <w:rPr>
                <w:rFonts w:ascii="Verdana" w:hAnsi="Verdana"/>
                <w:sz w:val="20"/>
              </w:rPr>
              <w:instrText>"</w:instrText>
            </w:r>
            <w:r w:rsidRPr="000A4491">
              <w:rPr>
                <w:rFonts w:ascii="Verdana" w:hAnsi="Verdana"/>
                <w:sz w:val="20"/>
              </w:rPr>
              <w:fldChar w:fldCharType="end"/>
            </w:r>
            <w:r w:rsidRPr="000A4491">
              <w:rPr>
                <w:rFonts w:ascii="Verdana" w:hAnsi="Verdana"/>
                <w:sz w:val="20"/>
              </w:rPr>
              <w:t xml:space="preserve"> (SMDR</w:t>
            </w:r>
            <w:r w:rsidRPr="000A4491">
              <w:rPr>
                <w:rFonts w:ascii="Verdana" w:hAnsi="Verdana"/>
                <w:sz w:val="20"/>
              </w:rPr>
              <w:fldChar w:fldCharType="begin"/>
            </w:r>
            <w:r w:rsidRPr="000A4491">
              <w:rPr>
                <w:rFonts w:ascii="Verdana" w:hAnsi="Verdana"/>
                <w:sz w:val="20"/>
              </w:rPr>
              <w:instrText>xe "SMDR"</w:instrText>
            </w:r>
            <w:r w:rsidRPr="000A4491">
              <w:rPr>
                <w:rFonts w:ascii="Verdana" w:hAnsi="Verdana"/>
                <w:sz w:val="20"/>
              </w:rPr>
              <w:fldChar w:fldCharType="end"/>
            </w:r>
            <w:r w:rsidRPr="000A4491">
              <w:rPr>
                <w:rFonts w:ascii="Verdana" w:hAnsi="Verdana"/>
                <w:sz w:val="20"/>
              </w:rPr>
              <w:t>)</w:t>
            </w:r>
          </w:p>
          <w:p w14:paraId="600C55EB" w14:textId="77777777" w:rsidR="00F935B1" w:rsidRPr="000A4491" w:rsidRDefault="00F935B1" w:rsidP="0083602C">
            <w:pPr>
              <w:rPr>
                <w:rFonts w:ascii="Verdana" w:hAnsi="Verdana"/>
                <w:sz w:val="20"/>
              </w:rPr>
            </w:pPr>
            <w:r w:rsidRPr="000A4491">
              <w:rPr>
                <w:rFonts w:ascii="Verdana" w:hAnsi="Verdana"/>
                <w:sz w:val="20"/>
              </w:rPr>
              <w:t>(</w:t>
            </w:r>
            <w:hyperlink w:anchor="aaIneligibleComponents" w:history="1">
              <w:r w:rsidRPr="000A4491">
                <w:rPr>
                  <w:rStyle w:val="Hyperlink"/>
                  <w:rFonts w:ascii="Verdana" w:hAnsi="Verdana"/>
                  <w:sz w:val="20"/>
                </w:rPr>
                <w:t>Not Eligible for E-rate Funding as Internal Connections Components</w:t>
              </w:r>
            </w:hyperlink>
            <w:r w:rsidRPr="000A4491">
              <w:rPr>
                <w:rFonts w:ascii="Verdana" w:hAnsi="Verdana"/>
                <w:sz w:val="20"/>
              </w:rPr>
              <w:t>)</w:t>
            </w:r>
          </w:p>
        </w:tc>
        <w:tc>
          <w:tcPr>
            <w:tcW w:w="5441" w:type="dxa"/>
          </w:tcPr>
          <w:p w14:paraId="5448FDE6" w14:textId="77777777" w:rsidR="00F935B1" w:rsidRPr="000A4491" w:rsidRDefault="00F935B1" w:rsidP="0083602C">
            <w:pPr>
              <w:pStyle w:val="NormalWeb"/>
              <w:spacing w:before="0" w:beforeAutospacing="0" w:after="0"/>
              <w:rPr>
                <w:rFonts w:ascii="Verdana" w:hAnsi="Verdana"/>
                <w:sz w:val="20"/>
              </w:rPr>
            </w:pPr>
            <w:r w:rsidRPr="000A4491">
              <w:rPr>
                <w:rFonts w:ascii="Verdana" w:hAnsi="Verdana"/>
                <w:sz w:val="20"/>
              </w:rPr>
              <w:t>Station Message Detail Recording</w:t>
            </w:r>
            <w:r w:rsidRPr="000A4491">
              <w:rPr>
                <w:rFonts w:ascii="Verdana" w:hAnsi="Verdana"/>
                <w:sz w:val="20"/>
              </w:rPr>
              <w:fldChar w:fldCharType="begin"/>
            </w:r>
            <w:r w:rsidRPr="000A4491">
              <w:rPr>
                <w:rFonts w:ascii="Verdana" w:hAnsi="Verdana"/>
                <w:sz w:val="20"/>
              </w:rPr>
              <w:instrText>xe "</w:instrText>
            </w:r>
            <w:r w:rsidRPr="000A4491">
              <w:rPr>
                <w:rStyle w:val="Hyperlink"/>
                <w:rFonts w:ascii="Verdana" w:hAnsi="Verdana"/>
                <w:sz w:val="20"/>
              </w:rPr>
              <w:instrText>Station Message Detail Recording</w:instrText>
            </w:r>
            <w:r w:rsidRPr="000A4491">
              <w:rPr>
                <w:rFonts w:ascii="Verdana" w:hAnsi="Verdana"/>
                <w:sz w:val="20"/>
              </w:rPr>
              <w:instrText>"</w:instrText>
            </w:r>
            <w:r w:rsidRPr="000A4491">
              <w:rPr>
                <w:rFonts w:ascii="Verdana" w:hAnsi="Verdana"/>
                <w:sz w:val="20"/>
              </w:rPr>
              <w:fldChar w:fldCharType="end"/>
            </w:r>
            <w:r w:rsidRPr="000A4491">
              <w:rPr>
                <w:rFonts w:ascii="Verdana" w:hAnsi="Verdana"/>
                <w:sz w:val="20"/>
              </w:rPr>
              <w:t xml:space="preserve"> (SMDR</w:t>
            </w:r>
            <w:r w:rsidRPr="000A4491">
              <w:rPr>
                <w:rFonts w:ascii="Verdana" w:hAnsi="Verdana"/>
                <w:sz w:val="20"/>
              </w:rPr>
              <w:fldChar w:fldCharType="begin"/>
            </w:r>
            <w:r w:rsidRPr="000A4491">
              <w:rPr>
                <w:rFonts w:ascii="Verdana" w:hAnsi="Verdana"/>
                <w:sz w:val="20"/>
              </w:rPr>
              <w:instrText>xe "SMDR"</w:instrText>
            </w:r>
            <w:r w:rsidRPr="000A4491">
              <w:rPr>
                <w:rFonts w:ascii="Verdana" w:hAnsi="Verdana"/>
                <w:sz w:val="20"/>
              </w:rPr>
              <w:fldChar w:fldCharType="end"/>
            </w:r>
            <w:r w:rsidRPr="000A4491">
              <w:rPr>
                <w:rFonts w:ascii="Verdana" w:hAnsi="Verdana"/>
                <w:sz w:val="20"/>
              </w:rPr>
              <w:t>) and Call Detail Recording</w:t>
            </w:r>
            <w:r w:rsidRPr="000A4491">
              <w:rPr>
                <w:rFonts w:ascii="Verdana" w:hAnsi="Verdana"/>
                <w:sz w:val="20"/>
              </w:rPr>
              <w:fldChar w:fldCharType="begin"/>
            </w:r>
            <w:r w:rsidRPr="000A4491">
              <w:rPr>
                <w:rFonts w:ascii="Verdana" w:hAnsi="Verdana"/>
                <w:sz w:val="20"/>
              </w:rPr>
              <w:instrText>xe "Call Detail Recording"</w:instrText>
            </w:r>
            <w:r w:rsidRPr="000A4491">
              <w:rPr>
                <w:rFonts w:ascii="Verdana" w:hAnsi="Verdana"/>
                <w:sz w:val="20"/>
              </w:rPr>
              <w:fldChar w:fldCharType="end"/>
            </w:r>
            <w:r w:rsidRPr="000A4491">
              <w:rPr>
                <w:rFonts w:ascii="Verdana" w:hAnsi="Verdana"/>
                <w:sz w:val="20"/>
              </w:rPr>
              <w:t xml:space="preserve"> (CDR</w:t>
            </w:r>
            <w:r w:rsidRPr="000A4491">
              <w:rPr>
                <w:rFonts w:ascii="Verdana" w:hAnsi="Verdana"/>
                <w:sz w:val="20"/>
              </w:rPr>
              <w:fldChar w:fldCharType="begin"/>
            </w:r>
            <w:r w:rsidRPr="000A4491">
              <w:rPr>
                <w:rFonts w:ascii="Verdana" w:hAnsi="Verdana"/>
                <w:sz w:val="20"/>
              </w:rPr>
              <w:instrText>xe "CDR"</w:instrText>
            </w:r>
            <w:r w:rsidRPr="000A4491">
              <w:rPr>
                <w:rFonts w:ascii="Verdana" w:hAnsi="Verdana"/>
                <w:sz w:val="20"/>
              </w:rPr>
              <w:fldChar w:fldCharType="end"/>
            </w:r>
            <w:r w:rsidRPr="000A4491">
              <w:rPr>
                <w:rFonts w:ascii="Verdana" w:hAnsi="Verdana"/>
                <w:sz w:val="20"/>
              </w:rPr>
              <w:t>) are software</w:t>
            </w:r>
            <w:r w:rsidRPr="000A4491">
              <w:rPr>
                <w:rFonts w:ascii="Verdana" w:hAnsi="Verdana"/>
                <w:sz w:val="20"/>
              </w:rPr>
              <w:fldChar w:fldCharType="begin"/>
            </w:r>
            <w:r w:rsidRPr="000A4491">
              <w:rPr>
                <w:rFonts w:ascii="Verdana" w:hAnsi="Verdana"/>
                <w:sz w:val="20"/>
              </w:rPr>
              <w:instrText>xe "Software"</w:instrText>
            </w:r>
            <w:r w:rsidRPr="000A4491">
              <w:rPr>
                <w:rFonts w:ascii="Verdana" w:hAnsi="Verdana"/>
                <w:sz w:val="20"/>
              </w:rPr>
              <w:fldChar w:fldCharType="end"/>
            </w:r>
            <w:r w:rsidRPr="000A4491">
              <w:rPr>
                <w:rFonts w:ascii="Verdana" w:hAnsi="Verdana"/>
                <w:sz w:val="20"/>
              </w:rPr>
              <w:t>/hardware PBX</w:t>
            </w:r>
            <w:r w:rsidRPr="000A4491">
              <w:rPr>
                <w:rFonts w:ascii="Verdana" w:hAnsi="Verdana"/>
                <w:sz w:val="20"/>
              </w:rPr>
              <w:fldChar w:fldCharType="begin"/>
            </w:r>
            <w:r w:rsidRPr="000A4491">
              <w:rPr>
                <w:rFonts w:ascii="Verdana" w:hAnsi="Verdana"/>
                <w:sz w:val="20"/>
              </w:rPr>
              <w:instrText>xe "</w:instrText>
            </w:r>
            <w:r w:rsidRPr="000A4491">
              <w:rPr>
                <w:rFonts w:ascii="Verdana" w:hAnsi="Verdana"/>
                <w:bCs/>
                <w:sz w:val="20"/>
              </w:rPr>
              <w:instrText>PBX</w:instrText>
            </w:r>
            <w:r w:rsidRPr="000A4491">
              <w:rPr>
                <w:rFonts w:ascii="Verdana" w:hAnsi="Verdana"/>
                <w:sz w:val="20"/>
              </w:rPr>
              <w:instrText>"</w:instrText>
            </w:r>
            <w:r w:rsidRPr="000A4491">
              <w:rPr>
                <w:rFonts w:ascii="Verdana" w:hAnsi="Verdana"/>
                <w:sz w:val="20"/>
              </w:rPr>
              <w:fldChar w:fldCharType="end"/>
            </w:r>
            <w:r w:rsidRPr="000A4491">
              <w:rPr>
                <w:rFonts w:ascii="Verdana" w:hAnsi="Verdana"/>
                <w:sz w:val="20"/>
              </w:rPr>
              <w:t xml:space="preserve"> components that provide the ability to generate reports on call details.  Those details include, but are not limited to, call duration, PBX station numbers, time and date, trunk</w:t>
            </w:r>
            <w:r w:rsidRPr="000A4491">
              <w:rPr>
                <w:rFonts w:ascii="Verdana" w:hAnsi="Verdana"/>
                <w:sz w:val="20"/>
              </w:rPr>
              <w:fldChar w:fldCharType="begin"/>
            </w:r>
            <w:r w:rsidRPr="000A4491">
              <w:rPr>
                <w:rFonts w:ascii="Verdana" w:hAnsi="Verdana"/>
                <w:sz w:val="20"/>
              </w:rPr>
              <w:instrText>xe "Trunk Route"</w:instrText>
            </w:r>
            <w:r w:rsidRPr="000A4491">
              <w:rPr>
                <w:rFonts w:ascii="Verdana" w:hAnsi="Verdana"/>
                <w:sz w:val="20"/>
              </w:rPr>
              <w:fldChar w:fldCharType="end"/>
            </w:r>
            <w:r w:rsidRPr="000A4491">
              <w:rPr>
                <w:rFonts w:ascii="Verdana" w:hAnsi="Verdana"/>
                <w:sz w:val="20"/>
              </w:rPr>
              <w:t xml:space="preserve"> route, dialed number, and cost of call.</w:t>
            </w:r>
          </w:p>
        </w:tc>
      </w:tr>
      <w:tr w:rsidR="00F935B1" w14:paraId="6BC89E66" w14:textId="77777777" w:rsidTr="0083602C">
        <w:trPr>
          <w:tblCellSpacing w:w="15" w:type="dxa"/>
        </w:trPr>
        <w:tc>
          <w:tcPr>
            <w:tcW w:w="3656" w:type="dxa"/>
          </w:tcPr>
          <w:p w14:paraId="551F1E37" w14:textId="77777777" w:rsidR="00F935B1" w:rsidRPr="000A4491" w:rsidRDefault="00F935B1" w:rsidP="0083602C">
            <w:pPr>
              <w:rPr>
                <w:rFonts w:ascii="Verdana" w:hAnsi="Verdana"/>
                <w:sz w:val="20"/>
              </w:rPr>
            </w:pPr>
            <w:r w:rsidRPr="000A4491">
              <w:rPr>
                <w:rFonts w:ascii="Verdana" w:hAnsi="Verdana"/>
                <w:sz w:val="20"/>
              </w:rPr>
              <w:t>Storage Media</w:t>
            </w:r>
            <w:r w:rsidRPr="000A4491">
              <w:rPr>
                <w:rFonts w:ascii="Verdana" w:hAnsi="Verdana"/>
                <w:sz w:val="20"/>
              </w:rPr>
              <w:fldChar w:fldCharType="begin"/>
            </w:r>
            <w:r w:rsidRPr="000A4491">
              <w:rPr>
                <w:rFonts w:ascii="Verdana" w:hAnsi="Verdana"/>
                <w:sz w:val="20"/>
              </w:rPr>
              <w:instrText>xe "Storage Media"</w:instrText>
            </w:r>
            <w:r w:rsidRPr="000A4491">
              <w:rPr>
                <w:rFonts w:ascii="Verdana" w:hAnsi="Verdana"/>
                <w:sz w:val="20"/>
              </w:rPr>
              <w:fldChar w:fldCharType="end"/>
            </w:r>
          </w:p>
          <w:p w14:paraId="25D7064A" w14:textId="77777777" w:rsidR="00F935B1" w:rsidRPr="000A4491" w:rsidRDefault="00F935B1" w:rsidP="0083602C">
            <w:pPr>
              <w:rPr>
                <w:rFonts w:ascii="Verdana" w:hAnsi="Verdana"/>
                <w:sz w:val="20"/>
              </w:rPr>
            </w:pPr>
            <w:r w:rsidRPr="000A4491">
              <w:rPr>
                <w:rFonts w:ascii="Verdana" w:hAnsi="Verdana"/>
                <w:sz w:val="20"/>
              </w:rPr>
              <w:t>(</w:t>
            </w:r>
            <w:hyperlink w:anchor="aaIneligibleComponents" w:history="1">
              <w:r w:rsidRPr="000A4491">
                <w:rPr>
                  <w:rStyle w:val="Hyperlink"/>
                  <w:rFonts w:ascii="Verdana" w:hAnsi="Verdana"/>
                  <w:sz w:val="20"/>
                </w:rPr>
                <w:t>Not Eligible for E-rate Funding as Internal Connections Components</w:t>
              </w:r>
            </w:hyperlink>
            <w:r w:rsidRPr="000A4491">
              <w:rPr>
                <w:rFonts w:ascii="Verdana" w:hAnsi="Verdana"/>
                <w:sz w:val="20"/>
              </w:rPr>
              <w:t>)</w:t>
            </w:r>
          </w:p>
        </w:tc>
        <w:tc>
          <w:tcPr>
            <w:tcW w:w="5441" w:type="dxa"/>
          </w:tcPr>
          <w:p w14:paraId="45190459" w14:textId="77777777" w:rsidR="00F935B1" w:rsidRPr="000A4491" w:rsidRDefault="00F935B1" w:rsidP="0083602C">
            <w:pPr>
              <w:pStyle w:val="NormalWeb"/>
              <w:spacing w:before="0" w:beforeAutospacing="0" w:after="0"/>
              <w:rPr>
                <w:rFonts w:ascii="Verdana" w:hAnsi="Verdana"/>
                <w:sz w:val="20"/>
              </w:rPr>
            </w:pPr>
            <w:r w:rsidRPr="000A4491">
              <w:rPr>
                <w:rFonts w:ascii="Verdana" w:hAnsi="Verdana"/>
                <w:sz w:val="20"/>
              </w:rPr>
              <w:t>Storage media</w:t>
            </w:r>
            <w:r w:rsidRPr="000A4491">
              <w:rPr>
                <w:rFonts w:ascii="Verdana" w:hAnsi="Verdana"/>
                <w:sz w:val="20"/>
              </w:rPr>
              <w:fldChar w:fldCharType="begin"/>
            </w:r>
            <w:r w:rsidRPr="000A4491">
              <w:rPr>
                <w:rFonts w:ascii="Verdana" w:hAnsi="Verdana"/>
                <w:sz w:val="20"/>
              </w:rPr>
              <w:instrText>xe "Storage Media"</w:instrText>
            </w:r>
            <w:r w:rsidRPr="000A4491">
              <w:rPr>
                <w:rFonts w:ascii="Verdana" w:hAnsi="Verdana"/>
                <w:sz w:val="20"/>
              </w:rPr>
              <w:fldChar w:fldCharType="end"/>
            </w:r>
            <w:r w:rsidRPr="000A4491">
              <w:rPr>
                <w:rFonts w:ascii="Verdana" w:hAnsi="Verdana"/>
                <w:sz w:val="20"/>
              </w:rPr>
              <w:t xml:space="preserve"> includes products such as floppy disks</w:t>
            </w:r>
            <w:r w:rsidRPr="000A4491">
              <w:rPr>
                <w:rFonts w:ascii="Verdana" w:hAnsi="Verdana"/>
                <w:sz w:val="20"/>
              </w:rPr>
              <w:fldChar w:fldCharType="begin"/>
            </w:r>
            <w:r w:rsidRPr="000A4491">
              <w:rPr>
                <w:rFonts w:ascii="Verdana" w:hAnsi="Verdana"/>
                <w:sz w:val="20"/>
              </w:rPr>
              <w:instrText>xe "</w:instrText>
            </w:r>
            <w:r w:rsidRPr="000A4491">
              <w:rPr>
                <w:rFonts w:ascii="Verdana" w:hAnsi="Verdana"/>
                <w:bCs/>
                <w:sz w:val="20"/>
              </w:rPr>
              <w:instrText>Floppy Disks</w:instrText>
            </w:r>
            <w:r w:rsidRPr="000A4491">
              <w:rPr>
                <w:rFonts w:ascii="Verdana" w:hAnsi="Verdana"/>
                <w:sz w:val="20"/>
              </w:rPr>
              <w:instrText>"</w:instrText>
            </w:r>
            <w:r w:rsidRPr="000A4491">
              <w:rPr>
                <w:rFonts w:ascii="Verdana" w:hAnsi="Verdana"/>
                <w:sz w:val="20"/>
              </w:rPr>
              <w:fldChar w:fldCharType="end"/>
            </w:r>
            <w:r w:rsidRPr="000A4491">
              <w:rPr>
                <w:rFonts w:ascii="Verdana" w:hAnsi="Verdana"/>
                <w:sz w:val="20"/>
              </w:rPr>
              <w:t xml:space="preserve"> and recordable CD</w:t>
            </w:r>
            <w:r w:rsidRPr="000A4491">
              <w:rPr>
                <w:rFonts w:ascii="Verdana" w:hAnsi="Verdana"/>
                <w:sz w:val="20"/>
              </w:rPr>
              <w:fldChar w:fldCharType="begin"/>
            </w:r>
            <w:r w:rsidRPr="000A4491">
              <w:rPr>
                <w:rFonts w:ascii="Verdana" w:hAnsi="Verdana"/>
                <w:sz w:val="20"/>
              </w:rPr>
              <w:instrText>xe "CD"</w:instrText>
            </w:r>
            <w:r w:rsidRPr="000A4491">
              <w:rPr>
                <w:rFonts w:ascii="Verdana" w:hAnsi="Verdana"/>
                <w:sz w:val="20"/>
              </w:rPr>
              <w:fldChar w:fldCharType="end"/>
            </w:r>
            <w:r w:rsidRPr="000A4491">
              <w:rPr>
                <w:rFonts w:ascii="Verdana" w:hAnsi="Verdana"/>
                <w:sz w:val="20"/>
              </w:rPr>
              <w:t xml:space="preserve"> ROM</w:t>
            </w:r>
            <w:r w:rsidRPr="000A4491">
              <w:rPr>
                <w:rFonts w:ascii="Verdana" w:hAnsi="Verdana"/>
                <w:sz w:val="20"/>
              </w:rPr>
              <w:fldChar w:fldCharType="begin"/>
            </w:r>
            <w:r w:rsidRPr="000A4491">
              <w:rPr>
                <w:rFonts w:ascii="Verdana" w:hAnsi="Verdana"/>
                <w:sz w:val="20"/>
              </w:rPr>
              <w:instrText>xe "</w:instrText>
            </w:r>
            <w:r w:rsidRPr="000A4491">
              <w:rPr>
                <w:rFonts w:ascii="Verdana" w:hAnsi="Verdana"/>
                <w:bCs/>
                <w:sz w:val="20"/>
              </w:rPr>
              <w:instrText>CD ROM</w:instrText>
            </w:r>
            <w:r w:rsidRPr="000A4491">
              <w:rPr>
                <w:rFonts w:ascii="Verdana" w:hAnsi="Verdana"/>
                <w:sz w:val="20"/>
              </w:rPr>
              <w:instrText>"</w:instrText>
            </w:r>
            <w:r w:rsidRPr="000A4491">
              <w:rPr>
                <w:rFonts w:ascii="Verdana" w:hAnsi="Verdana"/>
                <w:sz w:val="20"/>
              </w:rPr>
              <w:fldChar w:fldCharType="end"/>
            </w:r>
            <w:r w:rsidRPr="000A4491">
              <w:rPr>
                <w:rFonts w:ascii="Verdana" w:hAnsi="Verdana"/>
                <w:sz w:val="20"/>
              </w:rPr>
              <w:t xml:space="preserve"> that provide replaceable storage</w:t>
            </w:r>
            <w:r w:rsidRPr="000A4491">
              <w:rPr>
                <w:rFonts w:ascii="Verdana" w:hAnsi="Verdana"/>
                <w:sz w:val="20"/>
              </w:rPr>
              <w:fldChar w:fldCharType="begin"/>
            </w:r>
            <w:r w:rsidRPr="000A4491">
              <w:rPr>
                <w:rFonts w:ascii="Verdana" w:hAnsi="Verdana"/>
                <w:sz w:val="20"/>
              </w:rPr>
              <w:instrText>xe "Storage"</w:instrText>
            </w:r>
            <w:r w:rsidRPr="000A4491">
              <w:rPr>
                <w:rFonts w:ascii="Verdana" w:hAnsi="Verdana"/>
                <w:sz w:val="20"/>
              </w:rPr>
              <w:fldChar w:fldCharType="end"/>
            </w:r>
            <w:r w:rsidRPr="000A4491">
              <w:rPr>
                <w:rFonts w:ascii="Verdana" w:hAnsi="Verdana"/>
                <w:sz w:val="20"/>
              </w:rPr>
              <w:t>.</w:t>
            </w:r>
          </w:p>
        </w:tc>
      </w:tr>
      <w:tr w:rsidR="00F935B1" w14:paraId="13AD90B8" w14:textId="77777777" w:rsidTr="0083602C">
        <w:trPr>
          <w:tblCellSpacing w:w="15" w:type="dxa"/>
        </w:trPr>
        <w:tc>
          <w:tcPr>
            <w:tcW w:w="3656" w:type="dxa"/>
          </w:tcPr>
          <w:p w14:paraId="0A71A79E" w14:textId="77777777" w:rsidR="00F935B1" w:rsidRPr="000A4491" w:rsidRDefault="00F935B1" w:rsidP="0083602C">
            <w:pPr>
              <w:rPr>
                <w:rFonts w:ascii="Verdana" w:hAnsi="Verdana"/>
                <w:sz w:val="20"/>
              </w:rPr>
            </w:pPr>
            <w:r w:rsidRPr="000A4491">
              <w:rPr>
                <w:rFonts w:ascii="Verdana" w:hAnsi="Verdana"/>
                <w:sz w:val="20"/>
              </w:rPr>
              <w:lastRenderedPageBreak/>
              <w:t>Surge Protector</w:t>
            </w:r>
            <w:r w:rsidRPr="000A4491">
              <w:rPr>
                <w:rFonts w:ascii="Verdana" w:hAnsi="Verdana"/>
                <w:sz w:val="20"/>
              </w:rPr>
              <w:fldChar w:fldCharType="begin"/>
            </w:r>
            <w:r w:rsidRPr="000A4491">
              <w:rPr>
                <w:rFonts w:ascii="Verdana" w:hAnsi="Verdana"/>
                <w:sz w:val="20"/>
              </w:rPr>
              <w:instrText>xe "Surge Protectors"</w:instrText>
            </w:r>
            <w:r w:rsidRPr="000A4491">
              <w:rPr>
                <w:rFonts w:ascii="Verdana" w:hAnsi="Verdana"/>
                <w:sz w:val="20"/>
              </w:rPr>
              <w:fldChar w:fldCharType="end"/>
            </w:r>
            <w:r w:rsidRPr="000A4491">
              <w:rPr>
                <w:rFonts w:ascii="Verdana" w:hAnsi="Verdana"/>
                <w:sz w:val="20"/>
              </w:rPr>
              <w:t xml:space="preserve"> (</w:t>
            </w:r>
            <w:hyperlink w:anchor="aaIneligibleComponents" w:history="1">
              <w:r w:rsidRPr="000A4491">
                <w:rPr>
                  <w:rStyle w:val="Hyperlink"/>
                  <w:rFonts w:ascii="Verdana" w:hAnsi="Verdana"/>
                  <w:sz w:val="20"/>
                </w:rPr>
                <w:t>Not Eligible for E-rate Funding as Internal Connections Components</w:t>
              </w:r>
            </w:hyperlink>
            <w:r w:rsidRPr="000A4491">
              <w:rPr>
                <w:rFonts w:ascii="Verdana" w:hAnsi="Verdana"/>
                <w:sz w:val="20"/>
              </w:rPr>
              <w:t>)</w:t>
            </w:r>
          </w:p>
        </w:tc>
        <w:tc>
          <w:tcPr>
            <w:tcW w:w="5441" w:type="dxa"/>
          </w:tcPr>
          <w:p w14:paraId="453815EA" w14:textId="77777777" w:rsidR="00F935B1" w:rsidRPr="000A4491" w:rsidRDefault="00F935B1" w:rsidP="0083602C">
            <w:pPr>
              <w:pStyle w:val="NormalWeb"/>
              <w:spacing w:before="0" w:beforeAutospacing="0" w:after="0"/>
              <w:rPr>
                <w:rFonts w:ascii="Verdana" w:hAnsi="Verdana"/>
                <w:sz w:val="20"/>
              </w:rPr>
            </w:pPr>
            <w:r w:rsidRPr="000A4491">
              <w:rPr>
                <w:rFonts w:ascii="Verdana" w:hAnsi="Verdana"/>
                <w:sz w:val="20"/>
              </w:rPr>
              <w:t>Surge protectors</w:t>
            </w:r>
            <w:r w:rsidRPr="000A4491">
              <w:rPr>
                <w:rFonts w:ascii="Verdana" w:hAnsi="Verdana"/>
                <w:sz w:val="20"/>
              </w:rPr>
              <w:fldChar w:fldCharType="begin"/>
            </w:r>
            <w:r w:rsidRPr="000A4491">
              <w:rPr>
                <w:rFonts w:ascii="Verdana" w:hAnsi="Verdana"/>
                <w:sz w:val="20"/>
              </w:rPr>
              <w:instrText>xe "Surge Protectors"</w:instrText>
            </w:r>
            <w:r w:rsidRPr="000A4491">
              <w:rPr>
                <w:rFonts w:ascii="Verdana" w:hAnsi="Verdana"/>
                <w:sz w:val="20"/>
              </w:rPr>
              <w:fldChar w:fldCharType="end"/>
            </w:r>
            <w:r w:rsidRPr="000A4491">
              <w:rPr>
                <w:rFonts w:ascii="Verdana" w:hAnsi="Verdana"/>
                <w:sz w:val="20"/>
              </w:rPr>
              <w:t xml:space="preserve"> provide electrical AC power outlets with circuitry that protects equipment against voltage spikes and electrical disturbances.</w:t>
            </w:r>
          </w:p>
        </w:tc>
      </w:tr>
      <w:tr w:rsidR="00F935B1" w14:paraId="1031A5B1" w14:textId="77777777" w:rsidTr="0083602C">
        <w:trPr>
          <w:tblCellSpacing w:w="15" w:type="dxa"/>
        </w:trPr>
        <w:tc>
          <w:tcPr>
            <w:tcW w:w="3656" w:type="dxa"/>
          </w:tcPr>
          <w:p w14:paraId="0495AD1A" w14:textId="77777777" w:rsidR="00F935B1" w:rsidRPr="000A4491" w:rsidRDefault="00F935B1" w:rsidP="0083602C">
            <w:pPr>
              <w:rPr>
                <w:rFonts w:ascii="Verdana" w:hAnsi="Verdana"/>
                <w:sz w:val="20"/>
              </w:rPr>
            </w:pPr>
            <w:r w:rsidRPr="000A4491">
              <w:rPr>
                <w:rFonts w:ascii="Verdana" w:hAnsi="Verdana"/>
                <w:sz w:val="20"/>
              </w:rPr>
              <w:t xml:space="preserve">Switchboard / Attendant Console </w:t>
            </w:r>
            <w:r w:rsidRPr="000A4491">
              <w:rPr>
                <w:rFonts w:ascii="Verdana" w:hAnsi="Verdana"/>
                <w:sz w:val="20"/>
              </w:rPr>
              <w:br/>
              <w:t>(</w:t>
            </w:r>
            <w:hyperlink w:anchor="aaTelephoneComponents" w:history="1">
              <w:r w:rsidRPr="000A4491">
                <w:rPr>
                  <w:rStyle w:val="Hyperlink"/>
                  <w:rFonts w:ascii="Verdana" w:hAnsi="Verdana"/>
                  <w:sz w:val="20"/>
                </w:rPr>
                <w:t>Telephone Components</w:t>
              </w:r>
              <w:r w:rsidRPr="000A4491">
                <w:rPr>
                  <w:rFonts w:ascii="Verdana" w:hAnsi="Verdana"/>
                  <w:sz w:val="20"/>
                </w:rPr>
                <w:fldChar w:fldCharType="begin"/>
              </w:r>
              <w:r w:rsidRPr="000A4491">
                <w:rPr>
                  <w:rFonts w:ascii="Verdana" w:hAnsi="Verdana"/>
                  <w:sz w:val="20"/>
                </w:rPr>
                <w:instrText>xe "Telephone Components"</w:instrText>
              </w:r>
              <w:r w:rsidRPr="000A4491">
                <w:rPr>
                  <w:rFonts w:ascii="Verdana" w:hAnsi="Verdana"/>
                  <w:sz w:val="20"/>
                </w:rPr>
                <w:fldChar w:fldCharType="end"/>
              </w:r>
            </w:hyperlink>
            <w:r w:rsidRPr="000A4491">
              <w:rPr>
                <w:rFonts w:ascii="Verdana" w:hAnsi="Verdana"/>
                <w:sz w:val="20"/>
              </w:rPr>
              <w:t>)</w:t>
            </w:r>
          </w:p>
          <w:p w14:paraId="7D1E7224" w14:textId="77777777" w:rsidR="00F935B1" w:rsidRPr="000A4491" w:rsidRDefault="00F935B1" w:rsidP="0083602C">
            <w:pPr>
              <w:rPr>
                <w:rFonts w:ascii="Verdana" w:hAnsi="Verdana"/>
                <w:sz w:val="20"/>
              </w:rPr>
            </w:pPr>
          </w:p>
          <w:p w14:paraId="140DDC05" w14:textId="77777777" w:rsidR="00F935B1" w:rsidRPr="000A4491" w:rsidRDefault="00F935B1" w:rsidP="0083602C">
            <w:pPr>
              <w:rPr>
                <w:rFonts w:ascii="Verdana" w:hAnsi="Verdana"/>
                <w:sz w:val="20"/>
              </w:rPr>
            </w:pPr>
          </w:p>
        </w:tc>
        <w:tc>
          <w:tcPr>
            <w:tcW w:w="5441" w:type="dxa"/>
          </w:tcPr>
          <w:p w14:paraId="72BE78EA" w14:textId="77777777" w:rsidR="00F935B1" w:rsidRPr="000A4491" w:rsidRDefault="00F935B1" w:rsidP="0083602C">
            <w:pPr>
              <w:pStyle w:val="NormalWeb"/>
              <w:spacing w:before="0" w:beforeAutospacing="0" w:after="0"/>
              <w:rPr>
                <w:rFonts w:ascii="Verdana" w:hAnsi="Verdana"/>
                <w:sz w:val="20"/>
              </w:rPr>
            </w:pPr>
            <w:r w:rsidRPr="000A4491">
              <w:rPr>
                <w:rFonts w:ascii="Verdana" w:hAnsi="Verdana"/>
                <w:sz w:val="20"/>
              </w:rPr>
              <w:t>The operation of a PBX</w:t>
            </w:r>
            <w:r w:rsidRPr="000A4491">
              <w:rPr>
                <w:rFonts w:ascii="Verdana" w:hAnsi="Verdana"/>
                <w:sz w:val="20"/>
              </w:rPr>
              <w:fldChar w:fldCharType="begin"/>
            </w:r>
            <w:r w:rsidRPr="000A4491">
              <w:rPr>
                <w:rFonts w:ascii="Verdana" w:hAnsi="Verdana"/>
                <w:sz w:val="20"/>
              </w:rPr>
              <w:instrText>xe "</w:instrText>
            </w:r>
            <w:r w:rsidRPr="000A4491">
              <w:rPr>
                <w:rFonts w:ascii="Verdana" w:hAnsi="Verdana"/>
                <w:bCs/>
                <w:sz w:val="20"/>
              </w:rPr>
              <w:instrText>PBX</w:instrText>
            </w:r>
            <w:r w:rsidRPr="000A4491">
              <w:rPr>
                <w:rFonts w:ascii="Verdana" w:hAnsi="Verdana"/>
                <w:sz w:val="20"/>
              </w:rPr>
              <w:instrText>"</w:instrText>
            </w:r>
            <w:r w:rsidRPr="000A4491">
              <w:rPr>
                <w:rFonts w:ascii="Verdana" w:hAnsi="Verdana"/>
                <w:sz w:val="20"/>
              </w:rPr>
              <w:fldChar w:fldCharType="end"/>
            </w:r>
            <w:r w:rsidRPr="000A4491">
              <w:rPr>
                <w:rFonts w:ascii="Verdana" w:hAnsi="Verdana"/>
                <w:sz w:val="20"/>
              </w:rPr>
              <w:t xml:space="preserve"> or Centrex</w:t>
            </w:r>
            <w:r w:rsidRPr="000A4491">
              <w:rPr>
                <w:rFonts w:ascii="Verdana" w:hAnsi="Verdana"/>
                <w:sz w:val="20"/>
              </w:rPr>
              <w:fldChar w:fldCharType="begin"/>
            </w:r>
            <w:r w:rsidRPr="000A4491">
              <w:rPr>
                <w:rFonts w:ascii="Verdana" w:hAnsi="Verdana"/>
                <w:sz w:val="20"/>
              </w:rPr>
              <w:instrText>xe "</w:instrText>
            </w:r>
            <w:r w:rsidRPr="000A4491">
              <w:rPr>
                <w:rStyle w:val="Hyperlink"/>
                <w:rFonts w:ascii="Verdana" w:hAnsi="Verdana"/>
                <w:bCs/>
                <w:sz w:val="20"/>
              </w:rPr>
              <w:instrText>Centrex</w:instrText>
            </w:r>
            <w:r w:rsidRPr="000A4491">
              <w:rPr>
                <w:rFonts w:ascii="Verdana" w:hAnsi="Verdana"/>
                <w:sz w:val="20"/>
              </w:rPr>
              <w:instrText>"</w:instrText>
            </w:r>
            <w:r w:rsidRPr="000A4491">
              <w:rPr>
                <w:rFonts w:ascii="Verdana" w:hAnsi="Verdana"/>
                <w:sz w:val="20"/>
              </w:rPr>
              <w:fldChar w:fldCharType="end"/>
            </w:r>
            <w:r w:rsidRPr="000A4491">
              <w:rPr>
                <w:rFonts w:ascii="Verdana" w:hAnsi="Verdana"/>
                <w:sz w:val="20"/>
              </w:rPr>
              <w:t xml:space="preserve"> system may require the use of a switchboard or attendant console</w:t>
            </w:r>
            <w:r w:rsidRPr="000A4491">
              <w:rPr>
                <w:rFonts w:ascii="Verdana" w:hAnsi="Verdana"/>
                <w:sz w:val="20"/>
              </w:rPr>
              <w:fldChar w:fldCharType="begin"/>
            </w:r>
            <w:r w:rsidRPr="000A4491">
              <w:rPr>
                <w:rFonts w:ascii="Verdana" w:hAnsi="Verdana"/>
                <w:sz w:val="20"/>
              </w:rPr>
              <w:instrText>xe "S</w:instrText>
            </w:r>
            <w:r w:rsidRPr="000A4491">
              <w:rPr>
                <w:rStyle w:val="Hyperlink"/>
                <w:rFonts w:ascii="Verdana" w:hAnsi="Verdana"/>
                <w:bCs/>
                <w:sz w:val="20"/>
              </w:rPr>
              <w:instrText>witch Board or Attendant Console</w:instrText>
            </w:r>
            <w:r w:rsidRPr="000A4491">
              <w:rPr>
                <w:rFonts w:ascii="Verdana" w:hAnsi="Verdana"/>
                <w:sz w:val="20"/>
              </w:rPr>
              <w:instrText>"</w:instrText>
            </w:r>
            <w:r w:rsidRPr="000A4491">
              <w:rPr>
                <w:rFonts w:ascii="Verdana" w:hAnsi="Verdana"/>
                <w:sz w:val="20"/>
              </w:rPr>
              <w:fldChar w:fldCharType="end"/>
            </w:r>
            <w:r w:rsidRPr="000A4491">
              <w:rPr>
                <w:rFonts w:ascii="Verdana" w:hAnsi="Verdana"/>
                <w:sz w:val="20"/>
              </w:rPr>
              <w:t xml:space="preserve"> for the transfer of incoming calls to the appropriate extension when systems are not equipped with Direct Inward Dialing</w:t>
            </w:r>
            <w:r w:rsidRPr="000A4491">
              <w:rPr>
                <w:rFonts w:ascii="Verdana" w:hAnsi="Verdana"/>
                <w:sz w:val="20"/>
              </w:rPr>
              <w:fldChar w:fldCharType="begin"/>
            </w:r>
            <w:r w:rsidRPr="000A4491">
              <w:rPr>
                <w:rFonts w:ascii="Verdana" w:hAnsi="Verdana"/>
                <w:sz w:val="20"/>
              </w:rPr>
              <w:instrText>xe "</w:instrText>
            </w:r>
            <w:r w:rsidRPr="000A4491">
              <w:rPr>
                <w:rStyle w:val="Hyperlink"/>
                <w:rFonts w:ascii="Verdana" w:hAnsi="Verdana"/>
                <w:bCs/>
                <w:sz w:val="20"/>
              </w:rPr>
              <w:instrText>Direct Inward Dialing</w:instrText>
            </w:r>
            <w:r w:rsidRPr="000A4491">
              <w:rPr>
                <w:rFonts w:ascii="Verdana" w:hAnsi="Verdana"/>
                <w:sz w:val="20"/>
              </w:rPr>
              <w:instrText>"</w:instrText>
            </w:r>
            <w:r w:rsidRPr="000A4491">
              <w:rPr>
                <w:rFonts w:ascii="Verdana" w:hAnsi="Verdana"/>
                <w:sz w:val="20"/>
              </w:rPr>
              <w:fldChar w:fldCharType="end"/>
            </w:r>
            <w:r w:rsidRPr="000A4491">
              <w:rPr>
                <w:rFonts w:ascii="Verdana" w:hAnsi="Verdana"/>
                <w:sz w:val="20"/>
              </w:rPr>
              <w:t>.  The switchboard or attendant console may include Direct Station Selection</w:t>
            </w:r>
            <w:r w:rsidRPr="000A4491">
              <w:rPr>
                <w:rFonts w:ascii="Verdana" w:hAnsi="Verdana"/>
                <w:sz w:val="20"/>
              </w:rPr>
              <w:fldChar w:fldCharType="begin"/>
            </w:r>
            <w:r w:rsidRPr="000A4491">
              <w:rPr>
                <w:rFonts w:ascii="Verdana" w:hAnsi="Verdana"/>
                <w:sz w:val="20"/>
              </w:rPr>
              <w:instrText>xe "Direct Station Selection"</w:instrText>
            </w:r>
            <w:r w:rsidRPr="000A4491">
              <w:rPr>
                <w:rFonts w:ascii="Verdana" w:hAnsi="Verdana"/>
                <w:sz w:val="20"/>
              </w:rPr>
              <w:fldChar w:fldCharType="end"/>
            </w:r>
            <w:r w:rsidRPr="000A4491">
              <w:rPr>
                <w:rFonts w:ascii="Verdana" w:hAnsi="Verdana"/>
                <w:sz w:val="20"/>
              </w:rPr>
              <w:t xml:space="preserve"> (DSS), which provides an easy means for transferring calls.</w:t>
            </w:r>
          </w:p>
        </w:tc>
      </w:tr>
      <w:tr w:rsidR="00F935B1" w14:paraId="4186FB65" w14:textId="77777777" w:rsidTr="0083602C">
        <w:trPr>
          <w:tblCellSpacing w:w="15" w:type="dxa"/>
        </w:trPr>
        <w:tc>
          <w:tcPr>
            <w:tcW w:w="3656" w:type="dxa"/>
          </w:tcPr>
          <w:p w14:paraId="5BAE345E" w14:textId="77777777" w:rsidR="00F935B1" w:rsidRPr="000A4491" w:rsidRDefault="00F935B1" w:rsidP="0083602C">
            <w:pPr>
              <w:rPr>
                <w:rFonts w:ascii="Verdana" w:hAnsi="Verdana"/>
                <w:sz w:val="20"/>
              </w:rPr>
            </w:pPr>
            <w:r w:rsidRPr="000A4491">
              <w:rPr>
                <w:rFonts w:ascii="Verdana" w:hAnsi="Verdana"/>
                <w:sz w:val="20"/>
              </w:rPr>
              <w:t>Switched Multimegabit Data Service</w:t>
            </w:r>
            <w:r w:rsidRPr="000A4491">
              <w:rPr>
                <w:rFonts w:ascii="Verdana" w:hAnsi="Verdana"/>
                <w:sz w:val="20"/>
              </w:rPr>
              <w:fldChar w:fldCharType="begin"/>
            </w:r>
            <w:r w:rsidRPr="000A4491">
              <w:rPr>
                <w:rFonts w:ascii="Verdana" w:hAnsi="Verdana"/>
                <w:sz w:val="20"/>
              </w:rPr>
              <w:instrText>xe "</w:instrText>
            </w:r>
            <w:r w:rsidRPr="000A4491">
              <w:rPr>
                <w:rStyle w:val="Hyperlink"/>
                <w:rFonts w:ascii="Verdana" w:hAnsi="Verdana"/>
                <w:sz w:val="20"/>
              </w:rPr>
              <w:instrText>Switched Multimegabit Data Service</w:instrText>
            </w:r>
            <w:r w:rsidRPr="000A4491">
              <w:rPr>
                <w:rFonts w:ascii="Verdana" w:hAnsi="Verdana"/>
                <w:sz w:val="20"/>
              </w:rPr>
              <w:instrText>"</w:instrText>
            </w:r>
            <w:r w:rsidRPr="000A4491">
              <w:rPr>
                <w:rFonts w:ascii="Verdana" w:hAnsi="Verdana"/>
                <w:sz w:val="20"/>
              </w:rPr>
              <w:fldChar w:fldCharType="end"/>
            </w:r>
            <w:r w:rsidRPr="000A4491">
              <w:rPr>
                <w:rFonts w:ascii="Verdana" w:hAnsi="Verdana"/>
                <w:sz w:val="20"/>
              </w:rPr>
              <w:t xml:space="preserve"> (SMDS</w:t>
            </w:r>
            <w:r w:rsidRPr="000A4491">
              <w:rPr>
                <w:rFonts w:ascii="Verdana" w:hAnsi="Verdana"/>
                <w:sz w:val="20"/>
              </w:rPr>
              <w:fldChar w:fldCharType="begin"/>
            </w:r>
            <w:r w:rsidRPr="000A4491">
              <w:rPr>
                <w:rFonts w:ascii="Verdana" w:hAnsi="Verdana"/>
                <w:sz w:val="20"/>
              </w:rPr>
              <w:instrText>xe "SMDS"</w:instrText>
            </w:r>
            <w:r w:rsidRPr="000A4491">
              <w:rPr>
                <w:rFonts w:ascii="Verdana" w:hAnsi="Verdana"/>
                <w:sz w:val="20"/>
              </w:rPr>
              <w:fldChar w:fldCharType="end"/>
            </w:r>
            <w:r w:rsidRPr="000A4491">
              <w:rPr>
                <w:rFonts w:ascii="Verdana" w:hAnsi="Verdana"/>
                <w:sz w:val="20"/>
              </w:rPr>
              <w:t>)</w:t>
            </w:r>
          </w:p>
          <w:p w14:paraId="451BD569" w14:textId="77777777" w:rsidR="00F935B1" w:rsidRPr="000A4491" w:rsidRDefault="00F935B1" w:rsidP="0083602C">
            <w:pPr>
              <w:rPr>
                <w:rFonts w:ascii="Verdana" w:hAnsi="Verdana"/>
                <w:sz w:val="20"/>
              </w:rPr>
            </w:pPr>
            <w:r w:rsidRPr="000A4491">
              <w:rPr>
                <w:rFonts w:ascii="Verdana" w:hAnsi="Verdana"/>
                <w:sz w:val="20"/>
              </w:rPr>
              <w:t>(</w:t>
            </w:r>
            <w:hyperlink w:anchor="aattDigitalTransmissionServices" w:history="1">
              <w:r w:rsidRPr="000A4491">
                <w:rPr>
                  <w:rStyle w:val="Hyperlink"/>
                  <w:rFonts w:ascii="Verdana" w:hAnsi="Verdana"/>
                  <w:sz w:val="20"/>
                </w:rPr>
                <w:t>Digital Transmission Services</w:t>
              </w:r>
            </w:hyperlink>
            <w:r w:rsidRPr="000A4491">
              <w:rPr>
                <w:rFonts w:ascii="Verdana" w:hAnsi="Verdana"/>
                <w:sz w:val="20"/>
              </w:rPr>
              <w:t>)</w:t>
            </w:r>
          </w:p>
        </w:tc>
        <w:tc>
          <w:tcPr>
            <w:tcW w:w="5441" w:type="dxa"/>
          </w:tcPr>
          <w:p w14:paraId="57D70020" w14:textId="77777777" w:rsidR="00F935B1" w:rsidRPr="000A4491" w:rsidRDefault="00F935B1" w:rsidP="0083602C">
            <w:pPr>
              <w:rPr>
                <w:rFonts w:ascii="Verdana" w:hAnsi="Verdana"/>
                <w:sz w:val="20"/>
              </w:rPr>
            </w:pPr>
            <w:r w:rsidRPr="000A4491">
              <w:rPr>
                <w:rFonts w:ascii="Verdana" w:hAnsi="Verdana"/>
                <w:sz w:val="20"/>
              </w:rPr>
              <w:t>Switched Multimegabit Data Service</w:t>
            </w:r>
            <w:r w:rsidRPr="000A4491">
              <w:rPr>
                <w:rFonts w:ascii="Verdana" w:hAnsi="Verdana"/>
                <w:sz w:val="20"/>
              </w:rPr>
              <w:fldChar w:fldCharType="begin"/>
            </w:r>
            <w:r w:rsidRPr="000A4491">
              <w:rPr>
                <w:rFonts w:ascii="Verdana" w:hAnsi="Verdana"/>
                <w:sz w:val="20"/>
              </w:rPr>
              <w:instrText>xe "</w:instrText>
            </w:r>
            <w:r w:rsidRPr="000A4491">
              <w:rPr>
                <w:rStyle w:val="Hyperlink"/>
                <w:rFonts w:ascii="Verdana" w:hAnsi="Verdana"/>
                <w:sz w:val="20"/>
              </w:rPr>
              <w:instrText>Switched Multimegabit Data Service</w:instrText>
            </w:r>
            <w:r w:rsidRPr="000A4491">
              <w:rPr>
                <w:rFonts w:ascii="Verdana" w:hAnsi="Verdana"/>
                <w:sz w:val="20"/>
              </w:rPr>
              <w:instrText>"</w:instrText>
            </w:r>
            <w:r w:rsidRPr="000A4491">
              <w:rPr>
                <w:rFonts w:ascii="Verdana" w:hAnsi="Verdana"/>
                <w:sz w:val="20"/>
              </w:rPr>
              <w:fldChar w:fldCharType="end"/>
            </w:r>
            <w:r w:rsidRPr="000A4491">
              <w:rPr>
                <w:rFonts w:ascii="Verdana" w:hAnsi="Verdana"/>
                <w:sz w:val="20"/>
              </w:rPr>
              <w:t xml:space="preserve"> (SMDS</w:t>
            </w:r>
            <w:r w:rsidRPr="000A4491">
              <w:rPr>
                <w:rFonts w:ascii="Verdana" w:hAnsi="Verdana"/>
                <w:sz w:val="20"/>
              </w:rPr>
              <w:fldChar w:fldCharType="begin"/>
            </w:r>
            <w:r w:rsidRPr="000A4491">
              <w:rPr>
                <w:rFonts w:ascii="Verdana" w:hAnsi="Verdana"/>
                <w:sz w:val="20"/>
              </w:rPr>
              <w:instrText>xe "SMDS"</w:instrText>
            </w:r>
            <w:r w:rsidRPr="000A4491">
              <w:rPr>
                <w:rFonts w:ascii="Verdana" w:hAnsi="Verdana"/>
                <w:sz w:val="20"/>
              </w:rPr>
              <w:fldChar w:fldCharType="end"/>
            </w:r>
            <w:r w:rsidRPr="000A4491">
              <w:rPr>
                <w:rFonts w:ascii="Verdana" w:hAnsi="Verdana"/>
                <w:sz w:val="20"/>
              </w:rPr>
              <w:t>) is a type of Digital Transmission Service offered by telephone companies that operates at speeds of from 1.544 Megabits per second to 45 Megabits per second or even more.</w:t>
            </w:r>
          </w:p>
          <w:p w14:paraId="6E2CA370" w14:textId="77777777" w:rsidR="00F935B1" w:rsidRPr="000A4491" w:rsidRDefault="00F935B1" w:rsidP="0083602C">
            <w:pPr>
              <w:rPr>
                <w:rFonts w:ascii="Verdana" w:hAnsi="Verdana"/>
                <w:sz w:val="20"/>
              </w:rPr>
            </w:pPr>
          </w:p>
        </w:tc>
      </w:tr>
      <w:tr w:rsidR="00F935B1" w14:paraId="5709F8C7" w14:textId="77777777" w:rsidTr="0083602C">
        <w:trPr>
          <w:tblCellSpacing w:w="15" w:type="dxa"/>
        </w:trPr>
        <w:tc>
          <w:tcPr>
            <w:tcW w:w="3656" w:type="dxa"/>
          </w:tcPr>
          <w:p w14:paraId="72672755" w14:textId="77777777" w:rsidR="00F935B1" w:rsidRPr="000A4491" w:rsidRDefault="00F935B1" w:rsidP="0083602C">
            <w:pPr>
              <w:rPr>
                <w:rFonts w:ascii="Verdana" w:hAnsi="Verdana"/>
                <w:sz w:val="20"/>
              </w:rPr>
            </w:pPr>
            <w:r w:rsidRPr="000A4491">
              <w:rPr>
                <w:rFonts w:ascii="Verdana" w:hAnsi="Verdana"/>
                <w:sz w:val="20"/>
              </w:rPr>
              <w:t>System Improvements and Upgrades</w:t>
            </w:r>
            <w:r w:rsidRPr="000A4491">
              <w:rPr>
                <w:rFonts w:ascii="Verdana" w:hAnsi="Verdana"/>
                <w:sz w:val="20"/>
              </w:rPr>
              <w:fldChar w:fldCharType="begin"/>
            </w:r>
            <w:r w:rsidRPr="000A4491">
              <w:rPr>
                <w:rFonts w:ascii="Verdana" w:hAnsi="Verdana"/>
                <w:sz w:val="20"/>
              </w:rPr>
              <w:instrText>xe "System Improvements"</w:instrText>
            </w:r>
            <w:r w:rsidRPr="000A4491">
              <w:rPr>
                <w:rFonts w:ascii="Verdana" w:hAnsi="Verdana"/>
                <w:sz w:val="20"/>
              </w:rPr>
              <w:fldChar w:fldCharType="end"/>
            </w:r>
            <w:r w:rsidRPr="000A4491">
              <w:rPr>
                <w:rFonts w:ascii="Verdana" w:hAnsi="Verdana"/>
                <w:sz w:val="20"/>
              </w:rPr>
              <w:t xml:space="preserve"> </w:t>
            </w:r>
            <w:r w:rsidRPr="000A4491">
              <w:rPr>
                <w:rFonts w:ascii="Verdana" w:hAnsi="Verdana"/>
                <w:sz w:val="20"/>
              </w:rPr>
              <w:br/>
              <w:t>(</w:t>
            </w:r>
            <w:hyperlink w:anchor="aaOtherEligibleComponents" w:history="1">
              <w:r w:rsidRPr="000A4491">
                <w:rPr>
                  <w:rStyle w:val="Hyperlink"/>
                  <w:rFonts w:ascii="Verdana" w:hAnsi="Verdana"/>
                  <w:sz w:val="20"/>
                </w:rPr>
                <w:t>Other Eligible Internal Connections Components</w:t>
              </w:r>
            </w:hyperlink>
            <w:r w:rsidRPr="000A4491">
              <w:rPr>
                <w:rFonts w:ascii="Verdana" w:hAnsi="Verdana"/>
                <w:sz w:val="20"/>
              </w:rPr>
              <w:t>)</w:t>
            </w:r>
          </w:p>
        </w:tc>
        <w:tc>
          <w:tcPr>
            <w:tcW w:w="5441" w:type="dxa"/>
          </w:tcPr>
          <w:p w14:paraId="7A5CD951" w14:textId="77777777" w:rsidR="00F935B1" w:rsidRPr="000A4491" w:rsidRDefault="00F935B1" w:rsidP="0083602C">
            <w:pPr>
              <w:pStyle w:val="NormalWeb"/>
              <w:spacing w:before="0" w:beforeAutospacing="0" w:after="0"/>
              <w:rPr>
                <w:rFonts w:ascii="Verdana" w:hAnsi="Verdana"/>
                <w:sz w:val="20"/>
              </w:rPr>
            </w:pPr>
            <w:r w:rsidRPr="000A4491">
              <w:rPr>
                <w:rFonts w:ascii="Verdana" w:hAnsi="Verdana"/>
                <w:sz w:val="20"/>
              </w:rPr>
              <w:t>A system improvement or upgrade</w:t>
            </w:r>
            <w:r w:rsidRPr="000A4491">
              <w:rPr>
                <w:rFonts w:ascii="Verdana" w:hAnsi="Verdana"/>
                <w:sz w:val="20"/>
              </w:rPr>
              <w:fldChar w:fldCharType="begin"/>
            </w:r>
            <w:r w:rsidRPr="000A4491">
              <w:rPr>
                <w:rFonts w:ascii="Verdana" w:hAnsi="Verdana"/>
                <w:sz w:val="20"/>
              </w:rPr>
              <w:instrText>xe "System Upgrade"</w:instrText>
            </w:r>
            <w:r w:rsidRPr="000A4491">
              <w:rPr>
                <w:rFonts w:ascii="Verdana" w:hAnsi="Verdana"/>
                <w:sz w:val="20"/>
              </w:rPr>
              <w:fldChar w:fldCharType="end"/>
            </w:r>
            <w:r w:rsidRPr="000A4491">
              <w:rPr>
                <w:rFonts w:ascii="Verdana" w:hAnsi="Verdana"/>
                <w:sz w:val="20"/>
              </w:rPr>
              <w:t xml:space="preserve"> provides enhanced functionality to an existing product or configuration</w:t>
            </w:r>
            <w:r w:rsidRPr="000A4491">
              <w:rPr>
                <w:rFonts w:ascii="Verdana" w:hAnsi="Verdana"/>
                <w:sz w:val="20"/>
              </w:rPr>
              <w:fldChar w:fldCharType="begin"/>
            </w:r>
            <w:r w:rsidRPr="000A4491">
              <w:rPr>
                <w:rFonts w:ascii="Verdana" w:hAnsi="Verdana"/>
                <w:sz w:val="20"/>
              </w:rPr>
              <w:instrText>xe "</w:instrText>
            </w:r>
            <w:r w:rsidRPr="000A4491">
              <w:rPr>
                <w:rFonts w:ascii="Verdana" w:hAnsi="Verdana"/>
                <w:bCs/>
                <w:sz w:val="20"/>
              </w:rPr>
              <w:instrText>Configuration</w:instrText>
            </w:r>
            <w:r w:rsidRPr="000A4491">
              <w:rPr>
                <w:rFonts w:ascii="Verdana" w:hAnsi="Verdana"/>
                <w:sz w:val="20"/>
              </w:rPr>
              <w:instrText>"</w:instrText>
            </w:r>
            <w:r w:rsidRPr="000A4491">
              <w:rPr>
                <w:rFonts w:ascii="Verdana" w:hAnsi="Verdana"/>
                <w:sz w:val="20"/>
              </w:rPr>
              <w:fldChar w:fldCharType="end"/>
            </w:r>
            <w:r w:rsidRPr="000A4491">
              <w:rPr>
                <w:rFonts w:ascii="Verdana" w:hAnsi="Verdana"/>
                <w:sz w:val="20"/>
              </w:rPr>
              <w:t xml:space="preserve"> of products.</w:t>
            </w:r>
          </w:p>
        </w:tc>
      </w:tr>
      <w:tr w:rsidR="00F935B1" w14:paraId="3FAF1015" w14:textId="77777777" w:rsidTr="0083602C">
        <w:trPr>
          <w:tblCellSpacing w:w="15" w:type="dxa"/>
        </w:trPr>
        <w:tc>
          <w:tcPr>
            <w:tcW w:w="3656" w:type="dxa"/>
          </w:tcPr>
          <w:p w14:paraId="3499C9FA" w14:textId="77777777" w:rsidR="00F935B1" w:rsidRPr="000A4491" w:rsidRDefault="00F935B1" w:rsidP="0083602C">
            <w:pPr>
              <w:rPr>
                <w:rFonts w:ascii="Verdana" w:hAnsi="Verdana"/>
                <w:sz w:val="20"/>
              </w:rPr>
            </w:pPr>
            <w:r w:rsidRPr="000A4491">
              <w:rPr>
                <w:rFonts w:ascii="Verdana" w:hAnsi="Verdana"/>
                <w:sz w:val="20"/>
              </w:rPr>
              <w:t>T-1</w:t>
            </w:r>
            <w:r w:rsidRPr="000A4491">
              <w:rPr>
                <w:rFonts w:ascii="Verdana" w:hAnsi="Verdana"/>
                <w:sz w:val="20"/>
              </w:rPr>
              <w:fldChar w:fldCharType="begin"/>
            </w:r>
            <w:r w:rsidRPr="000A4491">
              <w:rPr>
                <w:rFonts w:ascii="Verdana" w:hAnsi="Verdana"/>
                <w:sz w:val="20"/>
              </w:rPr>
              <w:instrText>xe "</w:instrText>
            </w:r>
            <w:r w:rsidRPr="000A4491">
              <w:rPr>
                <w:rStyle w:val="Hyperlink"/>
                <w:rFonts w:ascii="Verdana" w:hAnsi="Verdana"/>
                <w:sz w:val="20"/>
              </w:rPr>
              <w:instrText>T-1</w:instrText>
            </w:r>
            <w:r w:rsidRPr="000A4491">
              <w:rPr>
                <w:rFonts w:ascii="Verdana" w:hAnsi="Verdana"/>
                <w:sz w:val="20"/>
              </w:rPr>
              <w:instrText>"</w:instrText>
            </w:r>
            <w:r w:rsidRPr="000A4491">
              <w:rPr>
                <w:rFonts w:ascii="Verdana" w:hAnsi="Verdana"/>
                <w:sz w:val="20"/>
              </w:rPr>
              <w:fldChar w:fldCharType="end"/>
            </w:r>
          </w:p>
          <w:p w14:paraId="0AE653F1" w14:textId="77777777" w:rsidR="00F935B1" w:rsidRPr="000A4491" w:rsidRDefault="00F935B1" w:rsidP="0083602C">
            <w:pPr>
              <w:rPr>
                <w:rFonts w:ascii="Verdana" w:hAnsi="Verdana"/>
                <w:sz w:val="20"/>
              </w:rPr>
            </w:pPr>
            <w:r w:rsidRPr="000A4491">
              <w:rPr>
                <w:rFonts w:ascii="Verdana" w:hAnsi="Verdana"/>
                <w:sz w:val="20"/>
              </w:rPr>
              <w:t>(</w:t>
            </w:r>
            <w:hyperlink w:anchor="aattDigitalTransmissionServices" w:history="1">
              <w:r w:rsidRPr="000A4491">
                <w:rPr>
                  <w:rStyle w:val="Hyperlink"/>
                  <w:rFonts w:ascii="Verdana" w:hAnsi="Verdana"/>
                  <w:sz w:val="20"/>
                </w:rPr>
                <w:t>Digital Transmission Services</w:t>
              </w:r>
            </w:hyperlink>
            <w:r w:rsidRPr="000A4491">
              <w:rPr>
                <w:rFonts w:ascii="Verdana" w:hAnsi="Verdana"/>
                <w:sz w:val="20"/>
              </w:rPr>
              <w:t>)</w:t>
            </w:r>
          </w:p>
        </w:tc>
        <w:tc>
          <w:tcPr>
            <w:tcW w:w="5441" w:type="dxa"/>
          </w:tcPr>
          <w:p w14:paraId="412EE90B" w14:textId="77777777" w:rsidR="00F935B1" w:rsidRPr="000A4491" w:rsidRDefault="00F935B1" w:rsidP="0083602C">
            <w:pPr>
              <w:rPr>
                <w:rFonts w:ascii="Verdana" w:hAnsi="Verdana"/>
                <w:sz w:val="20"/>
              </w:rPr>
            </w:pPr>
            <w:r w:rsidRPr="000A4491">
              <w:rPr>
                <w:rFonts w:ascii="Verdana" w:hAnsi="Verdana"/>
                <w:sz w:val="20"/>
              </w:rPr>
              <w:t>T-1</w:t>
            </w:r>
            <w:r w:rsidRPr="000A4491">
              <w:rPr>
                <w:rFonts w:ascii="Verdana" w:hAnsi="Verdana"/>
                <w:sz w:val="20"/>
              </w:rPr>
              <w:fldChar w:fldCharType="begin"/>
            </w:r>
            <w:r w:rsidRPr="000A4491">
              <w:rPr>
                <w:rFonts w:ascii="Verdana" w:hAnsi="Verdana"/>
                <w:sz w:val="20"/>
              </w:rPr>
              <w:instrText>xe "</w:instrText>
            </w:r>
            <w:r w:rsidRPr="000A4491">
              <w:rPr>
                <w:rStyle w:val="Hyperlink"/>
                <w:rFonts w:ascii="Verdana" w:hAnsi="Verdana"/>
                <w:sz w:val="20"/>
              </w:rPr>
              <w:instrText>T-1</w:instrText>
            </w:r>
            <w:r w:rsidRPr="000A4491">
              <w:rPr>
                <w:rFonts w:ascii="Verdana" w:hAnsi="Verdana"/>
                <w:sz w:val="20"/>
              </w:rPr>
              <w:instrText>"</w:instrText>
            </w:r>
            <w:r w:rsidRPr="000A4491">
              <w:rPr>
                <w:rFonts w:ascii="Verdana" w:hAnsi="Verdana"/>
                <w:sz w:val="20"/>
              </w:rPr>
              <w:fldChar w:fldCharType="end"/>
            </w:r>
            <w:r w:rsidRPr="000A4491">
              <w:rPr>
                <w:rFonts w:ascii="Verdana" w:hAnsi="Verdana"/>
                <w:sz w:val="20"/>
              </w:rPr>
              <w:t>, which stands for Trunk Level 1, is a Digital Transmission Service that operates at 1.544 Megabits per second.  Greater speeds are available from other Trunk Levels, such as T-2 (6.312 Mbps) or T-3</w:t>
            </w:r>
            <w:r w:rsidRPr="000A4491">
              <w:rPr>
                <w:rFonts w:ascii="Verdana" w:hAnsi="Verdana"/>
                <w:sz w:val="20"/>
              </w:rPr>
              <w:fldChar w:fldCharType="begin"/>
            </w:r>
            <w:r w:rsidRPr="000A4491">
              <w:rPr>
                <w:rFonts w:ascii="Verdana" w:hAnsi="Verdana"/>
                <w:sz w:val="20"/>
              </w:rPr>
              <w:instrText>xe "T-3"</w:instrText>
            </w:r>
            <w:r w:rsidRPr="000A4491">
              <w:rPr>
                <w:rFonts w:ascii="Verdana" w:hAnsi="Verdana"/>
                <w:sz w:val="20"/>
              </w:rPr>
              <w:fldChar w:fldCharType="end"/>
            </w:r>
            <w:r w:rsidRPr="000A4491">
              <w:rPr>
                <w:rFonts w:ascii="Verdana" w:hAnsi="Verdana"/>
                <w:sz w:val="20"/>
              </w:rPr>
              <w:t xml:space="preserve"> (44.736 Mbps).  Slower speeds are known as Fractional T-1</w:t>
            </w:r>
            <w:r w:rsidRPr="000A4491">
              <w:rPr>
                <w:rFonts w:ascii="Verdana" w:hAnsi="Verdana"/>
                <w:sz w:val="20"/>
              </w:rPr>
              <w:fldChar w:fldCharType="begin"/>
            </w:r>
            <w:r w:rsidRPr="000A4491">
              <w:rPr>
                <w:rFonts w:ascii="Verdana" w:hAnsi="Verdana"/>
                <w:sz w:val="20"/>
              </w:rPr>
              <w:instrText>xe "Fractional T-1"</w:instrText>
            </w:r>
            <w:r w:rsidRPr="000A4491">
              <w:rPr>
                <w:rFonts w:ascii="Verdana" w:hAnsi="Verdana"/>
                <w:sz w:val="20"/>
              </w:rPr>
              <w:fldChar w:fldCharType="end"/>
            </w:r>
            <w:r w:rsidRPr="000A4491">
              <w:rPr>
                <w:rFonts w:ascii="Verdana" w:hAnsi="Verdana"/>
                <w:sz w:val="20"/>
              </w:rPr>
              <w:t>.</w:t>
            </w:r>
          </w:p>
        </w:tc>
      </w:tr>
      <w:tr w:rsidR="00F935B1" w14:paraId="7FDA7245" w14:textId="77777777" w:rsidTr="0083602C">
        <w:trPr>
          <w:tblCellSpacing w:w="15" w:type="dxa"/>
        </w:trPr>
        <w:tc>
          <w:tcPr>
            <w:tcW w:w="3656" w:type="dxa"/>
          </w:tcPr>
          <w:p w14:paraId="3A08BB3D" w14:textId="77777777" w:rsidR="00F935B1" w:rsidRPr="000A4491" w:rsidRDefault="00F935B1" w:rsidP="0083602C">
            <w:pPr>
              <w:rPr>
                <w:rFonts w:ascii="Verdana" w:hAnsi="Verdana"/>
                <w:sz w:val="20"/>
              </w:rPr>
            </w:pPr>
            <w:r w:rsidRPr="000A4491">
              <w:rPr>
                <w:rFonts w:ascii="Verdana" w:hAnsi="Verdana"/>
                <w:sz w:val="20"/>
              </w:rPr>
              <w:t xml:space="preserve">Tablet </w:t>
            </w:r>
          </w:p>
          <w:p w14:paraId="7C03E32E" w14:textId="77777777" w:rsidR="00F935B1" w:rsidRPr="000A4491" w:rsidRDefault="00F935B1" w:rsidP="0083602C">
            <w:pPr>
              <w:rPr>
                <w:rFonts w:ascii="Verdana" w:hAnsi="Verdana"/>
                <w:sz w:val="20"/>
              </w:rPr>
            </w:pPr>
            <w:r w:rsidRPr="000A4491">
              <w:rPr>
                <w:rFonts w:ascii="Verdana" w:hAnsi="Verdana"/>
                <w:sz w:val="20"/>
              </w:rPr>
              <w:t>(</w:t>
            </w:r>
            <w:hyperlink w:anchor="aaIneligibleComponents" w:history="1">
              <w:r w:rsidRPr="000A4491">
                <w:rPr>
                  <w:rStyle w:val="Hyperlink"/>
                  <w:rFonts w:ascii="Verdana" w:hAnsi="Verdana"/>
                  <w:sz w:val="20"/>
                </w:rPr>
                <w:t>Not Eligible for E-rate Funding as Internal Connections Components</w:t>
              </w:r>
            </w:hyperlink>
            <w:r w:rsidRPr="000A4491">
              <w:rPr>
                <w:rFonts w:ascii="Verdana" w:hAnsi="Verdana"/>
                <w:sz w:val="20"/>
              </w:rPr>
              <w:t>)</w:t>
            </w:r>
          </w:p>
        </w:tc>
        <w:tc>
          <w:tcPr>
            <w:tcW w:w="5441" w:type="dxa"/>
          </w:tcPr>
          <w:p w14:paraId="3C2F5B9D" w14:textId="77777777" w:rsidR="00F935B1" w:rsidRPr="000A4491" w:rsidRDefault="00F935B1" w:rsidP="0083602C">
            <w:pPr>
              <w:rPr>
                <w:rFonts w:ascii="Verdana" w:hAnsi="Verdana"/>
                <w:sz w:val="20"/>
              </w:rPr>
            </w:pPr>
            <w:r w:rsidRPr="000A4491">
              <w:rPr>
                <w:rFonts w:ascii="Verdana" w:hAnsi="Verdana"/>
                <w:sz w:val="20"/>
              </w:rPr>
              <w:t xml:space="preserve">A complete mobile computer, larger than a mobile phone or personal digital assistant, integrated into a flat touch screen and primarily operated by touching the screen. It often uses an onscreen virtual keyboard or a digital pen rather than a physical keyboard. </w:t>
            </w:r>
          </w:p>
        </w:tc>
      </w:tr>
      <w:tr w:rsidR="00F935B1" w14:paraId="1C02718B" w14:textId="77777777" w:rsidTr="0083602C">
        <w:trPr>
          <w:tblCellSpacing w:w="15" w:type="dxa"/>
        </w:trPr>
        <w:tc>
          <w:tcPr>
            <w:tcW w:w="3656" w:type="dxa"/>
          </w:tcPr>
          <w:p w14:paraId="7A5EB1E8" w14:textId="77777777" w:rsidR="00F935B1" w:rsidRPr="000A4491" w:rsidRDefault="00F935B1" w:rsidP="0083602C">
            <w:pPr>
              <w:rPr>
                <w:rFonts w:ascii="Verdana" w:hAnsi="Verdana"/>
                <w:sz w:val="20"/>
              </w:rPr>
            </w:pPr>
            <w:r w:rsidRPr="000A4491">
              <w:rPr>
                <w:rFonts w:ascii="Verdana" w:hAnsi="Verdana"/>
                <w:sz w:val="20"/>
              </w:rPr>
              <w:t>Tape Backup</w:t>
            </w:r>
            <w:r w:rsidRPr="000A4491">
              <w:rPr>
                <w:rFonts w:ascii="Verdana" w:hAnsi="Verdana"/>
                <w:sz w:val="20"/>
              </w:rPr>
              <w:fldChar w:fldCharType="begin"/>
            </w:r>
            <w:r w:rsidRPr="000A4491">
              <w:rPr>
                <w:rFonts w:ascii="Verdana" w:hAnsi="Verdana"/>
                <w:sz w:val="20"/>
              </w:rPr>
              <w:instrText>xe "</w:instrText>
            </w:r>
            <w:r w:rsidRPr="000A4491">
              <w:rPr>
                <w:rStyle w:val="Hyperlink"/>
                <w:rFonts w:ascii="Verdana" w:hAnsi="Verdana"/>
                <w:bCs/>
                <w:sz w:val="20"/>
              </w:rPr>
              <w:instrText>Tape Backup</w:instrText>
            </w:r>
            <w:r w:rsidRPr="000A4491">
              <w:rPr>
                <w:rFonts w:ascii="Verdana" w:hAnsi="Verdana"/>
                <w:sz w:val="20"/>
              </w:rPr>
              <w:instrText>"</w:instrText>
            </w:r>
            <w:r w:rsidRPr="000A4491">
              <w:rPr>
                <w:rFonts w:ascii="Verdana" w:hAnsi="Verdana"/>
                <w:sz w:val="20"/>
              </w:rPr>
              <w:fldChar w:fldCharType="end"/>
            </w:r>
            <w:r w:rsidRPr="000A4491">
              <w:rPr>
                <w:rFonts w:ascii="Verdana" w:hAnsi="Verdana"/>
                <w:sz w:val="20"/>
              </w:rPr>
              <w:t xml:space="preserve"> </w:t>
            </w:r>
            <w:r w:rsidRPr="000A4491">
              <w:rPr>
                <w:rFonts w:ascii="Verdana" w:hAnsi="Verdana"/>
                <w:sz w:val="20"/>
              </w:rPr>
              <w:br/>
              <w:t>(</w:t>
            </w:r>
            <w:hyperlink w:anchor="aaDataProtection" w:history="1">
              <w:r w:rsidRPr="000A4491">
                <w:rPr>
                  <w:rStyle w:val="Hyperlink"/>
                  <w:rFonts w:ascii="Verdana" w:hAnsi="Verdana"/>
                  <w:sz w:val="20"/>
                </w:rPr>
                <w:t>Data Protection</w:t>
              </w:r>
              <w:r w:rsidRPr="000A4491">
                <w:rPr>
                  <w:rFonts w:ascii="Verdana" w:hAnsi="Verdana"/>
                  <w:sz w:val="20"/>
                </w:rPr>
                <w:fldChar w:fldCharType="begin"/>
              </w:r>
              <w:r w:rsidRPr="000A4491">
                <w:rPr>
                  <w:rFonts w:ascii="Verdana" w:hAnsi="Verdana"/>
                  <w:sz w:val="20"/>
                </w:rPr>
                <w:instrText>xe "Data Protection"</w:instrText>
              </w:r>
              <w:r w:rsidRPr="000A4491">
                <w:rPr>
                  <w:rFonts w:ascii="Verdana" w:hAnsi="Verdana"/>
                  <w:sz w:val="20"/>
                </w:rPr>
                <w:fldChar w:fldCharType="end"/>
              </w:r>
            </w:hyperlink>
            <w:r w:rsidRPr="000A4491">
              <w:rPr>
                <w:rFonts w:ascii="Verdana" w:hAnsi="Verdana"/>
                <w:sz w:val="20"/>
              </w:rPr>
              <w:t>)</w:t>
            </w:r>
          </w:p>
        </w:tc>
        <w:tc>
          <w:tcPr>
            <w:tcW w:w="5441" w:type="dxa"/>
          </w:tcPr>
          <w:p w14:paraId="1DDC0041" w14:textId="77777777" w:rsidR="00F935B1" w:rsidRPr="000A4491" w:rsidRDefault="00F935B1" w:rsidP="0083602C">
            <w:pPr>
              <w:pStyle w:val="NormalWeb"/>
              <w:spacing w:before="0" w:beforeAutospacing="0" w:after="0"/>
              <w:rPr>
                <w:rFonts w:ascii="Verdana" w:hAnsi="Verdana"/>
                <w:sz w:val="20"/>
              </w:rPr>
            </w:pPr>
            <w:r w:rsidRPr="000A4491">
              <w:rPr>
                <w:rFonts w:ascii="Verdana" w:hAnsi="Verdana"/>
                <w:sz w:val="20"/>
              </w:rPr>
              <w:t>Tape Backup</w:t>
            </w:r>
            <w:r w:rsidRPr="000A4491">
              <w:rPr>
                <w:rFonts w:ascii="Verdana" w:hAnsi="Verdana"/>
                <w:sz w:val="20"/>
              </w:rPr>
              <w:fldChar w:fldCharType="begin"/>
            </w:r>
            <w:r w:rsidRPr="000A4491">
              <w:rPr>
                <w:rFonts w:ascii="Verdana" w:hAnsi="Verdana"/>
                <w:sz w:val="20"/>
              </w:rPr>
              <w:instrText>xe "</w:instrText>
            </w:r>
            <w:r w:rsidRPr="000A4491">
              <w:rPr>
                <w:rStyle w:val="Hyperlink"/>
                <w:rFonts w:ascii="Verdana" w:hAnsi="Verdana"/>
                <w:bCs/>
                <w:sz w:val="20"/>
              </w:rPr>
              <w:instrText>Tape Backup</w:instrText>
            </w:r>
            <w:r w:rsidRPr="000A4491">
              <w:rPr>
                <w:rFonts w:ascii="Verdana" w:hAnsi="Verdana"/>
                <w:sz w:val="20"/>
              </w:rPr>
              <w:instrText>"</w:instrText>
            </w:r>
            <w:r w:rsidRPr="000A4491">
              <w:rPr>
                <w:rFonts w:ascii="Verdana" w:hAnsi="Verdana"/>
                <w:sz w:val="20"/>
              </w:rPr>
              <w:fldChar w:fldCharType="end"/>
            </w:r>
            <w:r w:rsidRPr="000A4491">
              <w:rPr>
                <w:rFonts w:ascii="Verdana" w:hAnsi="Verdana"/>
                <w:sz w:val="20"/>
              </w:rPr>
              <w:t xml:space="preserve"> units provide copies of computer files on magnetic tape, for protection against a catastrophic failure.  Tape backup technologies include QIC, DAT, 8mm, DLT, AIT, and ADR. </w:t>
            </w:r>
          </w:p>
        </w:tc>
      </w:tr>
      <w:tr w:rsidR="00F935B1" w14:paraId="28524A45" w14:textId="77777777" w:rsidTr="0083602C">
        <w:trPr>
          <w:tblCellSpacing w:w="15" w:type="dxa"/>
        </w:trPr>
        <w:tc>
          <w:tcPr>
            <w:tcW w:w="3656" w:type="dxa"/>
          </w:tcPr>
          <w:p w14:paraId="24CA9041" w14:textId="77777777" w:rsidR="00F935B1" w:rsidRPr="000A4491" w:rsidRDefault="00F935B1" w:rsidP="0083602C">
            <w:pPr>
              <w:rPr>
                <w:rFonts w:ascii="Verdana" w:hAnsi="Verdana"/>
                <w:b/>
                <w:sz w:val="20"/>
              </w:rPr>
            </w:pPr>
            <w:r w:rsidRPr="000A4491">
              <w:rPr>
                <w:rFonts w:ascii="Verdana" w:hAnsi="Verdana"/>
                <w:sz w:val="20"/>
              </w:rPr>
              <w:t>Telephones</w:t>
            </w:r>
            <w:r w:rsidRPr="000A4491">
              <w:rPr>
                <w:rFonts w:ascii="Verdana" w:hAnsi="Verdana"/>
                <w:sz w:val="20"/>
              </w:rPr>
              <w:fldChar w:fldCharType="begin"/>
            </w:r>
            <w:r w:rsidRPr="000A4491">
              <w:rPr>
                <w:rFonts w:ascii="Verdana" w:hAnsi="Verdana"/>
                <w:sz w:val="20"/>
              </w:rPr>
              <w:instrText>xe "Telephone"</w:instrText>
            </w:r>
            <w:r w:rsidRPr="000A4491">
              <w:rPr>
                <w:rFonts w:ascii="Verdana" w:hAnsi="Verdana"/>
                <w:sz w:val="20"/>
              </w:rPr>
              <w:fldChar w:fldCharType="end"/>
            </w:r>
            <w:r w:rsidRPr="000A4491">
              <w:rPr>
                <w:rFonts w:ascii="Verdana" w:hAnsi="Verdana"/>
                <w:sz w:val="20"/>
              </w:rPr>
              <w:br/>
              <w:t>(</w:t>
            </w:r>
            <w:hyperlink w:anchor="aaIneligibleComponents" w:history="1">
              <w:r w:rsidRPr="000A4491">
                <w:rPr>
                  <w:rStyle w:val="Hyperlink"/>
                  <w:rFonts w:ascii="Verdana" w:hAnsi="Verdana"/>
                  <w:sz w:val="20"/>
                </w:rPr>
                <w:t>Not Eligible for E-rate Funding as Internal Connections Components</w:t>
              </w:r>
            </w:hyperlink>
            <w:r w:rsidRPr="000A4491">
              <w:rPr>
                <w:rFonts w:ascii="Verdana" w:hAnsi="Verdana"/>
                <w:sz w:val="20"/>
              </w:rPr>
              <w:t>)</w:t>
            </w:r>
          </w:p>
        </w:tc>
        <w:tc>
          <w:tcPr>
            <w:tcW w:w="5441" w:type="dxa"/>
          </w:tcPr>
          <w:p w14:paraId="0A0CCE48" w14:textId="77777777" w:rsidR="00F935B1" w:rsidRPr="000A4491" w:rsidRDefault="00F935B1" w:rsidP="0083602C">
            <w:pPr>
              <w:pStyle w:val="NormalWeb"/>
              <w:spacing w:before="0" w:beforeAutospacing="0" w:after="0"/>
              <w:rPr>
                <w:rFonts w:ascii="Verdana" w:hAnsi="Verdana"/>
                <w:sz w:val="20"/>
              </w:rPr>
            </w:pPr>
            <w:r w:rsidRPr="000A4491">
              <w:rPr>
                <w:rFonts w:ascii="Verdana" w:hAnsi="Verdana"/>
                <w:sz w:val="20"/>
              </w:rPr>
              <w:t>Telephones, also known as telephone sets</w:t>
            </w:r>
            <w:r w:rsidRPr="000A4491">
              <w:rPr>
                <w:rFonts w:ascii="Verdana" w:hAnsi="Verdana"/>
                <w:sz w:val="20"/>
              </w:rPr>
              <w:fldChar w:fldCharType="begin"/>
            </w:r>
            <w:r w:rsidRPr="000A4491">
              <w:rPr>
                <w:rFonts w:ascii="Verdana" w:hAnsi="Verdana"/>
                <w:sz w:val="20"/>
              </w:rPr>
              <w:instrText>xe "Telephone</w:instrText>
            </w:r>
            <w:r w:rsidRPr="000A4491">
              <w:rPr>
                <w:rFonts w:ascii="Verdana" w:hAnsi="Verdana"/>
                <w:bCs/>
                <w:sz w:val="20"/>
              </w:rPr>
              <w:instrText xml:space="preserve"> Sets</w:instrText>
            </w:r>
            <w:r w:rsidRPr="000A4491">
              <w:rPr>
                <w:rFonts w:ascii="Verdana" w:hAnsi="Verdana"/>
                <w:sz w:val="20"/>
              </w:rPr>
              <w:instrText>"</w:instrText>
            </w:r>
            <w:r w:rsidRPr="000A4491">
              <w:rPr>
                <w:rFonts w:ascii="Verdana" w:hAnsi="Verdana"/>
                <w:sz w:val="20"/>
              </w:rPr>
              <w:fldChar w:fldCharType="end"/>
            </w:r>
            <w:r w:rsidRPr="000A4491">
              <w:rPr>
                <w:rFonts w:ascii="Verdana" w:hAnsi="Verdana"/>
                <w:sz w:val="20"/>
              </w:rPr>
              <w:t>, telephone instruments, digital voice terminals, and voice terminals, are the end-user equipment used to transmit and receive telephone communications.</w:t>
            </w:r>
          </w:p>
        </w:tc>
      </w:tr>
      <w:tr w:rsidR="00F935B1" w14:paraId="5B62446B" w14:textId="77777777" w:rsidTr="0083602C">
        <w:trPr>
          <w:tblCellSpacing w:w="15" w:type="dxa"/>
        </w:trPr>
        <w:tc>
          <w:tcPr>
            <w:tcW w:w="3656" w:type="dxa"/>
          </w:tcPr>
          <w:p w14:paraId="77F7EFB0" w14:textId="77777777" w:rsidR="00F935B1" w:rsidRPr="000A4491" w:rsidRDefault="00F935B1" w:rsidP="0083602C">
            <w:pPr>
              <w:rPr>
                <w:rFonts w:ascii="Verdana" w:hAnsi="Verdana"/>
                <w:sz w:val="20"/>
              </w:rPr>
            </w:pPr>
            <w:r w:rsidRPr="000A4491">
              <w:rPr>
                <w:rFonts w:ascii="Verdana" w:hAnsi="Verdana"/>
                <w:sz w:val="20"/>
              </w:rPr>
              <w:t>Terminal Adapter</w:t>
            </w:r>
            <w:r w:rsidRPr="000A4491">
              <w:rPr>
                <w:rFonts w:ascii="Verdana" w:hAnsi="Verdana"/>
                <w:sz w:val="20"/>
              </w:rPr>
              <w:fldChar w:fldCharType="begin"/>
            </w:r>
            <w:r w:rsidRPr="000A4491">
              <w:rPr>
                <w:rFonts w:ascii="Verdana" w:hAnsi="Verdana"/>
                <w:sz w:val="20"/>
              </w:rPr>
              <w:instrText>xe "</w:instrText>
            </w:r>
            <w:r w:rsidRPr="000A4491">
              <w:rPr>
                <w:rStyle w:val="Hyperlink"/>
                <w:rFonts w:ascii="Verdana" w:hAnsi="Verdana"/>
                <w:bCs/>
                <w:sz w:val="20"/>
              </w:rPr>
              <w:instrText>Terminal Adapter</w:instrText>
            </w:r>
            <w:r w:rsidRPr="000A4491">
              <w:rPr>
                <w:rFonts w:ascii="Verdana" w:hAnsi="Verdana"/>
                <w:sz w:val="20"/>
              </w:rPr>
              <w:instrText>"</w:instrText>
            </w:r>
            <w:r w:rsidRPr="000A4491">
              <w:rPr>
                <w:rFonts w:ascii="Verdana" w:hAnsi="Verdana"/>
                <w:sz w:val="20"/>
              </w:rPr>
              <w:fldChar w:fldCharType="end"/>
            </w:r>
            <w:r w:rsidRPr="000A4491">
              <w:rPr>
                <w:rFonts w:ascii="Verdana" w:hAnsi="Verdana"/>
                <w:sz w:val="20"/>
              </w:rPr>
              <w:t xml:space="preserve"> </w:t>
            </w:r>
            <w:r w:rsidRPr="000A4491">
              <w:rPr>
                <w:rFonts w:ascii="Verdana" w:hAnsi="Verdana"/>
                <w:sz w:val="20"/>
              </w:rPr>
              <w:br/>
              <w:t>(</w:t>
            </w:r>
            <w:hyperlink w:anchor="aaInterfacesGatewaysAntennas" w:history="1">
              <w:r w:rsidRPr="000A4491">
                <w:rPr>
                  <w:rStyle w:val="Hyperlink"/>
                  <w:rFonts w:ascii="Verdana" w:hAnsi="Verdana"/>
                  <w:sz w:val="20"/>
                </w:rPr>
                <w:t>Interfaces</w:t>
              </w:r>
              <w:r w:rsidRPr="000A4491">
                <w:rPr>
                  <w:rFonts w:ascii="Verdana" w:hAnsi="Verdana"/>
                  <w:sz w:val="20"/>
                </w:rPr>
                <w:fldChar w:fldCharType="begin"/>
              </w:r>
              <w:r w:rsidRPr="000A4491">
                <w:rPr>
                  <w:rFonts w:ascii="Verdana" w:hAnsi="Verdana"/>
                  <w:sz w:val="20"/>
                </w:rPr>
                <w:instrText>xe "</w:instrText>
              </w:r>
              <w:r w:rsidRPr="000A4491">
                <w:rPr>
                  <w:rFonts w:ascii="Verdana" w:hAnsi="Verdana"/>
                  <w:bCs/>
                  <w:sz w:val="20"/>
                </w:rPr>
                <w:instrText>Interfaces</w:instrText>
              </w:r>
              <w:r w:rsidRPr="000A4491">
                <w:rPr>
                  <w:rFonts w:ascii="Verdana" w:hAnsi="Verdana"/>
                  <w:sz w:val="20"/>
                </w:rPr>
                <w:instrText>"</w:instrText>
              </w:r>
              <w:r w:rsidRPr="000A4491">
                <w:rPr>
                  <w:rFonts w:ascii="Verdana" w:hAnsi="Verdana"/>
                  <w:sz w:val="20"/>
                </w:rPr>
                <w:fldChar w:fldCharType="end"/>
              </w:r>
            </w:hyperlink>
            <w:r w:rsidRPr="000A4491">
              <w:rPr>
                <w:rFonts w:ascii="Verdana" w:hAnsi="Verdana"/>
                <w:sz w:val="20"/>
              </w:rPr>
              <w:t>)</w:t>
            </w:r>
          </w:p>
        </w:tc>
        <w:tc>
          <w:tcPr>
            <w:tcW w:w="5441" w:type="dxa"/>
          </w:tcPr>
          <w:p w14:paraId="7DB31CBC" w14:textId="77777777" w:rsidR="00F935B1" w:rsidRPr="000A4491" w:rsidRDefault="00F935B1" w:rsidP="0083602C">
            <w:pPr>
              <w:pStyle w:val="NormalWeb"/>
              <w:spacing w:before="0" w:beforeAutospacing="0" w:after="0"/>
              <w:rPr>
                <w:rFonts w:ascii="Verdana" w:hAnsi="Verdana"/>
                <w:sz w:val="20"/>
              </w:rPr>
            </w:pPr>
            <w:r w:rsidRPr="000A4491">
              <w:rPr>
                <w:rFonts w:ascii="Verdana" w:hAnsi="Verdana"/>
                <w:sz w:val="20"/>
              </w:rPr>
              <w:t>A Terminal Adapter</w:t>
            </w:r>
            <w:r w:rsidRPr="000A4491">
              <w:rPr>
                <w:rFonts w:ascii="Verdana" w:hAnsi="Verdana"/>
                <w:sz w:val="20"/>
              </w:rPr>
              <w:fldChar w:fldCharType="begin"/>
            </w:r>
            <w:r w:rsidRPr="000A4491">
              <w:rPr>
                <w:rFonts w:ascii="Verdana" w:hAnsi="Verdana"/>
                <w:sz w:val="20"/>
              </w:rPr>
              <w:instrText>xe "</w:instrText>
            </w:r>
            <w:r w:rsidRPr="000A4491">
              <w:rPr>
                <w:rStyle w:val="Hyperlink"/>
                <w:rFonts w:ascii="Verdana" w:hAnsi="Verdana"/>
                <w:bCs/>
                <w:sz w:val="20"/>
              </w:rPr>
              <w:instrText>Terminal Adapter</w:instrText>
            </w:r>
            <w:r w:rsidRPr="000A4491">
              <w:rPr>
                <w:rFonts w:ascii="Verdana" w:hAnsi="Verdana"/>
                <w:sz w:val="20"/>
              </w:rPr>
              <w:instrText>"</w:instrText>
            </w:r>
            <w:r w:rsidRPr="000A4491">
              <w:rPr>
                <w:rFonts w:ascii="Verdana" w:hAnsi="Verdana"/>
                <w:sz w:val="20"/>
              </w:rPr>
              <w:fldChar w:fldCharType="end"/>
            </w:r>
            <w:r w:rsidRPr="000A4491">
              <w:rPr>
                <w:rFonts w:ascii="Verdana" w:hAnsi="Verdana"/>
                <w:sz w:val="20"/>
              </w:rPr>
              <w:t xml:space="preserve"> (TA) is a device that connects a computer to an external digital communications line, such as, an ISDN</w:t>
            </w:r>
            <w:r w:rsidRPr="000A4491">
              <w:rPr>
                <w:rFonts w:ascii="Verdana" w:hAnsi="Verdana"/>
                <w:sz w:val="20"/>
              </w:rPr>
              <w:fldChar w:fldCharType="begin"/>
            </w:r>
            <w:r w:rsidRPr="000A4491">
              <w:rPr>
                <w:rFonts w:ascii="Verdana" w:hAnsi="Verdana"/>
                <w:sz w:val="20"/>
              </w:rPr>
              <w:instrText>xe "ISDN"</w:instrText>
            </w:r>
            <w:r w:rsidRPr="000A4491">
              <w:rPr>
                <w:rFonts w:ascii="Verdana" w:hAnsi="Verdana"/>
                <w:sz w:val="20"/>
              </w:rPr>
              <w:fldChar w:fldCharType="end"/>
            </w:r>
            <w:r w:rsidRPr="000A4491">
              <w:rPr>
                <w:rFonts w:ascii="Verdana" w:hAnsi="Verdana"/>
                <w:sz w:val="20"/>
              </w:rPr>
              <w:t xml:space="preserve"> line.</w:t>
            </w:r>
          </w:p>
        </w:tc>
      </w:tr>
      <w:tr w:rsidR="00F935B1" w14:paraId="601F69A6" w14:textId="77777777" w:rsidTr="0083602C">
        <w:trPr>
          <w:tblCellSpacing w:w="15" w:type="dxa"/>
        </w:trPr>
        <w:tc>
          <w:tcPr>
            <w:tcW w:w="3656" w:type="dxa"/>
          </w:tcPr>
          <w:p w14:paraId="63E79AE7" w14:textId="77777777" w:rsidR="00F935B1" w:rsidRPr="000A4491" w:rsidRDefault="00F935B1" w:rsidP="0083602C">
            <w:pPr>
              <w:rPr>
                <w:rFonts w:ascii="Verdana" w:hAnsi="Verdana"/>
                <w:sz w:val="20"/>
              </w:rPr>
            </w:pPr>
            <w:r w:rsidRPr="000A4491">
              <w:rPr>
                <w:rFonts w:ascii="Verdana" w:hAnsi="Verdana"/>
                <w:sz w:val="20"/>
              </w:rPr>
              <w:t>Terminal Server</w:t>
            </w:r>
            <w:r w:rsidRPr="000A4491">
              <w:rPr>
                <w:rFonts w:ascii="Verdana" w:hAnsi="Verdana"/>
                <w:sz w:val="20"/>
              </w:rPr>
              <w:fldChar w:fldCharType="begin"/>
            </w:r>
            <w:r w:rsidRPr="000A4491">
              <w:rPr>
                <w:rFonts w:ascii="Verdana" w:hAnsi="Verdana"/>
                <w:sz w:val="20"/>
              </w:rPr>
              <w:instrText>xe "</w:instrText>
            </w:r>
            <w:r w:rsidRPr="000A4491">
              <w:rPr>
                <w:rStyle w:val="Hyperlink"/>
                <w:rFonts w:ascii="Verdana" w:hAnsi="Verdana"/>
                <w:bCs/>
                <w:sz w:val="20"/>
              </w:rPr>
              <w:instrText>Terminal Server</w:instrText>
            </w:r>
            <w:r w:rsidRPr="000A4491">
              <w:rPr>
                <w:rFonts w:ascii="Verdana" w:hAnsi="Verdana"/>
                <w:sz w:val="20"/>
              </w:rPr>
              <w:instrText>"</w:instrText>
            </w:r>
            <w:r w:rsidRPr="000A4491">
              <w:rPr>
                <w:rFonts w:ascii="Verdana" w:hAnsi="Verdana"/>
                <w:sz w:val="20"/>
              </w:rPr>
              <w:fldChar w:fldCharType="end"/>
            </w:r>
            <w:r w:rsidRPr="000A4491">
              <w:rPr>
                <w:rFonts w:ascii="Verdana" w:hAnsi="Verdana"/>
                <w:sz w:val="20"/>
              </w:rPr>
              <w:t xml:space="preserve"> </w:t>
            </w:r>
            <w:r w:rsidRPr="000A4491">
              <w:rPr>
                <w:rFonts w:ascii="Verdana" w:hAnsi="Verdana"/>
                <w:sz w:val="20"/>
              </w:rPr>
              <w:br/>
            </w:r>
            <w:r w:rsidRPr="000A4491">
              <w:rPr>
                <w:rFonts w:ascii="Verdana" w:hAnsi="Verdana"/>
                <w:sz w:val="20"/>
              </w:rPr>
              <w:lastRenderedPageBreak/>
              <w:t>(</w:t>
            </w:r>
            <w:hyperlink w:anchor="aaServers" w:history="1">
              <w:r w:rsidRPr="000A4491">
                <w:rPr>
                  <w:rStyle w:val="Hyperlink"/>
                  <w:rFonts w:ascii="Verdana" w:hAnsi="Verdana"/>
                  <w:sz w:val="20"/>
                </w:rPr>
                <w:t>Servers</w:t>
              </w:r>
              <w:r w:rsidRPr="000A4491">
                <w:rPr>
                  <w:rFonts w:ascii="Verdana" w:hAnsi="Verdana"/>
                  <w:sz w:val="20"/>
                </w:rPr>
                <w:fldChar w:fldCharType="begin"/>
              </w:r>
              <w:r w:rsidRPr="000A4491">
                <w:rPr>
                  <w:rFonts w:ascii="Verdana" w:hAnsi="Verdana"/>
                  <w:sz w:val="20"/>
                </w:rPr>
                <w:instrText>xe "Servers"</w:instrText>
              </w:r>
              <w:r w:rsidRPr="000A4491">
                <w:rPr>
                  <w:rFonts w:ascii="Verdana" w:hAnsi="Verdana"/>
                  <w:sz w:val="20"/>
                </w:rPr>
                <w:fldChar w:fldCharType="end"/>
              </w:r>
            </w:hyperlink>
            <w:r w:rsidRPr="000A4491">
              <w:rPr>
                <w:rFonts w:ascii="Verdana" w:hAnsi="Verdana"/>
                <w:sz w:val="20"/>
              </w:rPr>
              <w:t>)</w:t>
            </w:r>
          </w:p>
        </w:tc>
        <w:tc>
          <w:tcPr>
            <w:tcW w:w="5441" w:type="dxa"/>
          </w:tcPr>
          <w:p w14:paraId="472E8E8C" w14:textId="77777777" w:rsidR="00F935B1" w:rsidRPr="000A4491" w:rsidRDefault="00F935B1" w:rsidP="0083602C">
            <w:pPr>
              <w:pStyle w:val="NormalWeb"/>
              <w:spacing w:before="0" w:beforeAutospacing="0" w:after="0"/>
              <w:rPr>
                <w:rFonts w:ascii="Verdana" w:hAnsi="Verdana"/>
                <w:sz w:val="20"/>
              </w:rPr>
            </w:pPr>
            <w:r w:rsidRPr="000A4491">
              <w:rPr>
                <w:rFonts w:ascii="Verdana" w:hAnsi="Verdana"/>
                <w:sz w:val="20"/>
              </w:rPr>
              <w:lastRenderedPageBreak/>
              <w:t>A Terminal Server</w:t>
            </w:r>
            <w:r w:rsidRPr="000A4491">
              <w:rPr>
                <w:rFonts w:ascii="Verdana" w:hAnsi="Verdana"/>
                <w:sz w:val="20"/>
              </w:rPr>
              <w:fldChar w:fldCharType="begin"/>
            </w:r>
            <w:r w:rsidRPr="000A4491">
              <w:rPr>
                <w:rFonts w:ascii="Verdana" w:hAnsi="Verdana"/>
                <w:sz w:val="20"/>
              </w:rPr>
              <w:instrText>xe "</w:instrText>
            </w:r>
            <w:r w:rsidRPr="000A4491">
              <w:rPr>
                <w:rStyle w:val="Hyperlink"/>
                <w:rFonts w:ascii="Verdana" w:hAnsi="Verdana"/>
                <w:bCs/>
                <w:sz w:val="20"/>
              </w:rPr>
              <w:instrText>Terminal Server</w:instrText>
            </w:r>
            <w:r w:rsidRPr="000A4491">
              <w:rPr>
                <w:rFonts w:ascii="Verdana" w:hAnsi="Verdana"/>
                <w:sz w:val="20"/>
              </w:rPr>
              <w:instrText>"</w:instrText>
            </w:r>
            <w:r w:rsidRPr="000A4491">
              <w:rPr>
                <w:rFonts w:ascii="Verdana" w:hAnsi="Verdana"/>
                <w:sz w:val="20"/>
              </w:rPr>
              <w:fldChar w:fldCharType="end"/>
            </w:r>
            <w:r w:rsidRPr="000A4491">
              <w:rPr>
                <w:rFonts w:ascii="Verdana" w:hAnsi="Verdana"/>
                <w:sz w:val="20"/>
              </w:rPr>
              <w:t xml:space="preserve"> is a specialized server</w:t>
            </w:r>
            <w:r w:rsidRPr="000A4491">
              <w:rPr>
                <w:rFonts w:ascii="Verdana" w:hAnsi="Verdana"/>
                <w:sz w:val="20"/>
              </w:rPr>
              <w:fldChar w:fldCharType="begin"/>
            </w:r>
            <w:r w:rsidRPr="000A4491">
              <w:rPr>
                <w:rFonts w:ascii="Verdana" w:hAnsi="Verdana"/>
                <w:sz w:val="20"/>
              </w:rPr>
              <w:instrText>xe "Servers"</w:instrText>
            </w:r>
            <w:r w:rsidRPr="000A4491">
              <w:rPr>
                <w:rFonts w:ascii="Verdana" w:hAnsi="Verdana"/>
                <w:sz w:val="20"/>
              </w:rPr>
              <w:fldChar w:fldCharType="end"/>
            </w:r>
            <w:r w:rsidRPr="000A4491">
              <w:rPr>
                <w:rFonts w:ascii="Verdana" w:hAnsi="Verdana"/>
                <w:sz w:val="20"/>
              </w:rPr>
              <w:t xml:space="preserve"> that </w:t>
            </w:r>
            <w:r w:rsidRPr="000A4491">
              <w:rPr>
                <w:rFonts w:ascii="Verdana" w:hAnsi="Verdana"/>
                <w:sz w:val="20"/>
              </w:rPr>
              <w:lastRenderedPageBreak/>
              <w:t>connects multiple terminals into a network.  Traditionally, terminal servers</w:t>
            </w:r>
            <w:r w:rsidRPr="000A4491">
              <w:rPr>
                <w:rFonts w:ascii="Verdana" w:hAnsi="Verdana"/>
                <w:sz w:val="20"/>
              </w:rPr>
              <w:fldChar w:fldCharType="begin"/>
            </w:r>
            <w:r w:rsidRPr="000A4491">
              <w:rPr>
                <w:rFonts w:ascii="Verdana" w:hAnsi="Verdana"/>
                <w:sz w:val="20"/>
              </w:rPr>
              <w:instrText>xe "Servers"</w:instrText>
            </w:r>
            <w:r w:rsidRPr="000A4491">
              <w:rPr>
                <w:rFonts w:ascii="Verdana" w:hAnsi="Verdana"/>
                <w:sz w:val="20"/>
              </w:rPr>
              <w:fldChar w:fldCharType="end"/>
            </w:r>
            <w:r w:rsidRPr="000A4491">
              <w:rPr>
                <w:rFonts w:ascii="Verdana" w:hAnsi="Verdana"/>
                <w:sz w:val="20"/>
              </w:rPr>
              <w:t xml:space="preserve"> were used to connect multiple “dumb” terminals into network resources.  Today, they are also used to provide increased connectivity and performance for older computers workstations</w:t>
            </w:r>
            <w:r w:rsidRPr="000A4491">
              <w:rPr>
                <w:rFonts w:ascii="Verdana" w:hAnsi="Verdana"/>
                <w:sz w:val="20"/>
              </w:rPr>
              <w:fldChar w:fldCharType="begin"/>
            </w:r>
            <w:r w:rsidRPr="000A4491">
              <w:rPr>
                <w:rFonts w:ascii="Verdana" w:hAnsi="Verdana"/>
                <w:sz w:val="20"/>
              </w:rPr>
              <w:instrText>xe "Workstations"</w:instrText>
            </w:r>
            <w:r w:rsidRPr="000A4491">
              <w:rPr>
                <w:rFonts w:ascii="Verdana" w:hAnsi="Verdana"/>
                <w:sz w:val="20"/>
              </w:rPr>
              <w:fldChar w:fldCharType="end"/>
            </w:r>
            <w:r w:rsidRPr="000A4491">
              <w:rPr>
                <w:rFonts w:ascii="Verdana" w:hAnsi="Verdana"/>
                <w:sz w:val="20"/>
              </w:rPr>
              <w:t>.</w:t>
            </w:r>
          </w:p>
        </w:tc>
      </w:tr>
      <w:tr w:rsidR="00F935B1" w14:paraId="58FCA8AB" w14:textId="77777777" w:rsidTr="0083602C">
        <w:trPr>
          <w:tblCellSpacing w:w="15" w:type="dxa"/>
        </w:trPr>
        <w:tc>
          <w:tcPr>
            <w:tcW w:w="3656" w:type="dxa"/>
          </w:tcPr>
          <w:p w14:paraId="3024E883" w14:textId="77777777" w:rsidR="00F935B1" w:rsidRPr="000A4491" w:rsidRDefault="00F935B1" w:rsidP="0083602C">
            <w:pPr>
              <w:rPr>
                <w:rFonts w:ascii="Verdana" w:hAnsi="Verdana"/>
                <w:sz w:val="20"/>
              </w:rPr>
            </w:pPr>
            <w:r w:rsidRPr="000A4491">
              <w:rPr>
                <w:rFonts w:ascii="Verdana" w:hAnsi="Verdana"/>
                <w:sz w:val="20"/>
              </w:rPr>
              <w:lastRenderedPageBreak/>
              <w:t>Termination Charges</w:t>
            </w:r>
          </w:p>
          <w:p w14:paraId="12F8AFF3" w14:textId="77777777" w:rsidR="00F935B1" w:rsidRPr="000A4491" w:rsidRDefault="00F935B1" w:rsidP="0083602C">
            <w:pPr>
              <w:rPr>
                <w:rFonts w:ascii="Verdana" w:hAnsi="Verdana"/>
                <w:sz w:val="20"/>
              </w:rPr>
            </w:pPr>
            <w:r w:rsidRPr="000A4491">
              <w:rPr>
                <w:rFonts w:ascii="Verdana" w:hAnsi="Verdana"/>
                <w:sz w:val="20"/>
              </w:rPr>
              <w:t>(</w:t>
            </w:r>
            <w:hyperlink w:anchor="OtherMiscellaneousIneligibleComponents" w:history="1">
              <w:r w:rsidRPr="000A4491">
                <w:rPr>
                  <w:rStyle w:val="Hyperlink"/>
                  <w:rFonts w:ascii="Verdana" w:hAnsi="Verdana"/>
                  <w:sz w:val="20"/>
                </w:rPr>
                <w:t>Other Miscellaneous Ineligible Components</w:t>
              </w:r>
            </w:hyperlink>
            <w:r w:rsidRPr="000A4491">
              <w:rPr>
                <w:rFonts w:ascii="Verdana" w:hAnsi="Verdana"/>
                <w:sz w:val="20"/>
              </w:rPr>
              <w:t>)</w:t>
            </w:r>
          </w:p>
        </w:tc>
        <w:tc>
          <w:tcPr>
            <w:tcW w:w="5441" w:type="dxa"/>
          </w:tcPr>
          <w:p w14:paraId="6982C641" w14:textId="77777777" w:rsidR="00F935B1" w:rsidRPr="000A4491" w:rsidRDefault="00F935B1" w:rsidP="0083602C">
            <w:pPr>
              <w:pStyle w:val="NormalWeb"/>
              <w:spacing w:before="0" w:beforeAutospacing="0" w:after="0"/>
              <w:rPr>
                <w:rFonts w:ascii="Verdana" w:hAnsi="Verdana"/>
                <w:sz w:val="20"/>
              </w:rPr>
            </w:pPr>
            <w:r w:rsidRPr="000A4491">
              <w:rPr>
                <w:rFonts w:ascii="Verdana" w:hAnsi="Verdana"/>
                <w:sz w:val="20"/>
              </w:rPr>
              <w:t>Termination charges</w:t>
            </w:r>
            <w:r w:rsidRPr="000A4491">
              <w:rPr>
                <w:rFonts w:ascii="Verdana" w:hAnsi="Verdana"/>
                <w:sz w:val="20"/>
              </w:rPr>
              <w:fldChar w:fldCharType="begin"/>
            </w:r>
            <w:r w:rsidRPr="000A4491">
              <w:rPr>
                <w:rFonts w:ascii="Verdana" w:hAnsi="Verdana"/>
                <w:sz w:val="20"/>
              </w:rPr>
              <w:instrText>xe "Termination Charges"</w:instrText>
            </w:r>
            <w:r w:rsidRPr="000A4491">
              <w:rPr>
                <w:rFonts w:ascii="Verdana" w:hAnsi="Verdana"/>
                <w:sz w:val="20"/>
              </w:rPr>
              <w:fldChar w:fldCharType="end"/>
            </w:r>
            <w:r w:rsidRPr="000A4491">
              <w:rPr>
                <w:rFonts w:ascii="Verdana" w:hAnsi="Verdana"/>
                <w:sz w:val="20"/>
              </w:rPr>
              <w:t xml:space="preserve"> are fees assessed for the removal or discontinuation of a product or service. </w:t>
            </w:r>
          </w:p>
        </w:tc>
      </w:tr>
      <w:tr w:rsidR="00F935B1" w14:paraId="5815B63D" w14:textId="77777777" w:rsidTr="0083602C">
        <w:trPr>
          <w:tblCellSpacing w:w="15" w:type="dxa"/>
        </w:trPr>
        <w:tc>
          <w:tcPr>
            <w:tcW w:w="3656" w:type="dxa"/>
          </w:tcPr>
          <w:p w14:paraId="6FDF8807" w14:textId="77777777" w:rsidR="00F935B1" w:rsidRPr="000A4491" w:rsidRDefault="00F935B1" w:rsidP="0083602C">
            <w:pPr>
              <w:rPr>
                <w:rFonts w:ascii="Verdana" w:hAnsi="Verdana"/>
                <w:sz w:val="20"/>
              </w:rPr>
            </w:pPr>
            <w:r w:rsidRPr="000A4491">
              <w:rPr>
                <w:rFonts w:ascii="Verdana" w:hAnsi="Verdana"/>
                <w:sz w:val="20"/>
              </w:rPr>
              <w:t>Test Equipment</w:t>
            </w:r>
            <w:r w:rsidRPr="000A4491">
              <w:rPr>
                <w:rFonts w:ascii="Verdana" w:hAnsi="Verdana"/>
                <w:sz w:val="20"/>
              </w:rPr>
              <w:fldChar w:fldCharType="begin"/>
            </w:r>
            <w:r w:rsidRPr="000A4491">
              <w:rPr>
                <w:rFonts w:ascii="Verdana" w:hAnsi="Verdana"/>
                <w:sz w:val="20"/>
              </w:rPr>
              <w:instrText>xe "Test Equipment"</w:instrText>
            </w:r>
            <w:r w:rsidRPr="000A4491">
              <w:rPr>
                <w:rFonts w:ascii="Verdana" w:hAnsi="Verdana"/>
                <w:sz w:val="20"/>
              </w:rPr>
              <w:fldChar w:fldCharType="end"/>
            </w:r>
            <w:r w:rsidRPr="000A4491">
              <w:rPr>
                <w:rFonts w:ascii="Verdana" w:hAnsi="Verdana"/>
                <w:sz w:val="20"/>
              </w:rPr>
              <w:t xml:space="preserve"> </w:t>
            </w:r>
            <w:r w:rsidRPr="000A4491">
              <w:rPr>
                <w:rFonts w:ascii="Verdana" w:hAnsi="Verdana"/>
                <w:sz w:val="20"/>
              </w:rPr>
              <w:br/>
              <w:t>(</w:t>
            </w:r>
            <w:hyperlink w:anchor="aaIneligibleComponents" w:history="1">
              <w:r w:rsidRPr="000A4491">
                <w:rPr>
                  <w:rStyle w:val="Hyperlink"/>
                  <w:rFonts w:ascii="Verdana" w:hAnsi="Verdana"/>
                  <w:sz w:val="20"/>
                </w:rPr>
                <w:t>Not Eligible for E-rate Funding as Internal Connections Components</w:t>
              </w:r>
            </w:hyperlink>
            <w:r w:rsidRPr="000A4491">
              <w:rPr>
                <w:rFonts w:ascii="Verdana" w:hAnsi="Verdana"/>
                <w:sz w:val="20"/>
              </w:rPr>
              <w:t>)</w:t>
            </w:r>
          </w:p>
        </w:tc>
        <w:tc>
          <w:tcPr>
            <w:tcW w:w="5441" w:type="dxa"/>
          </w:tcPr>
          <w:p w14:paraId="6D726190" w14:textId="77777777" w:rsidR="00F935B1" w:rsidRPr="000A4491" w:rsidRDefault="00F935B1" w:rsidP="0083602C">
            <w:pPr>
              <w:pStyle w:val="NormalWeb"/>
              <w:spacing w:before="0" w:beforeAutospacing="0" w:after="0"/>
              <w:rPr>
                <w:rFonts w:ascii="Verdana" w:hAnsi="Verdana"/>
                <w:sz w:val="20"/>
              </w:rPr>
            </w:pPr>
            <w:r w:rsidRPr="000A4491">
              <w:rPr>
                <w:rFonts w:ascii="Verdana" w:hAnsi="Verdana"/>
                <w:sz w:val="20"/>
              </w:rPr>
              <w:t>Test Equipment</w:t>
            </w:r>
            <w:r w:rsidRPr="000A4491">
              <w:rPr>
                <w:rFonts w:ascii="Verdana" w:hAnsi="Verdana"/>
                <w:sz w:val="20"/>
              </w:rPr>
              <w:fldChar w:fldCharType="begin"/>
            </w:r>
            <w:r w:rsidRPr="000A4491">
              <w:rPr>
                <w:rFonts w:ascii="Verdana" w:hAnsi="Verdana"/>
                <w:sz w:val="20"/>
              </w:rPr>
              <w:instrText>xe "Test Equipment"</w:instrText>
            </w:r>
            <w:r w:rsidRPr="000A4491">
              <w:rPr>
                <w:rFonts w:ascii="Verdana" w:hAnsi="Verdana"/>
                <w:sz w:val="20"/>
              </w:rPr>
              <w:fldChar w:fldCharType="end"/>
            </w:r>
            <w:r w:rsidRPr="000A4491">
              <w:rPr>
                <w:rFonts w:ascii="Verdana" w:hAnsi="Verdana"/>
                <w:sz w:val="20"/>
              </w:rPr>
              <w:t xml:space="preserve"> is used to test hardware, software</w:t>
            </w:r>
            <w:r w:rsidRPr="000A4491">
              <w:rPr>
                <w:rFonts w:ascii="Verdana" w:hAnsi="Verdana"/>
                <w:sz w:val="20"/>
              </w:rPr>
              <w:fldChar w:fldCharType="begin"/>
            </w:r>
            <w:r w:rsidRPr="000A4491">
              <w:rPr>
                <w:rFonts w:ascii="Verdana" w:hAnsi="Verdana"/>
                <w:sz w:val="20"/>
              </w:rPr>
              <w:instrText>xe "Software"</w:instrText>
            </w:r>
            <w:r w:rsidRPr="000A4491">
              <w:rPr>
                <w:rFonts w:ascii="Verdana" w:hAnsi="Verdana"/>
                <w:sz w:val="20"/>
              </w:rPr>
              <w:fldChar w:fldCharType="end"/>
            </w:r>
            <w:r w:rsidRPr="000A4491">
              <w:rPr>
                <w:rFonts w:ascii="Verdana" w:hAnsi="Verdana"/>
                <w:sz w:val="20"/>
              </w:rPr>
              <w:t>, cable continuity, telecommunications</w:t>
            </w:r>
            <w:r w:rsidRPr="000A4491">
              <w:rPr>
                <w:rFonts w:ascii="Verdana" w:hAnsi="Verdana"/>
                <w:sz w:val="20"/>
              </w:rPr>
              <w:fldChar w:fldCharType="begin"/>
            </w:r>
            <w:r w:rsidRPr="000A4491">
              <w:rPr>
                <w:rFonts w:ascii="Verdana" w:hAnsi="Verdana"/>
                <w:sz w:val="20"/>
              </w:rPr>
              <w:instrText>xe "Telecommunications"</w:instrText>
            </w:r>
            <w:r w:rsidRPr="000A4491">
              <w:rPr>
                <w:rFonts w:ascii="Verdana" w:hAnsi="Verdana"/>
                <w:sz w:val="20"/>
              </w:rPr>
              <w:fldChar w:fldCharType="end"/>
            </w:r>
            <w:r w:rsidRPr="000A4491">
              <w:rPr>
                <w:rFonts w:ascii="Verdana" w:hAnsi="Verdana"/>
                <w:sz w:val="20"/>
              </w:rPr>
              <w:t xml:space="preserve"> links, etc.</w:t>
            </w:r>
          </w:p>
        </w:tc>
      </w:tr>
      <w:tr w:rsidR="00F935B1" w14:paraId="705D91A1" w14:textId="77777777" w:rsidTr="0083602C">
        <w:trPr>
          <w:tblCellSpacing w:w="15" w:type="dxa"/>
        </w:trPr>
        <w:tc>
          <w:tcPr>
            <w:tcW w:w="3656" w:type="dxa"/>
          </w:tcPr>
          <w:p w14:paraId="53FD35C6" w14:textId="77777777" w:rsidR="00F935B1" w:rsidRPr="000A4491" w:rsidRDefault="00F935B1" w:rsidP="0083602C">
            <w:pPr>
              <w:rPr>
                <w:rFonts w:ascii="Verdana" w:hAnsi="Verdana"/>
                <w:sz w:val="20"/>
              </w:rPr>
            </w:pPr>
            <w:r w:rsidRPr="000A4491">
              <w:rPr>
                <w:rFonts w:ascii="Verdana" w:hAnsi="Verdana"/>
                <w:sz w:val="20"/>
              </w:rPr>
              <w:t>Text Messaging</w:t>
            </w:r>
          </w:p>
          <w:p w14:paraId="3404D12F" w14:textId="77777777" w:rsidR="00F935B1" w:rsidRPr="000A4491" w:rsidRDefault="00F935B1" w:rsidP="0083602C">
            <w:pPr>
              <w:rPr>
                <w:rFonts w:ascii="Verdana" w:hAnsi="Verdana"/>
                <w:sz w:val="20"/>
              </w:rPr>
            </w:pPr>
            <w:r w:rsidRPr="000A4491">
              <w:rPr>
                <w:rFonts w:ascii="Verdana" w:hAnsi="Verdana"/>
                <w:sz w:val="20"/>
              </w:rPr>
              <w:t>(</w:t>
            </w:r>
            <w:hyperlink w:anchor="aattTelephoneComponents" w:history="1">
              <w:r w:rsidRPr="000A4491">
                <w:rPr>
                  <w:rStyle w:val="Hyperlink"/>
                  <w:rFonts w:ascii="Verdana" w:hAnsi="Verdana"/>
                  <w:sz w:val="20"/>
                </w:rPr>
                <w:t>Telephone Service Components</w:t>
              </w:r>
              <w:r w:rsidRPr="000A4491">
                <w:rPr>
                  <w:rFonts w:ascii="Verdana" w:hAnsi="Verdana"/>
                  <w:sz w:val="20"/>
                </w:rPr>
                <w:fldChar w:fldCharType="begin"/>
              </w:r>
              <w:r w:rsidRPr="000A4491">
                <w:rPr>
                  <w:rFonts w:ascii="Verdana" w:hAnsi="Verdana"/>
                  <w:sz w:val="20"/>
                </w:rPr>
                <w:instrText>xe "Telephone Service Components"</w:instrText>
              </w:r>
              <w:r w:rsidRPr="000A4491">
                <w:rPr>
                  <w:rFonts w:ascii="Verdana" w:hAnsi="Verdana"/>
                  <w:sz w:val="20"/>
                </w:rPr>
                <w:fldChar w:fldCharType="end"/>
              </w:r>
            </w:hyperlink>
            <w:r w:rsidRPr="000A4491">
              <w:rPr>
                <w:rFonts w:ascii="Verdana" w:hAnsi="Verdana"/>
                <w:sz w:val="20"/>
              </w:rPr>
              <w:t>)</w:t>
            </w:r>
          </w:p>
          <w:p w14:paraId="37D9D343" w14:textId="77777777" w:rsidR="00F935B1" w:rsidRPr="000A4491" w:rsidRDefault="00F935B1" w:rsidP="0083602C">
            <w:pPr>
              <w:rPr>
                <w:rFonts w:ascii="Verdana" w:hAnsi="Verdana"/>
                <w:sz w:val="20"/>
              </w:rPr>
            </w:pPr>
          </w:p>
        </w:tc>
        <w:tc>
          <w:tcPr>
            <w:tcW w:w="5441" w:type="dxa"/>
          </w:tcPr>
          <w:p w14:paraId="3A8A8D5A" w14:textId="77777777" w:rsidR="00F935B1" w:rsidRPr="000A4491" w:rsidRDefault="00F935B1" w:rsidP="0083602C">
            <w:pPr>
              <w:pStyle w:val="NormalWeb"/>
              <w:spacing w:before="0" w:beforeAutospacing="0" w:after="0"/>
              <w:rPr>
                <w:rFonts w:ascii="Verdana" w:hAnsi="Verdana"/>
                <w:sz w:val="20"/>
              </w:rPr>
            </w:pPr>
            <w:r w:rsidRPr="000A4491">
              <w:rPr>
                <w:rFonts w:ascii="Verdana" w:hAnsi="Verdana"/>
                <w:sz w:val="20"/>
              </w:rPr>
              <w:t>Text messaging</w:t>
            </w:r>
            <w:r w:rsidRPr="000A4491">
              <w:rPr>
                <w:rFonts w:ascii="Verdana" w:hAnsi="Verdana"/>
                <w:sz w:val="20"/>
              </w:rPr>
              <w:fldChar w:fldCharType="begin"/>
            </w:r>
            <w:r w:rsidRPr="000A4491">
              <w:rPr>
                <w:rFonts w:ascii="Verdana" w:hAnsi="Verdana"/>
                <w:sz w:val="20"/>
              </w:rPr>
              <w:instrText>xe "</w:instrText>
            </w:r>
            <w:r w:rsidRPr="000A4491">
              <w:rPr>
                <w:rStyle w:val="Hyperlink"/>
                <w:rFonts w:ascii="Verdana" w:hAnsi="Verdana"/>
                <w:sz w:val="20"/>
              </w:rPr>
              <w:instrText>Text Messages</w:instrText>
            </w:r>
            <w:r w:rsidRPr="000A4491">
              <w:rPr>
                <w:rFonts w:ascii="Verdana" w:hAnsi="Verdana"/>
                <w:sz w:val="20"/>
              </w:rPr>
              <w:instrText>"</w:instrText>
            </w:r>
            <w:r w:rsidRPr="000A4491">
              <w:rPr>
                <w:rFonts w:ascii="Verdana" w:hAnsi="Verdana"/>
                <w:sz w:val="20"/>
              </w:rPr>
              <w:fldChar w:fldCharType="end"/>
            </w:r>
            <w:r w:rsidRPr="000A4491">
              <w:rPr>
                <w:rFonts w:ascii="Verdana" w:hAnsi="Verdana"/>
                <w:sz w:val="20"/>
              </w:rPr>
              <w:t xml:space="preserve"> or short message service (SMS) is a service that </w:t>
            </w:r>
            <w:r w:rsidRPr="000A4491">
              <w:rPr>
                <w:rFonts w:ascii="Verdana" w:hAnsi="Verdana"/>
                <w:color w:val="000000"/>
                <w:sz w:val="20"/>
              </w:rPr>
              <w:t xml:space="preserve">enables the transmission of alphanumeric messages, </w:t>
            </w:r>
            <w:r w:rsidRPr="000A4491">
              <w:rPr>
                <w:rFonts w:ascii="Verdana" w:hAnsi="Verdana"/>
                <w:sz w:val="20"/>
              </w:rPr>
              <w:t>typically up to 160 characters.</w:t>
            </w:r>
          </w:p>
        </w:tc>
      </w:tr>
      <w:tr w:rsidR="00F935B1" w14:paraId="3667D6F4" w14:textId="77777777" w:rsidTr="0083602C">
        <w:trPr>
          <w:tblCellSpacing w:w="15" w:type="dxa"/>
        </w:trPr>
        <w:tc>
          <w:tcPr>
            <w:tcW w:w="3656" w:type="dxa"/>
          </w:tcPr>
          <w:p w14:paraId="50A8C8D2" w14:textId="77777777" w:rsidR="00F935B1" w:rsidRPr="000A4491" w:rsidRDefault="00F935B1" w:rsidP="0083602C">
            <w:pPr>
              <w:rPr>
                <w:rFonts w:ascii="Verdana" w:hAnsi="Verdana"/>
                <w:sz w:val="20"/>
              </w:rPr>
            </w:pPr>
            <w:r w:rsidRPr="000A4491">
              <w:rPr>
                <w:rFonts w:ascii="Verdana" w:hAnsi="Verdana"/>
                <w:sz w:val="20"/>
              </w:rPr>
              <w:t>Transceiver</w:t>
            </w:r>
            <w:r w:rsidRPr="000A4491">
              <w:rPr>
                <w:rFonts w:ascii="Verdana" w:hAnsi="Verdana"/>
                <w:sz w:val="20"/>
              </w:rPr>
              <w:fldChar w:fldCharType="begin"/>
            </w:r>
            <w:r w:rsidRPr="000A4491">
              <w:rPr>
                <w:rFonts w:ascii="Verdana" w:hAnsi="Verdana"/>
                <w:sz w:val="20"/>
              </w:rPr>
              <w:instrText>xe "</w:instrText>
            </w:r>
            <w:r w:rsidRPr="000A4491">
              <w:rPr>
                <w:rStyle w:val="Hyperlink"/>
                <w:rFonts w:ascii="Verdana" w:hAnsi="Verdana"/>
                <w:bCs/>
                <w:sz w:val="20"/>
              </w:rPr>
              <w:instrText>Transceiver</w:instrText>
            </w:r>
            <w:r w:rsidRPr="000A4491">
              <w:rPr>
                <w:rFonts w:ascii="Verdana" w:hAnsi="Verdana"/>
                <w:sz w:val="20"/>
              </w:rPr>
              <w:instrText>"</w:instrText>
            </w:r>
            <w:r w:rsidRPr="000A4491">
              <w:rPr>
                <w:rFonts w:ascii="Verdana" w:hAnsi="Verdana"/>
                <w:sz w:val="20"/>
              </w:rPr>
              <w:fldChar w:fldCharType="end"/>
            </w:r>
            <w:r w:rsidRPr="000A4491">
              <w:rPr>
                <w:rFonts w:ascii="Verdana" w:hAnsi="Verdana"/>
                <w:sz w:val="20"/>
              </w:rPr>
              <w:t xml:space="preserve"> </w:t>
            </w:r>
            <w:r w:rsidRPr="000A4491">
              <w:rPr>
                <w:rFonts w:ascii="Verdana" w:hAnsi="Verdana"/>
                <w:sz w:val="20"/>
              </w:rPr>
              <w:br/>
              <w:t>(</w:t>
            </w:r>
            <w:hyperlink w:anchor="aaInterfacesGatewaysAntennas" w:history="1">
              <w:r w:rsidRPr="000A4491">
                <w:rPr>
                  <w:rStyle w:val="Hyperlink"/>
                  <w:rFonts w:ascii="Verdana" w:hAnsi="Verdana"/>
                  <w:sz w:val="20"/>
                </w:rPr>
                <w:t>Interfaces</w:t>
              </w:r>
              <w:r w:rsidRPr="000A4491">
                <w:rPr>
                  <w:rFonts w:ascii="Verdana" w:hAnsi="Verdana"/>
                  <w:sz w:val="20"/>
                </w:rPr>
                <w:fldChar w:fldCharType="begin"/>
              </w:r>
              <w:r w:rsidRPr="000A4491">
                <w:rPr>
                  <w:rFonts w:ascii="Verdana" w:hAnsi="Verdana"/>
                  <w:sz w:val="20"/>
                </w:rPr>
                <w:instrText>xe "</w:instrText>
              </w:r>
              <w:r w:rsidRPr="000A4491">
                <w:rPr>
                  <w:rFonts w:ascii="Verdana" w:hAnsi="Verdana"/>
                  <w:bCs/>
                  <w:sz w:val="20"/>
                </w:rPr>
                <w:instrText>Interfaces</w:instrText>
              </w:r>
              <w:r w:rsidRPr="000A4491">
                <w:rPr>
                  <w:rFonts w:ascii="Verdana" w:hAnsi="Verdana"/>
                  <w:sz w:val="20"/>
                </w:rPr>
                <w:instrText>"</w:instrText>
              </w:r>
              <w:r w:rsidRPr="000A4491">
                <w:rPr>
                  <w:rFonts w:ascii="Verdana" w:hAnsi="Verdana"/>
                  <w:sz w:val="20"/>
                </w:rPr>
                <w:fldChar w:fldCharType="end"/>
              </w:r>
            </w:hyperlink>
            <w:r w:rsidRPr="000A4491">
              <w:rPr>
                <w:rFonts w:ascii="Verdana" w:hAnsi="Verdana"/>
                <w:sz w:val="20"/>
              </w:rPr>
              <w:t>)</w:t>
            </w:r>
          </w:p>
        </w:tc>
        <w:tc>
          <w:tcPr>
            <w:tcW w:w="5441" w:type="dxa"/>
          </w:tcPr>
          <w:p w14:paraId="762CF960" w14:textId="77777777" w:rsidR="00F935B1" w:rsidRPr="000A4491" w:rsidRDefault="00F935B1" w:rsidP="0083602C">
            <w:pPr>
              <w:pStyle w:val="NormalWeb"/>
              <w:spacing w:before="0" w:beforeAutospacing="0" w:after="0"/>
              <w:rPr>
                <w:rFonts w:ascii="Verdana" w:hAnsi="Verdana"/>
                <w:sz w:val="20"/>
              </w:rPr>
            </w:pPr>
            <w:r w:rsidRPr="000A4491">
              <w:rPr>
                <w:rFonts w:ascii="Verdana" w:hAnsi="Verdana"/>
                <w:sz w:val="20"/>
              </w:rPr>
              <w:t>A transceiver</w:t>
            </w:r>
            <w:r w:rsidRPr="000A4491">
              <w:rPr>
                <w:rFonts w:ascii="Verdana" w:hAnsi="Verdana"/>
                <w:sz w:val="20"/>
              </w:rPr>
              <w:fldChar w:fldCharType="begin"/>
            </w:r>
            <w:r w:rsidRPr="000A4491">
              <w:rPr>
                <w:rFonts w:ascii="Verdana" w:hAnsi="Verdana"/>
                <w:sz w:val="20"/>
              </w:rPr>
              <w:instrText>xe "Transceiver"</w:instrText>
            </w:r>
            <w:r w:rsidRPr="000A4491">
              <w:rPr>
                <w:rFonts w:ascii="Verdana" w:hAnsi="Verdana"/>
                <w:sz w:val="20"/>
              </w:rPr>
              <w:fldChar w:fldCharType="end"/>
            </w:r>
            <w:r w:rsidRPr="000A4491">
              <w:rPr>
                <w:rFonts w:ascii="Verdana" w:hAnsi="Verdana"/>
                <w:sz w:val="20"/>
              </w:rPr>
              <w:t xml:space="preserve"> is a device that transmits and receives analog or digital signals.  The term is used most frequently to describe the component in local area networks</w:t>
            </w:r>
            <w:r w:rsidRPr="000A4491">
              <w:rPr>
                <w:rFonts w:ascii="Verdana" w:hAnsi="Verdana"/>
                <w:sz w:val="20"/>
              </w:rPr>
              <w:fldChar w:fldCharType="begin"/>
            </w:r>
            <w:r w:rsidRPr="000A4491">
              <w:rPr>
                <w:rFonts w:ascii="Verdana" w:hAnsi="Verdana"/>
                <w:sz w:val="20"/>
              </w:rPr>
              <w:instrText>xe "Local Area Networks"</w:instrText>
            </w:r>
            <w:r w:rsidRPr="000A4491">
              <w:rPr>
                <w:rFonts w:ascii="Verdana" w:hAnsi="Verdana"/>
                <w:sz w:val="20"/>
              </w:rPr>
              <w:fldChar w:fldCharType="end"/>
            </w:r>
            <w:r w:rsidRPr="000A4491">
              <w:rPr>
                <w:rFonts w:ascii="Verdana" w:hAnsi="Verdana"/>
                <w:sz w:val="20"/>
              </w:rPr>
              <w:t xml:space="preserve"> (LANs) that actually applies signals onto the network wire and detects signals passing through the wire.  For many LANs, the transceiver is built into the network interface card</w:t>
            </w:r>
            <w:r w:rsidRPr="000A4491">
              <w:rPr>
                <w:rFonts w:ascii="Verdana" w:hAnsi="Verdana"/>
                <w:sz w:val="20"/>
              </w:rPr>
              <w:fldChar w:fldCharType="begin"/>
            </w:r>
            <w:r w:rsidRPr="000A4491">
              <w:rPr>
                <w:rFonts w:ascii="Verdana" w:hAnsi="Verdana"/>
                <w:sz w:val="20"/>
              </w:rPr>
              <w:instrText>xe "Network Interface Cards"</w:instrText>
            </w:r>
            <w:r w:rsidRPr="000A4491">
              <w:rPr>
                <w:rFonts w:ascii="Verdana" w:hAnsi="Verdana"/>
                <w:sz w:val="20"/>
              </w:rPr>
              <w:fldChar w:fldCharType="end"/>
            </w:r>
            <w:r w:rsidRPr="000A4491">
              <w:rPr>
                <w:rFonts w:ascii="Verdana" w:hAnsi="Verdana"/>
                <w:sz w:val="20"/>
              </w:rPr>
              <w:t xml:space="preserve"> (NIC</w:t>
            </w:r>
            <w:r w:rsidRPr="000A4491">
              <w:rPr>
                <w:rFonts w:ascii="Verdana" w:hAnsi="Verdana"/>
                <w:sz w:val="20"/>
              </w:rPr>
              <w:fldChar w:fldCharType="begin"/>
            </w:r>
            <w:r w:rsidRPr="000A4491">
              <w:rPr>
                <w:rFonts w:ascii="Verdana" w:hAnsi="Verdana"/>
                <w:sz w:val="20"/>
              </w:rPr>
              <w:instrText>xe "NIC"</w:instrText>
            </w:r>
            <w:r w:rsidRPr="000A4491">
              <w:rPr>
                <w:rFonts w:ascii="Verdana" w:hAnsi="Verdana"/>
                <w:sz w:val="20"/>
              </w:rPr>
              <w:fldChar w:fldCharType="end"/>
            </w:r>
            <w:r w:rsidRPr="000A4491">
              <w:rPr>
                <w:rFonts w:ascii="Verdana" w:hAnsi="Verdana"/>
                <w:sz w:val="20"/>
              </w:rPr>
              <w:t>).</w:t>
            </w:r>
          </w:p>
        </w:tc>
      </w:tr>
      <w:tr w:rsidR="00F935B1" w14:paraId="5C1F247D" w14:textId="77777777" w:rsidTr="0083602C">
        <w:trPr>
          <w:tblCellSpacing w:w="15" w:type="dxa"/>
        </w:trPr>
        <w:tc>
          <w:tcPr>
            <w:tcW w:w="3656" w:type="dxa"/>
          </w:tcPr>
          <w:p w14:paraId="48AE2AE1" w14:textId="77777777" w:rsidR="00F935B1" w:rsidRPr="000A4491" w:rsidRDefault="00F935B1" w:rsidP="0083602C">
            <w:pPr>
              <w:rPr>
                <w:rFonts w:ascii="Verdana" w:hAnsi="Verdana"/>
                <w:sz w:val="20"/>
              </w:rPr>
            </w:pPr>
            <w:r w:rsidRPr="000A4491">
              <w:rPr>
                <w:rFonts w:ascii="Verdana" w:hAnsi="Verdana"/>
                <w:sz w:val="20"/>
              </w:rPr>
              <w:t>Travel Time</w:t>
            </w:r>
          </w:p>
          <w:p w14:paraId="5CAFC437" w14:textId="77777777" w:rsidR="00F935B1" w:rsidRPr="000A4491" w:rsidRDefault="00F935B1" w:rsidP="0083602C">
            <w:pPr>
              <w:rPr>
                <w:rFonts w:ascii="Verdana" w:hAnsi="Verdana"/>
                <w:sz w:val="20"/>
              </w:rPr>
            </w:pPr>
            <w:r w:rsidRPr="000A4491">
              <w:rPr>
                <w:rFonts w:ascii="Verdana" w:hAnsi="Verdana"/>
                <w:sz w:val="20"/>
              </w:rPr>
              <w:t>(</w:t>
            </w:r>
            <w:hyperlink w:anchor="MiscMiscellaneousFeesAndCharges" w:history="1">
              <w:r w:rsidRPr="000A4491">
                <w:rPr>
                  <w:rStyle w:val="Hyperlink"/>
                  <w:rFonts w:ascii="Verdana" w:hAnsi="Verdana"/>
                  <w:sz w:val="20"/>
                </w:rPr>
                <w:t>Miscellaneous Fees and Charges</w:t>
              </w:r>
            </w:hyperlink>
            <w:r w:rsidRPr="000A4491">
              <w:rPr>
                <w:rFonts w:ascii="Verdana" w:hAnsi="Verdana"/>
                <w:sz w:val="20"/>
              </w:rPr>
              <w:t>)</w:t>
            </w:r>
          </w:p>
        </w:tc>
        <w:tc>
          <w:tcPr>
            <w:tcW w:w="5441" w:type="dxa"/>
          </w:tcPr>
          <w:p w14:paraId="5E0760F3" w14:textId="77777777" w:rsidR="00F935B1" w:rsidRPr="000A4491" w:rsidRDefault="00F935B1" w:rsidP="0083602C">
            <w:pPr>
              <w:pStyle w:val="NormalWeb"/>
              <w:spacing w:before="0" w:beforeAutospacing="0" w:after="0"/>
              <w:rPr>
                <w:rFonts w:ascii="Verdana" w:hAnsi="Verdana"/>
                <w:b/>
                <w:sz w:val="20"/>
              </w:rPr>
            </w:pPr>
            <w:r w:rsidRPr="000A4491">
              <w:rPr>
                <w:rFonts w:ascii="Verdana" w:hAnsi="Verdana"/>
                <w:sz w:val="20"/>
              </w:rPr>
              <w:t>Travel time refers to the time required for service provider personnel to travel to and/or from locations to provide eligible services.</w:t>
            </w:r>
          </w:p>
        </w:tc>
      </w:tr>
      <w:tr w:rsidR="00F935B1" w14:paraId="612D1209" w14:textId="77777777" w:rsidTr="0083602C">
        <w:trPr>
          <w:tblCellSpacing w:w="15" w:type="dxa"/>
        </w:trPr>
        <w:tc>
          <w:tcPr>
            <w:tcW w:w="3656" w:type="dxa"/>
          </w:tcPr>
          <w:p w14:paraId="31C7C3ED" w14:textId="77777777" w:rsidR="00F935B1" w:rsidRPr="000A4491" w:rsidRDefault="00F935B1" w:rsidP="0083602C">
            <w:pPr>
              <w:rPr>
                <w:rFonts w:ascii="Verdana" w:hAnsi="Verdana"/>
                <w:sz w:val="20"/>
              </w:rPr>
            </w:pPr>
            <w:r w:rsidRPr="000A4491">
              <w:rPr>
                <w:rFonts w:ascii="Verdana" w:hAnsi="Verdana"/>
                <w:sz w:val="20"/>
              </w:rPr>
              <w:t>Trunk lines</w:t>
            </w:r>
            <w:r w:rsidRPr="000A4491">
              <w:rPr>
                <w:rFonts w:ascii="Verdana" w:hAnsi="Verdana"/>
                <w:sz w:val="20"/>
              </w:rPr>
              <w:fldChar w:fldCharType="begin"/>
            </w:r>
            <w:r w:rsidRPr="000A4491">
              <w:rPr>
                <w:rFonts w:ascii="Verdana" w:hAnsi="Verdana"/>
                <w:sz w:val="20"/>
              </w:rPr>
              <w:instrText>xe "Trunk Lines"</w:instrText>
            </w:r>
            <w:r w:rsidRPr="000A4491">
              <w:rPr>
                <w:rFonts w:ascii="Verdana" w:hAnsi="Verdana"/>
                <w:sz w:val="20"/>
              </w:rPr>
              <w:fldChar w:fldCharType="end"/>
            </w:r>
          </w:p>
          <w:p w14:paraId="57B41FE1" w14:textId="77777777" w:rsidR="00F935B1" w:rsidRPr="000A4491" w:rsidRDefault="00F935B1" w:rsidP="0083602C">
            <w:pPr>
              <w:rPr>
                <w:rFonts w:ascii="Verdana" w:hAnsi="Verdana"/>
                <w:sz w:val="20"/>
              </w:rPr>
            </w:pPr>
            <w:r w:rsidRPr="000A4491">
              <w:rPr>
                <w:rFonts w:ascii="Verdana" w:hAnsi="Verdana"/>
                <w:sz w:val="20"/>
              </w:rPr>
              <w:t>(</w:t>
            </w:r>
            <w:hyperlink w:anchor="aattDigitalTransmissionServices" w:history="1">
              <w:r w:rsidRPr="000A4491">
                <w:rPr>
                  <w:rStyle w:val="Hyperlink"/>
                  <w:rFonts w:ascii="Verdana" w:hAnsi="Verdana"/>
                  <w:sz w:val="20"/>
                </w:rPr>
                <w:t>Digital Transmission Services</w:t>
              </w:r>
            </w:hyperlink>
            <w:r w:rsidRPr="000A4491">
              <w:rPr>
                <w:rFonts w:ascii="Verdana" w:hAnsi="Verdana"/>
                <w:sz w:val="20"/>
              </w:rPr>
              <w:t>)</w:t>
            </w:r>
          </w:p>
        </w:tc>
        <w:tc>
          <w:tcPr>
            <w:tcW w:w="5441" w:type="dxa"/>
          </w:tcPr>
          <w:p w14:paraId="3437F133" w14:textId="77777777" w:rsidR="00F935B1" w:rsidRPr="000A4491" w:rsidRDefault="00F935B1" w:rsidP="0083602C">
            <w:pPr>
              <w:rPr>
                <w:rFonts w:ascii="Verdana" w:hAnsi="Verdana"/>
                <w:sz w:val="20"/>
              </w:rPr>
            </w:pPr>
            <w:r w:rsidRPr="000A4491">
              <w:rPr>
                <w:rFonts w:ascii="Verdana" w:hAnsi="Verdana"/>
                <w:sz w:val="20"/>
              </w:rPr>
              <w:t>A trunk line is a communications path between two switching systems, such as equipment in a telephone company central office and a Private Branch Exchange</w:t>
            </w:r>
            <w:r w:rsidRPr="000A4491">
              <w:rPr>
                <w:rFonts w:ascii="Verdana" w:hAnsi="Verdana"/>
                <w:sz w:val="20"/>
              </w:rPr>
              <w:fldChar w:fldCharType="begin"/>
            </w:r>
            <w:r w:rsidRPr="000A4491">
              <w:rPr>
                <w:rFonts w:ascii="Verdana" w:hAnsi="Verdana"/>
                <w:sz w:val="20"/>
              </w:rPr>
              <w:instrText>xe "</w:instrText>
            </w:r>
            <w:r w:rsidRPr="000A4491">
              <w:rPr>
                <w:rStyle w:val="Hyperlink"/>
                <w:rFonts w:ascii="Verdana" w:hAnsi="Verdana"/>
                <w:bCs/>
                <w:sz w:val="20"/>
              </w:rPr>
              <w:instrText>Private Branch Exchange</w:instrText>
            </w:r>
            <w:r w:rsidRPr="000A4491">
              <w:rPr>
                <w:rFonts w:ascii="Verdana" w:hAnsi="Verdana"/>
                <w:sz w:val="20"/>
              </w:rPr>
              <w:instrText>"</w:instrText>
            </w:r>
            <w:r w:rsidRPr="000A4491">
              <w:rPr>
                <w:rFonts w:ascii="Verdana" w:hAnsi="Verdana"/>
                <w:sz w:val="20"/>
              </w:rPr>
              <w:fldChar w:fldCharType="end"/>
            </w:r>
            <w:r w:rsidRPr="000A4491">
              <w:rPr>
                <w:rFonts w:ascii="Verdana" w:hAnsi="Verdana"/>
                <w:sz w:val="20"/>
              </w:rPr>
              <w:t xml:space="preserve"> (PBX</w:t>
            </w:r>
            <w:r w:rsidRPr="000A4491">
              <w:rPr>
                <w:rFonts w:ascii="Verdana" w:hAnsi="Verdana"/>
                <w:sz w:val="20"/>
              </w:rPr>
              <w:fldChar w:fldCharType="begin"/>
            </w:r>
            <w:r w:rsidRPr="000A4491">
              <w:rPr>
                <w:rFonts w:ascii="Verdana" w:hAnsi="Verdana"/>
                <w:sz w:val="20"/>
              </w:rPr>
              <w:instrText>xe "</w:instrText>
            </w:r>
            <w:r w:rsidRPr="000A4491">
              <w:rPr>
                <w:rFonts w:ascii="Verdana" w:hAnsi="Verdana"/>
                <w:bCs/>
                <w:sz w:val="20"/>
              </w:rPr>
              <w:instrText>PBX</w:instrText>
            </w:r>
            <w:r w:rsidRPr="000A4491">
              <w:rPr>
                <w:rFonts w:ascii="Verdana" w:hAnsi="Verdana"/>
                <w:sz w:val="20"/>
              </w:rPr>
              <w:instrText>"</w:instrText>
            </w:r>
            <w:r w:rsidRPr="000A4491">
              <w:rPr>
                <w:rFonts w:ascii="Verdana" w:hAnsi="Verdana"/>
                <w:sz w:val="20"/>
              </w:rPr>
              <w:fldChar w:fldCharType="end"/>
            </w:r>
            <w:r w:rsidRPr="000A4491">
              <w:rPr>
                <w:rFonts w:ascii="Verdana" w:hAnsi="Verdana"/>
                <w:sz w:val="20"/>
              </w:rPr>
              <w:t>).  Central Office trunks connect a PBX to the central office switching system at the central office.  Tie trunks connect two PBXs</w:t>
            </w:r>
            <w:r w:rsidRPr="000A4491">
              <w:rPr>
                <w:rFonts w:ascii="Verdana" w:hAnsi="Verdana"/>
                <w:sz w:val="20"/>
              </w:rPr>
              <w:fldChar w:fldCharType="begin"/>
            </w:r>
            <w:r w:rsidRPr="000A4491">
              <w:rPr>
                <w:rFonts w:ascii="Verdana" w:hAnsi="Verdana"/>
                <w:sz w:val="20"/>
              </w:rPr>
              <w:instrText>xe "PBX"</w:instrText>
            </w:r>
            <w:r w:rsidRPr="000A4491">
              <w:rPr>
                <w:rFonts w:ascii="Verdana" w:hAnsi="Verdana"/>
                <w:sz w:val="20"/>
              </w:rPr>
              <w:fldChar w:fldCharType="end"/>
            </w:r>
            <w:r w:rsidRPr="000A4491">
              <w:rPr>
                <w:rFonts w:ascii="Verdana" w:hAnsi="Verdana"/>
                <w:sz w:val="20"/>
              </w:rPr>
              <w:t xml:space="preserve"> together.</w:t>
            </w:r>
          </w:p>
        </w:tc>
      </w:tr>
      <w:tr w:rsidR="00F935B1" w14:paraId="58F1C67B" w14:textId="77777777" w:rsidTr="0083602C">
        <w:trPr>
          <w:tblCellSpacing w:w="15" w:type="dxa"/>
        </w:trPr>
        <w:tc>
          <w:tcPr>
            <w:tcW w:w="3656" w:type="dxa"/>
          </w:tcPr>
          <w:p w14:paraId="1919BB50" w14:textId="77777777" w:rsidR="00F935B1" w:rsidRPr="000A4491" w:rsidRDefault="00F935B1" w:rsidP="0083602C">
            <w:pPr>
              <w:rPr>
                <w:rFonts w:ascii="Verdana" w:hAnsi="Verdana"/>
                <w:sz w:val="20"/>
              </w:rPr>
            </w:pPr>
            <w:r w:rsidRPr="000A4491">
              <w:rPr>
                <w:rFonts w:ascii="Verdana" w:hAnsi="Verdana"/>
                <w:sz w:val="20"/>
              </w:rPr>
              <w:t xml:space="preserve">Two-Way Radio </w:t>
            </w:r>
            <w:r w:rsidRPr="000A4491">
              <w:rPr>
                <w:rFonts w:ascii="Verdana" w:hAnsi="Verdana"/>
                <w:sz w:val="20"/>
              </w:rPr>
              <w:br/>
              <w:t>(</w:t>
            </w:r>
            <w:hyperlink w:anchor="aaIneligibleComponents" w:history="1">
              <w:r w:rsidRPr="000A4491">
                <w:rPr>
                  <w:rStyle w:val="Hyperlink"/>
                  <w:rFonts w:ascii="Verdana" w:hAnsi="Verdana"/>
                  <w:sz w:val="20"/>
                </w:rPr>
                <w:t>Not Eligible for E-rate Funding as Internal Connections Components</w:t>
              </w:r>
            </w:hyperlink>
            <w:r w:rsidRPr="000A4491">
              <w:rPr>
                <w:rFonts w:ascii="Verdana" w:hAnsi="Verdana"/>
                <w:sz w:val="20"/>
              </w:rPr>
              <w:t>)</w:t>
            </w:r>
          </w:p>
        </w:tc>
        <w:tc>
          <w:tcPr>
            <w:tcW w:w="5441" w:type="dxa"/>
          </w:tcPr>
          <w:p w14:paraId="0B33AFF3" w14:textId="77777777" w:rsidR="00F935B1" w:rsidRPr="000A4491" w:rsidRDefault="00F935B1" w:rsidP="0083602C">
            <w:pPr>
              <w:pStyle w:val="NormalWeb"/>
              <w:spacing w:before="0" w:beforeAutospacing="0" w:after="0"/>
              <w:rPr>
                <w:rFonts w:ascii="Verdana" w:hAnsi="Verdana"/>
                <w:sz w:val="20"/>
              </w:rPr>
            </w:pPr>
            <w:r w:rsidRPr="000A4491">
              <w:rPr>
                <w:rFonts w:ascii="Verdana" w:hAnsi="Verdana"/>
                <w:sz w:val="20"/>
              </w:rPr>
              <w:t>Two-way radios</w:t>
            </w:r>
            <w:r w:rsidRPr="000A4491">
              <w:rPr>
                <w:rFonts w:ascii="Verdana" w:hAnsi="Verdana"/>
                <w:sz w:val="20"/>
              </w:rPr>
              <w:fldChar w:fldCharType="begin"/>
            </w:r>
            <w:r w:rsidRPr="000A4491">
              <w:rPr>
                <w:rFonts w:ascii="Verdana" w:hAnsi="Verdana"/>
                <w:sz w:val="20"/>
              </w:rPr>
              <w:instrText>xe "</w:instrText>
            </w:r>
            <w:r w:rsidRPr="000A4491">
              <w:rPr>
                <w:rStyle w:val="Hyperlink"/>
                <w:rFonts w:ascii="Verdana" w:hAnsi="Verdana"/>
                <w:bCs/>
                <w:sz w:val="20"/>
              </w:rPr>
              <w:instrText>Two-Way Radios</w:instrText>
            </w:r>
            <w:r w:rsidRPr="000A4491">
              <w:rPr>
                <w:rFonts w:ascii="Verdana" w:hAnsi="Verdana"/>
                <w:sz w:val="20"/>
              </w:rPr>
              <w:instrText>"</w:instrText>
            </w:r>
            <w:r w:rsidRPr="000A4491">
              <w:rPr>
                <w:rFonts w:ascii="Verdana" w:hAnsi="Verdana"/>
                <w:sz w:val="20"/>
              </w:rPr>
              <w:fldChar w:fldCharType="end"/>
            </w:r>
            <w:r w:rsidRPr="000A4491">
              <w:rPr>
                <w:rFonts w:ascii="Verdana" w:hAnsi="Verdana"/>
                <w:sz w:val="20"/>
              </w:rPr>
              <w:t xml:space="preserve"> are wireless</w:t>
            </w:r>
            <w:r w:rsidRPr="000A4491">
              <w:rPr>
                <w:rFonts w:ascii="Verdana" w:hAnsi="Verdana"/>
                <w:sz w:val="20"/>
              </w:rPr>
              <w:fldChar w:fldCharType="begin"/>
            </w:r>
            <w:r w:rsidRPr="000A4491">
              <w:rPr>
                <w:rFonts w:ascii="Verdana" w:hAnsi="Verdana"/>
                <w:sz w:val="20"/>
              </w:rPr>
              <w:instrText>xe "Wireless"</w:instrText>
            </w:r>
            <w:r w:rsidRPr="000A4491">
              <w:rPr>
                <w:rFonts w:ascii="Verdana" w:hAnsi="Verdana"/>
                <w:sz w:val="20"/>
              </w:rPr>
              <w:fldChar w:fldCharType="end"/>
            </w:r>
            <w:r w:rsidRPr="000A4491">
              <w:rPr>
                <w:rFonts w:ascii="Verdana" w:hAnsi="Verdana"/>
                <w:sz w:val="20"/>
              </w:rPr>
              <w:t xml:space="preserve"> end-user devices used to communicate, typically over short distances.</w:t>
            </w:r>
          </w:p>
        </w:tc>
      </w:tr>
      <w:tr w:rsidR="00F935B1" w14:paraId="0E973C47" w14:textId="77777777" w:rsidTr="0083602C">
        <w:trPr>
          <w:tblCellSpacing w:w="15" w:type="dxa"/>
        </w:trPr>
        <w:tc>
          <w:tcPr>
            <w:tcW w:w="3656" w:type="dxa"/>
          </w:tcPr>
          <w:p w14:paraId="4E584848" w14:textId="77777777" w:rsidR="00F935B1" w:rsidRPr="000A4491" w:rsidRDefault="00F935B1" w:rsidP="0083602C">
            <w:pPr>
              <w:rPr>
                <w:rFonts w:ascii="Verdana" w:hAnsi="Verdana"/>
                <w:sz w:val="20"/>
              </w:rPr>
            </w:pPr>
            <w:r w:rsidRPr="000A4491">
              <w:rPr>
                <w:rFonts w:ascii="Verdana" w:hAnsi="Verdana"/>
                <w:sz w:val="20"/>
              </w:rPr>
              <w:t>Unbundled Warranty</w:t>
            </w:r>
          </w:p>
          <w:p w14:paraId="2BD9C5B4" w14:textId="77777777" w:rsidR="00F935B1" w:rsidRPr="000A4491" w:rsidRDefault="00A0395D" w:rsidP="0083602C">
            <w:pPr>
              <w:rPr>
                <w:rFonts w:ascii="Verdana" w:hAnsi="Verdana"/>
                <w:sz w:val="20"/>
              </w:rPr>
            </w:pPr>
            <w:hyperlink w:anchor="IneligibleBMIC" w:history="1">
              <w:r w:rsidR="00F935B1" w:rsidRPr="000A4491">
                <w:rPr>
                  <w:rStyle w:val="Hyperlink"/>
                  <w:rFonts w:ascii="Verdana" w:hAnsi="Verdana"/>
                  <w:sz w:val="20"/>
                </w:rPr>
                <w:t>(Not Eligible for E-rate Funding as Basic Maintenance of Internal Connections)</w:t>
              </w:r>
            </w:hyperlink>
            <w:r w:rsidR="00F935B1" w:rsidRPr="000A4491">
              <w:rPr>
                <w:rFonts w:ascii="Verdana" w:hAnsi="Verdana"/>
                <w:sz w:val="20"/>
              </w:rPr>
              <w:fldChar w:fldCharType="begin"/>
            </w:r>
            <w:r w:rsidR="00F935B1" w:rsidRPr="000A4491">
              <w:rPr>
                <w:rFonts w:ascii="Verdana" w:hAnsi="Verdana"/>
                <w:sz w:val="20"/>
              </w:rPr>
              <w:instrText>xe "Unbundled Warranty"</w:instrText>
            </w:r>
            <w:r w:rsidR="00F935B1" w:rsidRPr="000A4491">
              <w:rPr>
                <w:rFonts w:ascii="Verdana" w:hAnsi="Verdana"/>
                <w:sz w:val="20"/>
              </w:rPr>
              <w:fldChar w:fldCharType="end"/>
            </w:r>
          </w:p>
        </w:tc>
        <w:tc>
          <w:tcPr>
            <w:tcW w:w="5441" w:type="dxa"/>
          </w:tcPr>
          <w:p w14:paraId="5C82522C" w14:textId="77777777" w:rsidR="00F935B1" w:rsidRPr="000A4491" w:rsidRDefault="00F935B1" w:rsidP="0083602C">
            <w:pPr>
              <w:pStyle w:val="NormalWeb"/>
              <w:spacing w:before="0" w:beforeAutospacing="0" w:after="0"/>
              <w:rPr>
                <w:rFonts w:ascii="Verdana" w:hAnsi="Verdana"/>
                <w:sz w:val="20"/>
              </w:rPr>
            </w:pPr>
            <w:r w:rsidRPr="000A4491">
              <w:rPr>
                <w:rFonts w:ascii="Verdana" w:hAnsi="Verdana"/>
                <w:sz w:val="20"/>
              </w:rPr>
              <w:t>A separately priced warranty allowing for broken equipment to be fixed or, in the event that the problem is beyond repair, replaced.</w:t>
            </w:r>
          </w:p>
        </w:tc>
      </w:tr>
      <w:tr w:rsidR="00F935B1" w14:paraId="0C911FF1" w14:textId="77777777" w:rsidTr="0083602C">
        <w:trPr>
          <w:tblCellSpacing w:w="15" w:type="dxa"/>
        </w:trPr>
        <w:tc>
          <w:tcPr>
            <w:tcW w:w="3656" w:type="dxa"/>
          </w:tcPr>
          <w:p w14:paraId="5AF01E8C" w14:textId="77777777" w:rsidR="00F935B1" w:rsidRPr="000A4491" w:rsidRDefault="00F935B1" w:rsidP="0083602C">
            <w:pPr>
              <w:rPr>
                <w:rFonts w:ascii="Verdana" w:hAnsi="Verdana"/>
                <w:sz w:val="20"/>
              </w:rPr>
            </w:pPr>
            <w:r w:rsidRPr="000A4491">
              <w:rPr>
                <w:rFonts w:ascii="Verdana" w:hAnsi="Verdana"/>
                <w:sz w:val="20"/>
              </w:rPr>
              <w:t>Uninterruptible Power Supply (UPS)</w:t>
            </w:r>
            <w:r w:rsidRPr="000A4491">
              <w:rPr>
                <w:rFonts w:ascii="Verdana" w:hAnsi="Verdana"/>
                <w:sz w:val="20"/>
              </w:rPr>
              <w:fldChar w:fldCharType="begin"/>
            </w:r>
            <w:r w:rsidRPr="000A4491">
              <w:rPr>
                <w:rFonts w:ascii="Verdana" w:hAnsi="Verdana"/>
                <w:sz w:val="20"/>
              </w:rPr>
              <w:instrText>xe "</w:instrText>
            </w:r>
            <w:r w:rsidRPr="000A4491">
              <w:rPr>
                <w:rStyle w:val="Hyperlink"/>
                <w:rFonts w:ascii="Verdana" w:hAnsi="Verdana"/>
                <w:bCs/>
                <w:sz w:val="20"/>
              </w:rPr>
              <w:instrText>Uninterruptible Power Supply</w:instrText>
            </w:r>
            <w:r w:rsidRPr="000A4491">
              <w:rPr>
                <w:rFonts w:ascii="Verdana" w:hAnsi="Verdana"/>
                <w:sz w:val="20"/>
              </w:rPr>
              <w:instrText>"</w:instrText>
            </w:r>
            <w:r w:rsidRPr="000A4491">
              <w:rPr>
                <w:rFonts w:ascii="Verdana" w:hAnsi="Verdana"/>
                <w:sz w:val="20"/>
              </w:rPr>
              <w:fldChar w:fldCharType="end"/>
            </w:r>
            <w:r w:rsidRPr="000A4491">
              <w:rPr>
                <w:rFonts w:ascii="Verdana" w:hAnsi="Verdana"/>
                <w:sz w:val="20"/>
              </w:rPr>
              <w:t xml:space="preserve"> / Battery Backup </w:t>
            </w:r>
            <w:r w:rsidRPr="000A4491">
              <w:rPr>
                <w:rFonts w:ascii="Verdana" w:hAnsi="Verdana"/>
                <w:sz w:val="20"/>
              </w:rPr>
              <w:br/>
              <w:t>(</w:t>
            </w:r>
            <w:hyperlink w:anchor="aaDataProtection" w:history="1">
              <w:r w:rsidRPr="000A4491">
                <w:rPr>
                  <w:rStyle w:val="Hyperlink"/>
                  <w:rFonts w:ascii="Verdana" w:hAnsi="Verdana"/>
                  <w:sz w:val="20"/>
                </w:rPr>
                <w:t>Data Protection</w:t>
              </w:r>
              <w:r w:rsidRPr="000A4491">
                <w:rPr>
                  <w:rFonts w:ascii="Verdana" w:hAnsi="Verdana"/>
                  <w:sz w:val="20"/>
                </w:rPr>
                <w:fldChar w:fldCharType="begin"/>
              </w:r>
              <w:r w:rsidRPr="000A4491">
                <w:rPr>
                  <w:rFonts w:ascii="Verdana" w:hAnsi="Verdana"/>
                  <w:sz w:val="20"/>
                </w:rPr>
                <w:instrText>xe "Data Protection"</w:instrText>
              </w:r>
              <w:r w:rsidRPr="000A4491">
                <w:rPr>
                  <w:rFonts w:ascii="Verdana" w:hAnsi="Verdana"/>
                  <w:sz w:val="20"/>
                </w:rPr>
                <w:fldChar w:fldCharType="end"/>
              </w:r>
            </w:hyperlink>
            <w:r w:rsidRPr="000A4491">
              <w:rPr>
                <w:rFonts w:ascii="Verdana" w:hAnsi="Verdana"/>
                <w:sz w:val="20"/>
              </w:rPr>
              <w:t>)</w:t>
            </w:r>
          </w:p>
        </w:tc>
        <w:tc>
          <w:tcPr>
            <w:tcW w:w="5441" w:type="dxa"/>
          </w:tcPr>
          <w:p w14:paraId="48D0C7E3" w14:textId="77777777" w:rsidR="00F935B1" w:rsidRPr="000A4491" w:rsidRDefault="00F935B1" w:rsidP="0083602C">
            <w:pPr>
              <w:pStyle w:val="NormalWeb"/>
              <w:spacing w:before="0" w:beforeAutospacing="0" w:after="0"/>
              <w:rPr>
                <w:rFonts w:ascii="Verdana" w:hAnsi="Verdana"/>
                <w:sz w:val="20"/>
              </w:rPr>
            </w:pPr>
            <w:r w:rsidRPr="000A4491">
              <w:rPr>
                <w:rFonts w:ascii="Verdana" w:hAnsi="Verdana"/>
                <w:sz w:val="20"/>
              </w:rPr>
              <w:t>An Uninterruptible Power Supply</w:t>
            </w:r>
            <w:r w:rsidRPr="000A4491">
              <w:rPr>
                <w:rFonts w:ascii="Verdana" w:hAnsi="Verdana"/>
                <w:sz w:val="20"/>
              </w:rPr>
              <w:fldChar w:fldCharType="begin"/>
            </w:r>
            <w:r w:rsidRPr="000A4491">
              <w:rPr>
                <w:rFonts w:ascii="Verdana" w:hAnsi="Verdana"/>
                <w:sz w:val="20"/>
              </w:rPr>
              <w:instrText>xe "</w:instrText>
            </w:r>
            <w:r w:rsidRPr="000A4491">
              <w:rPr>
                <w:rStyle w:val="Hyperlink"/>
                <w:rFonts w:ascii="Verdana" w:hAnsi="Verdana"/>
                <w:bCs/>
                <w:sz w:val="20"/>
              </w:rPr>
              <w:instrText>Uninterruptible Power Supply</w:instrText>
            </w:r>
            <w:r w:rsidRPr="000A4491">
              <w:rPr>
                <w:rFonts w:ascii="Verdana" w:hAnsi="Verdana"/>
                <w:sz w:val="20"/>
              </w:rPr>
              <w:instrText>"</w:instrText>
            </w:r>
            <w:r w:rsidRPr="000A4491">
              <w:rPr>
                <w:rFonts w:ascii="Verdana" w:hAnsi="Verdana"/>
                <w:sz w:val="20"/>
              </w:rPr>
              <w:fldChar w:fldCharType="end"/>
            </w:r>
            <w:r w:rsidRPr="000A4491">
              <w:rPr>
                <w:rFonts w:ascii="Verdana" w:hAnsi="Verdana"/>
                <w:sz w:val="20"/>
              </w:rPr>
              <w:t xml:space="preserve"> (UPS</w:t>
            </w:r>
            <w:r w:rsidRPr="000A4491">
              <w:rPr>
                <w:rFonts w:ascii="Verdana" w:hAnsi="Verdana"/>
                <w:sz w:val="20"/>
              </w:rPr>
              <w:fldChar w:fldCharType="begin"/>
            </w:r>
            <w:r w:rsidRPr="000A4491">
              <w:rPr>
                <w:rFonts w:ascii="Verdana" w:hAnsi="Verdana"/>
                <w:sz w:val="20"/>
              </w:rPr>
              <w:instrText>xe "</w:instrText>
            </w:r>
            <w:r w:rsidRPr="000A4491">
              <w:rPr>
                <w:rFonts w:ascii="Verdana" w:hAnsi="Verdana"/>
                <w:bCs/>
                <w:sz w:val="20"/>
              </w:rPr>
              <w:instrText>UPS</w:instrText>
            </w:r>
            <w:r w:rsidRPr="000A4491">
              <w:rPr>
                <w:rFonts w:ascii="Verdana" w:hAnsi="Verdana"/>
                <w:sz w:val="20"/>
              </w:rPr>
              <w:instrText>"</w:instrText>
            </w:r>
            <w:r w:rsidRPr="000A4491">
              <w:rPr>
                <w:rFonts w:ascii="Verdana" w:hAnsi="Verdana"/>
                <w:sz w:val="20"/>
              </w:rPr>
              <w:fldChar w:fldCharType="end"/>
            </w:r>
            <w:r w:rsidRPr="000A4491">
              <w:rPr>
                <w:rFonts w:ascii="Verdana" w:hAnsi="Verdana"/>
                <w:sz w:val="20"/>
              </w:rPr>
              <w:t>), also called a battery backup</w:t>
            </w:r>
            <w:r w:rsidRPr="000A4491">
              <w:rPr>
                <w:rFonts w:ascii="Verdana" w:hAnsi="Verdana"/>
                <w:sz w:val="20"/>
              </w:rPr>
              <w:fldChar w:fldCharType="begin"/>
            </w:r>
            <w:r w:rsidRPr="000A4491">
              <w:rPr>
                <w:rFonts w:ascii="Verdana" w:hAnsi="Verdana"/>
                <w:sz w:val="20"/>
              </w:rPr>
              <w:instrText>xe "Battery Backup"</w:instrText>
            </w:r>
            <w:r w:rsidRPr="000A4491">
              <w:rPr>
                <w:rFonts w:ascii="Verdana" w:hAnsi="Verdana"/>
                <w:sz w:val="20"/>
              </w:rPr>
              <w:fldChar w:fldCharType="end"/>
            </w:r>
            <w:r w:rsidRPr="000A4491">
              <w:rPr>
                <w:rFonts w:ascii="Verdana" w:hAnsi="Verdana"/>
                <w:sz w:val="20"/>
              </w:rPr>
              <w:t>, is a device that provides backup electric energy to a piece of equipment in the event of a power failure.</w:t>
            </w:r>
          </w:p>
        </w:tc>
      </w:tr>
      <w:tr w:rsidR="00F935B1" w14:paraId="2EAC4041" w14:textId="77777777" w:rsidTr="0083602C">
        <w:trPr>
          <w:tblCellSpacing w:w="15" w:type="dxa"/>
        </w:trPr>
        <w:tc>
          <w:tcPr>
            <w:tcW w:w="3656" w:type="dxa"/>
          </w:tcPr>
          <w:p w14:paraId="3683172D" w14:textId="77777777" w:rsidR="00F935B1" w:rsidRPr="000A4491" w:rsidRDefault="00F935B1" w:rsidP="0083602C">
            <w:pPr>
              <w:rPr>
                <w:rFonts w:ascii="Verdana" w:hAnsi="Verdana"/>
                <w:sz w:val="20"/>
              </w:rPr>
            </w:pPr>
            <w:r w:rsidRPr="000A4491">
              <w:rPr>
                <w:rFonts w:ascii="Verdana" w:hAnsi="Verdana"/>
                <w:sz w:val="20"/>
              </w:rPr>
              <w:lastRenderedPageBreak/>
              <w:t>UPS Interface Expander</w:t>
            </w:r>
          </w:p>
          <w:p w14:paraId="5E1CDCC8" w14:textId="77777777" w:rsidR="00F935B1" w:rsidRPr="000A4491" w:rsidRDefault="00F935B1" w:rsidP="0083602C">
            <w:pPr>
              <w:rPr>
                <w:rFonts w:ascii="Verdana" w:hAnsi="Verdana"/>
                <w:sz w:val="20"/>
              </w:rPr>
            </w:pPr>
            <w:r w:rsidRPr="000A4491">
              <w:rPr>
                <w:rFonts w:ascii="Verdana" w:hAnsi="Verdana"/>
                <w:sz w:val="20"/>
              </w:rPr>
              <w:t>(</w:t>
            </w:r>
            <w:hyperlink w:anchor="aaDataProtection" w:history="1">
              <w:r w:rsidRPr="000A4491">
                <w:rPr>
                  <w:rStyle w:val="Hyperlink"/>
                  <w:rFonts w:ascii="Verdana" w:hAnsi="Verdana"/>
                  <w:sz w:val="20"/>
                </w:rPr>
                <w:t>Data Protection</w:t>
              </w:r>
              <w:r w:rsidRPr="000A4491">
                <w:rPr>
                  <w:rFonts w:ascii="Verdana" w:hAnsi="Verdana"/>
                  <w:sz w:val="20"/>
                </w:rPr>
                <w:fldChar w:fldCharType="begin"/>
              </w:r>
              <w:r w:rsidRPr="000A4491">
                <w:rPr>
                  <w:rFonts w:ascii="Verdana" w:hAnsi="Verdana"/>
                  <w:sz w:val="20"/>
                </w:rPr>
                <w:instrText>xe "Data Protection"</w:instrText>
              </w:r>
              <w:r w:rsidRPr="000A4491">
                <w:rPr>
                  <w:rFonts w:ascii="Verdana" w:hAnsi="Verdana"/>
                  <w:sz w:val="20"/>
                </w:rPr>
                <w:fldChar w:fldCharType="end"/>
              </w:r>
            </w:hyperlink>
            <w:r w:rsidRPr="000A4491">
              <w:rPr>
                <w:rFonts w:ascii="Verdana" w:hAnsi="Verdana"/>
                <w:sz w:val="20"/>
              </w:rPr>
              <w:t>)</w:t>
            </w:r>
          </w:p>
        </w:tc>
        <w:tc>
          <w:tcPr>
            <w:tcW w:w="5441" w:type="dxa"/>
          </w:tcPr>
          <w:p w14:paraId="144ED0C8" w14:textId="77777777" w:rsidR="00F935B1" w:rsidRPr="000A4491" w:rsidRDefault="00F935B1" w:rsidP="0083602C">
            <w:pPr>
              <w:pStyle w:val="NormalWeb"/>
              <w:spacing w:before="0" w:beforeAutospacing="0" w:after="0"/>
              <w:rPr>
                <w:rFonts w:ascii="Verdana" w:hAnsi="Verdana"/>
                <w:sz w:val="20"/>
              </w:rPr>
            </w:pPr>
            <w:r w:rsidRPr="000A4491">
              <w:rPr>
                <w:rFonts w:ascii="Verdana" w:hAnsi="Verdana"/>
                <w:bCs/>
                <w:sz w:val="20"/>
              </w:rPr>
              <w:t>A UPS</w:t>
            </w:r>
            <w:r w:rsidRPr="000A4491">
              <w:rPr>
                <w:rFonts w:ascii="Verdana" w:hAnsi="Verdana"/>
                <w:sz w:val="20"/>
              </w:rPr>
              <w:fldChar w:fldCharType="begin"/>
            </w:r>
            <w:r w:rsidRPr="000A4491">
              <w:rPr>
                <w:rFonts w:ascii="Verdana" w:hAnsi="Verdana"/>
                <w:sz w:val="20"/>
              </w:rPr>
              <w:instrText>xe "</w:instrText>
            </w:r>
            <w:r w:rsidRPr="000A4491">
              <w:rPr>
                <w:rFonts w:ascii="Verdana" w:hAnsi="Verdana"/>
                <w:bCs/>
                <w:sz w:val="20"/>
              </w:rPr>
              <w:instrText>UPS</w:instrText>
            </w:r>
            <w:r w:rsidRPr="000A4491">
              <w:rPr>
                <w:rFonts w:ascii="Verdana" w:hAnsi="Verdana"/>
                <w:sz w:val="20"/>
              </w:rPr>
              <w:instrText>"</w:instrText>
            </w:r>
            <w:r w:rsidRPr="000A4491">
              <w:rPr>
                <w:rFonts w:ascii="Verdana" w:hAnsi="Verdana"/>
                <w:sz w:val="20"/>
              </w:rPr>
              <w:fldChar w:fldCharType="end"/>
            </w:r>
            <w:r w:rsidRPr="000A4491">
              <w:rPr>
                <w:rFonts w:ascii="Verdana" w:hAnsi="Verdana"/>
                <w:bCs/>
                <w:sz w:val="20"/>
              </w:rPr>
              <w:t xml:space="preserve"> Interface Expander allows an Uninterruptible Power Supply (UPS) to provide power management to multiple devices.</w:t>
            </w:r>
          </w:p>
        </w:tc>
      </w:tr>
      <w:tr w:rsidR="00F935B1" w14:paraId="38F159C0" w14:textId="77777777" w:rsidTr="0083602C">
        <w:trPr>
          <w:tblCellSpacing w:w="15" w:type="dxa"/>
        </w:trPr>
        <w:tc>
          <w:tcPr>
            <w:tcW w:w="3656" w:type="dxa"/>
          </w:tcPr>
          <w:p w14:paraId="2129CEEA" w14:textId="77777777" w:rsidR="00F935B1" w:rsidRPr="000A4491" w:rsidRDefault="00F935B1" w:rsidP="0083602C">
            <w:pPr>
              <w:rPr>
                <w:rFonts w:ascii="Verdana" w:hAnsi="Verdana"/>
                <w:sz w:val="20"/>
              </w:rPr>
            </w:pPr>
            <w:r w:rsidRPr="000A4491">
              <w:rPr>
                <w:rFonts w:ascii="Verdana" w:hAnsi="Verdana"/>
                <w:sz w:val="20"/>
              </w:rPr>
              <w:t>Video Amplifier</w:t>
            </w:r>
            <w:r w:rsidRPr="000A4491">
              <w:rPr>
                <w:rFonts w:ascii="Verdana" w:hAnsi="Verdana"/>
                <w:sz w:val="20"/>
              </w:rPr>
              <w:fldChar w:fldCharType="begin"/>
            </w:r>
            <w:r w:rsidRPr="000A4491">
              <w:rPr>
                <w:rFonts w:ascii="Verdana" w:hAnsi="Verdana"/>
                <w:sz w:val="20"/>
              </w:rPr>
              <w:instrText>xe "</w:instrText>
            </w:r>
            <w:r w:rsidRPr="000A4491">
              <w:rPr>
                <w:rStyle w:val="Hyperlink"/>
                <w:rFonts w:ascii="Verdana" w:hAnsi="Verdana"/>
                <w:bCs/>
                <w:sz w:val="20"/>
              </w:rPr>
              <w:instrText>Video Amplifier</w:instrText>
            </w:r>
            <w:r w:rsidRPr="000A4491">
              <w:rPr>
                <w:rFonts w:ascii="Verdana" w:hAnsi="Verdana"/>
                <w:sz w:val="20"/>
              </w:rPr>
              <w:instrText>"</w:instrText>
            </w:r>
            <w:r w:rsidRPr="000A4491">
              <w:rPr>
                <w:rFonts w:ascii="Verdana" w:hAnsi="Verdana"/>
                <w:sz w:val="20"/>
              </w:rPr>
              <w:fldChar w:fldCharType="end"/>
            </w:r>
          </w:p>
          <w:p w14:paraId="5BF39D8E" w14:textId="77777777" w:rsidR="00F935B1" w:rsidRPr="000A4491" w:rsidRDefault="00F935B1" w:rsidP="0083602C">
            <w:pPr>
              <w:rPr>
                <w:rFonts w:ascii="Verdana" w:hAnsi="Verdana"/>
                <w:sz w:val="20"/>
              </w:rPr>
            </w:pPr>
            <w:r w:rsidRPr="000A4491">
              <w:rPr>
                <w:rFonts w:ascii="Verdana" w:hAnsi="Verdana"/>
                <w:sz w:val="20"/>
              </w:rPr>
              <w:t>(</w:t>
            </w:r>
            <w:hyperlink w:anchor="aaVideo" w:history="1">
              <w:r w:rsidRPr="000A4491">
                <w:rPr>
                  <w:rStyle w:val="Hyperlink"/>
                  <w:rFonts w:ascii="Verdana" w:hAnsi="Verdana"/>
                  <w:sz w:val="20"/>
                </w:rPr>
                <w:t>Video Components</w:t>
              </w:r>
              <w:r w:rsidRPr="000A4491">
                <w:rPr>
                  <w:rFonts w:ascii="Verdana" w:hAnsi="Verdana"/>
                  <w:sz w:val="20"/>
                </w:rPr>
                <w:fldChar w:fldCharType="begin"/>
              </w:r>
              <w:r w:rsidRPr="000A4491">
                <w:rPr>
                  <w:rFonts w:ascii="Verdana" w:hAnsi="Verdana"/>
                  <w:sz w:val="20"/>
                </w:rPr>
                <w:instrText>xe "Video Components"</w:instrText>
              </w:r>
              <w:r w:rsidRPr="000A4491">
                <w:rPr>
                  <w:rFonts w:ascii="Verdana" w:hAnsi="Verdana"/>
                  <w:sz w:val="20"/>
                </w:rPr>
                <w:fldChar w:fldCharType="end"/>
              </w:r>
            </w:hyperlink>
            <w:r w:rsidRPr="000A4491">
              <w:rPr>
                <w:rFonts w:ascii="Verdana" w:hAnsi="Verdana"/>
                <w:sz w:val="20"/>
              </w:rPr>
              <w:t>)</w:t>
            </w:r>
          </w:p>
        </w:tc>
        <w:tc>
          <w:tcPr>
            <w:tcW w:w="5441" w:type="dxa"/>
          </w:tcPr>
          <w:p w14:paraId="2BF0336B" w14:textId="77777777" w:rsidR="00F935B1" w:rsidRPr="000A4491" w:rsidRDefault="00F935B1" w:rsidP="0083602C">
            <w:pPr>
              <w:pStyle w:val="NormalWeb"/>
              <w:spacing w:before="0" w:beforeAutospacing="0" w:after="0"/>
              <w:rPr>
                <w:rFonts w:ascii="Verdana" w:hAnsi="Verdana"/>
                <w:sz w:val="20"/>
              </w:rPr>
            </w:pPr>
            <w:r w:rsidRPr="000A4491">
              <w:rPr>
                <w:rFonts w:ascii="Verdana" w:hAnsi="Verdana"/>
                <w:sz w:val="20"/>
              </w:rPr>
              <w:t>A Video Amplifier</w:t>
            </w:r>
            <w:r w:rsidRPr="000A4491">
              <w:rPr>
                <w:rFonts w:ascii="Verdana" w:hAnsi="Verdana"/>
                <w:sz w:val="20"/>
              </w:rPr>
              <w:fldChar w:fldCharType="begin"/>
            </w:r>
            <w:r w:rsidRPr="000A4491">
              <w:rPr>
                <w:rFonts w:ascii="Verdana" w:hAnsi="Verdana"/>
                <w:sz w:val="20"/>
              </w:rPr>
              <w:instrText>xe "</w:instrText>
            </w:r>
            <w:r w:rsidRPr="000A4491">
              <w:rPr>
                <w:rStyle w:val="Hyperlink"/>
                <w:rFonts w:ascii="Verdana" w:hAnsi="Verdana"/>
                <w:bCs/>
                <w:sz w:val="20"/>
              </w:rPr>
              <w:instrText>Video Amplifier</w:instrText>
            </w:r>
            <w:r w:rsidRPr="000A4491">
              <w:rPr>
                <w:rFonts w:ascii="Verdana" w:hAnsi="Verdana"/>
                <w:sz w:val="20"/>
              </w:rPr>
              <w:instrText>"</w:instrText>
            </w:r>
            <w:r w:rsidRPr="000A4491">
              <w:rPr>
                <w:rFonts w:ascii="Verdana" w:hAnsi="Verdana"/>
                <w:sz w:val="20"/>
              </w:rPr>
              <w:fldChar w:fldCharType="end"/>
            </w:r>
            <w:r w:rsidRPr="000A4491">
              <w:rPr>
                <w:rFonts w:ascii="Verdana" w:hAnsi="Verdana"/>
                <w:sz w:val="20"/>
              </w:rPr>
              <w:t xml:space="preserve"> is a device that strengthens the level of a video</w:t>
            </w:r>
            <w:r w:rsidRPr="000A4491">
              <w:rPr>
                <w:rFonts w:ascii="Verdana" w:hAnsi="Verdana"/>
                <w:sz w:val="20"/>
              </w:rPr>
              <w:fldChar w:fldCharType="begin"/>
            </w:r>
            <w:r w:rsidRPr="000A4491">
              <w:rPr>
                <w:rFonts w:ascii="Verdana" w:hAnsi="Verdana"/>
                <w:sz w:val="20"/>
              </w:rPr>
              <w:instrText>xe "Video"</w:instrText>
            </w:r>
            <w:r w:rsidRPr="000A4491">
              <w:rPr>
                <w:rFonts w:ascii="Verdana" w:hAnsi="Verdana"/>
                <w:sz w:val="20"/>
              </w:rPr>
              <w:fldChar w:fldCharType="end"/>
            </w:r>
            <w:r w:rsidRPr="000A4491">
              <w:rPr>
                <w:rFonts w:ascii="Verdana" w:hAnsi="Verdana"/>
                <w:sz w:val="20"/>
              </w:rPr>
              <w:t xml:space="preserve"> signal.</w:t>
            </w:r>
          </w:p>
        </w:tc>
      </w:tr>
      <w:tr w:rsidR="00F935B1" w14:paraId="5CE0A4C3" w14:textId="77777777" w:rsidTr="0083602C">
        <w:trPr>
          <w:tblCellSpacing w:w="15" w:type="dxa"/>
        </w:trPr>
        <w:tc>
          <w:tcPr>
            <w:tcW w:w="3656" w:type="dxa"/>
          </w:tcPr>
          <w:p w14:paraId="1E0CF856" w14:textId="77777777" w:rsidR="00F935B1" w:rsidRPr="000A4491" w:rsidRDefault="00F935B1" w:rsidP="0083602C">
            <w:pPr>
              <w:rPr>
                <w:rFonts w:ascii="Verdana" w:hAnsi="Verdana"/>
                <w:sz w:val="20"/>
              </w:rPr>
            </w:pPr>
            <w:r w:rsidRPr="000A4491">
              <w:rPr>
                <w:rFonts w:ascii="Verdana" w:hAnsi="Verdana"/>
                <w:sz w:val="20"/>
              </w:rPr>
              <w:t>Video Channel Modulator</w:t>
            </w:r>
            <w:r w:rsidRPr="000A4491">
              <w:rPr>
                <w:rFonts w:ascii="Verdana" w:hAnsi="Verdana"/>
                <w:sz w:val="20"/>
              </w:rPr>
              <w:fldChar w:fldCharType="begin"/>
            </w:r>
            <w:r w:rsidRPr="000A4491">
              <w:rPr>
                <w:rFonts w:ascii="Verdana" w:hAnsi="Verdana"/>
                <w:sz w:val="20"/>
              </w:rPr>
              <w:instrText>xe "</w:instrText>
            </w:r>
            <w:r w:rsidRPr="000A4491">
              <w:rPr>
                <w:rStyle w:val="Hyperlink"/>
                <w:rFonts w:ascii="Verdana" w:hAnsi="Verdana"/>
                <w:bCs/>
                <w:sz w:val="20"/>
              </w:rPr>
              <w:instrText>Video Channel Modulator</w:instrText>
            </w:r>
            <w:r w:rsidRPr="000A4491">
              <w:rPr>
                <w:rFonts w:ascii="Verdana" w:hAnsi="Verdana"/>
                <w:sz w:val="20"/>
              </w:rPr>
              <w:instrText>"</w:instrText>
            </w:r>
            <w:r w:rsidRPr="000A4491">
              <w:rPr>
                <w:rFonts w:ascii="Verdana" w:hAnsi="Verdana"/>
                <w:sz w:val="20"/>
              </w:rPr>
              <w:fldChar w:fldCharType="end"/>
            </w:r>
          </w:p>
          <w:p w14:paraId="729FD00F" w14:textId="77777777" w:rsidR="00F935B1" w:rsidRPr="000A4491" w:rsidRDefault="00F935B1" w:rsidP="0083602C">
            <w:pPr>
              <w:rPr>
                <w:rFonts w:ascii="Verdana" w:hAnsi="Verdana"/>
                <w:sz w:val="20"/>
              </w:rPr>
            </w:pPr>
            <w:r w:rsidRPr="000A4491">
              <w:rPr>
                <w:rFonts w:ascii="Verdana" w:hAnsi="Verdana"/>
                <w:sz w:val="20"/>
              </w:rPr>
              <w:t>(</w:t>
            </w:r>
            <w:hyperlink w:anchor="aaVideo" w:history="1">
              <w:r w:rsidRPr="000A4491">
                <w:rPr>
                  <w:rStyle w:val="Hyperlink"/>
                  <w:rFonts w:ascii="Verdana" w:hAnsi="Verdana"/>
                  <w:sz w:val="20"/>
                </w:rPr>
                <w:t>Video Components</w:t>
              </w:r>
              <w:r w:rsidRPr="000A4491">
                <w:rPr>
                  <w:rFonts w:ascii="Verdana" w:hAnsi="Verdana"/>
                  <w:sz w:val="20"/>
                </w:rPr>
                <w:fldChar w:fldCharType="begin"/>
              </w:r>
              <w:r w:rsidRPr="000A4491">
                <w:rPr>
                  <w:rFonts w:ascii="Verdana" w:hAnsi="Verdana"/>
                  <w:sz w:val="20"/>
                </w:rPr>
                <w:instrText>xe "Video Components"</w:instrText>
              </w:r>
              <w:r w:rsidRPr="000A4491">
                <w:rPr>
                  <w:rFonts w:ascii="Verdana" w:hAnsi="Verdana"/>
                  <w:sz w:val="20"/>
                </w:rPr>
                <w:fldChar w:fldCharType="end"/>
              </w:r>
            </w:hyperlink>
            <w:r w:rsidRPr="000A4491">
              <w:rPr>
                <w:rFonts w:ascii="Verdana" w:hAnsi="Verdana"/>
                <w:sz w:val="20"/>
              </w:rPr>
              <w:t>)</w:t>
            </w:r>
          </w:p>
        </w:tc>
        <w:tc>
          <w:tcPr>
            <w:tcW w:w="5441" w:type="dxa"/>
          </w:tcPr>
          <w:p w14:paraId="77FDC0F6" w14:textId="77777777" w:rsidR="00F935B1" w:rsidRPr="000A4491" w:rsidRDefault="00F935B1" w:rsidP="0083602C">
            <w:pPr>
              <w:pStyle w:val="NormalWeb"/>
              <w:spacing w:before="0" w:beforeAutospacing="0" w:after="0"/>
              <w:rPr>
                <w:rFonts w:ascii="Verdana" w:hAnsi="Verdana"/>
                <w:sz w:val="20"/>
              </w:rPr>
            </w:pPr>
            <w:r w:rsidRPr="000A4491">
              <w:rPr>
                <w:rFonts w:ascii="Verdana" w:hAnsi="Verdana"/>
                <w:sz w:val="20"/>
              </w:rPr>
              <w:t>A Video Channel Modulator</w:t>
            </w:r>
            <w:r w:rsidRPr="000A4491">
              <w:rPr>
                <w:rFonts w:ascii="Verdana" w:hAnsi="Verdana"/>
                <w:sz w:val="20"/>
              </w:rPr>
              <w:fldChar w:fldCharType="begin"/>
            </w:r>
            <w:r w:rsidRPr="000A4491">
              <w:rPr>
                <w:rFonts w:ascii="Verdana" w:hAnsi="Verdana"/>
                <w:sz w:val="20"/>
              </w:rPr>
              <w:instrText>xe "</w:instrText>
            </w:r>
            <w:r w:rsidRPr="000A4491">
              <w:rPr>
                <w:rStyle w:val="Hyperlink"/>
                <w:rFonts w:ascii="Verdana" w:hAnsi="Verdana"/>
                <w:bCs/>
                <w:sz w:val="20"/>
              </w:rPr>
              <w:instrText>Video Channel Modulator</w:instrText>
            </w:r>
            <w:r w:rsidRPr="000A4491">
              <w:rPr>
                <w:rFonts w:ascii="Verdana" w:hAnsi="Verdana"/>
                <w:sz w:val="20"/>
              </w:rPr>
              <w:instrText>"</w:instrText>
            </w:r>
            <w:r w:rsidRPr="000A4491">
              <w:rPr>
                <w:rFonts w:ascii="Verdana" w:hAnsi="Verdana"/>
                <w:sz w:val="20"/>
              </w:rPr>
              <w:fldChar w:fldCharType="end"/>
            </w:r>
            <w:r w:rsidRPr="000A4491">
              <w:rPr>
                <w:rFonts w:ascii="Verdana" w:hAnsi="Verdana"/>
                <w:sz w:val="20"/>
              </w:rPr>
              <w:t xml:space="preserve"> is a distribution box that takes standard video</w:t>
            </w:r>
            <w:r w:rsidRPr="000A4491">
              <w:rPr>
                <w:rFonts w:ascii="Verdana" w:hAnsi="Verdana"/>
                <w:sz w:val="20"/>
              </w:rPr>
              <w:fldChar w:fldCharType="begin"/>
            </w:r>
            <w:r w:rsidRPr="000A4491">
              <w:rPr>
                <w:rFonts w:ascii="Verdana" w:hAnsi="Verdana"/>
                <w:sz w:val="20"/>
              </w:rPr>
              <w:instrText>xe "Video"</w:instrText>
            </w:r>
            <w:r w:rsidRPr="000A4491">
              <w:rPr>
                <w:rFonts w:ascii="Verdana" w:hAnsi="Verdana"/>
                <w:sz w:val="20"/>
              </w:rPr>
              <w:fldChar w:fldCharType="end"/>
            </w:r>
            <w:r w:rsidRPr="000A4491">
              <w:rPr>
                <w:rFonts w:ascii="Verdana" w:hAnsi="Verdana"/>
                <w:sz w:val="20"/>
              </w:rPr>
              <w:t xml:space="preserve"> and audio input from video cameras</w:t>
            </w:r>
            <w:r w:rsidRPr="000A4491">
              <w:rPr>
                <w:rFonts w:ascii="Verdana" w:hAnsi="Verdana"/>
                <w:sz w:val="20"/>
              </w:rPr>
              <w:fldChar w:fldCharType="begin"/>
            </w:r>
            <w:r w:rsidRPr="000A4491">
              <w:rPr>
                <w:rFonts w:ascii="Verdana" w:hAnsi="Verdana"/>
                <w:sz w:val="20"/>
              </w:rPr>
              <w:instrText>xe "Cameras"</w:instrText>
            </w:r>
            <w:r w:rsidRPr="000A4491">
              <w:rPr>
                <w:rFonts w:ascii="Verdana" w:hAnsi="Verdana"/>
                <w:sz w:val="20"/>
              </w:rPr>
              <w:fldChar w:fldCharType="end"/>
            </w:r>
            <w:r w:rsidRPr="000A4491">
              <w:rPr>
                <w:rFonts w:ascii="Verdana" w:hAnsi="Verdana"/>
                <w:sz w:val="20"/>
              </w:rPr>
              <w:t>, recorders</w:t>
            </w:r>
            <w:r w:rsidRPr="000A4491">
              <w:rPr>
                <w:rFonts w:ascii="Verdana" w:hAnsi="Verdana"/>
                <w:sz w:val="20"/>
              </w:rPr>
              <w:fldChar w:fldCharType="begin"/>
            </w:r>
            <w:r w:rsidRPr="000A4491">
              <w:rPr>
                <w:rFonts w:ascii="Verdana" w:hAnsi="Verdana"/>
                <w:sz w:val="20"/>
              </w:rPr>
              <w:instrText>xe "Videocassette Recorders"</w:instrText>
            </w:r>
            <w:r w:rsidRPr="000A4491">
              <w:rPr>
                <w:rFonts w:ascii="Verdana" w:hAnsi="Verdana"/>
                <w:sz w:val="20"/>
              </w:rPr>
              <w:fldChar w:fldCharType="end"/>
            </w:r>
            <w:r w:rsidRPr="000A4491">
              <w:rPr>
                <w:rFonts w:ascii="Verdana" w:hAnsi="Verdana"/>
                <w:sz w:val="20"/>
              </w:rPr>
              <w:t>, and other video components and distributes the signals to end users.</w:t>
            </w:r>
          </w:p>
        </w:tc>
      </w:tr>
      <w:tr w:rsidR="00F935B1" w14:paraId="7DF7C484" w14:textId="77777777" w:rsidTr="0083602C">
        <w:trPr>
          <w:tblCellSpacing w:w="15" w:type="dxa"/>
        </w:trPr>
        <w:tc>
          <w:tcPr>
            <w:tcW w:w="3656" w:type="dxa"/>
          </w:tcPr>
          <w:p w14:paraId="311DAF5F" w14:textId="77777777" w:rsidR="00F935B1" w:rsidRPr="000A4491" w:rsidRDefault="00F935B1" w:rsidP="0083602C">
            <w:pPr>
              <w:rPr>
                <w:rFonts w:ascii="Verdana" w:hAnsi="Verdana"/>
                <w:sz w:val="20"/>
              </w:rPr>
            </w:pPr>
            <w:r w:rsidRPr="000A4491">
              <w:rPr>
                <w:rFonts w:ascii="Verdana" w:hAnsi="Verdana"/>
                <w:sz w:val="20"/>
              </w:rPr>
              <w:t>Video Components</w:t>
            </w:r>
            <w:r w:rsidRPr="000A4491">
              <w:rPr>
                <w:rFonts w:ascii="Verdana" w:hAnsi="Verdana"/>
                <w:sz w:val="20"/>
              </w:rPr>
              <w:fldChar w:fldCharType="begin"/>
            </w:r>
            <w:r w:rsidRPr="000A4491">
              <w:rPr>
                <w:rFonts w:ascii="Verdana" w:hAnsi="Verdana"/>
                <w:sz w:val="20"/>
              </w:rPr>
              <w:instrText>xe "Video Components"</w:instrText>
            </w:r>
            <w:r w:rsidRPr="000A4491">
              <w:rPr>
                <w:rFonts w:ascii="Verdana" w:hAnsi="Verdana"/>
                <w:sz w:val="20"/>
              </w:rPr>
              <w:fldChar w:fldCharType="end"/>
            </w:r>
          </w:p>
          <w:p w14:paraId="5ADDA3E1" w14:textId="77777777" w:rsidR="00F935B1" w:rsidRPr="000A4491" w:rsidRDefault="00F935B1" w:rsidP="0083602C">
            <w:pPr>
              <w:rPr>
                <w:rFonts w:ascii="Verdana" w:hAnsi="Verdana"/>
                <w:sz w:val="20"/>
              </w:rPr>
            </w:pPr>
            <w:r w:rsidRPr="000A4491">
              <w:rPr>
                <w:rFonts w:ascii="Verdana" w:hAnsi="Verdana"/>
                <w:sz w:val="20"/>
              </w:rPr>
              <w:t>(</w:t>
            </w:r>
            <w:hyperlink w:anchor="aaVideo" w:history="1">
              <w:r w:rsidRPr="000A4491">
                <w:rPr>
                  <w:rStyle w:val="Hyperlink"/>
                  <w:rFonts w:ascii="Verdana" w:hAnsi="Verdana"/>
                  <w:sz w:val="20"/>
                </w:rPr>
                <w:t>Video Components</w:t>
              </w:r>
            </w:hyperlink>
            <w:r w:rsidRPr="000A4491">
              <w:rPr>
                <w:rFonts w:ascii="Verdana" w:hAnsi="Verdana"/>
                <w:sz w:val="20"/>
              </w:rPr>
              <w:t>)</w:t>
            </w:r>
          </w:p>
        </w:tc>
        <w:tc>
          <w:tcPr>
            <w:tcW w:w="5441" w:type="dxa"/>
          </w:tcPr>
          <w:p w14:paraId="03E4DCD0" w14:textId="77777777" w:rsidR="00F935B1" w:rsidRPr="000A4491" w:rsidRDefault="00F935B1" w:rsidP="0083602C">
            <w:pPr>
              <w:pStyle w:val="NormalWeb"/>
              <w:spacing w:before="0" w:beforeAutospacing="0" w:after="0"/>
              <w:rPr>
                <w:rFonts w:ascii="Verdana" w:hAnsi="Verdana"/>
                <w:sz w:val="20"/>
              </w:rPr>
            </w:pPr>
            <w:r w:rsidRPr="000A4491">
              <w:rPr>
                <w:rFonts w:ascii="Verdana" w:hAnsi="Verdana"/>
                <w:sz w:val="20"/>
              </w:rPr>
              <w:t>Video components provide the capabilities and technologies to enable moving images on television</w:t>
            </w:r>
            <w:r w:rsidRPr="000A4491">
              <w:rPr>
                <w:rFonts w:ascii="Verdana" w:hAnsi="Verdana"/>
                <w:sz w:val="20"/>
              </w:rPr>
              <w:fldChar w:fldCharType="begin"/>
            </w:r>
            <w:r w:rsidRPr="000A4491">
              <w:rPr>
                <w:rFonts w:ascii="Verdana" w:hAnsi="Verdana"/>
                <w:sz w:val="20"/>
              </w:rPr>
              <w:instrText>xe "Television"</w:instrText>
            </w:r>
            <w:r w:rsidRPr="000A4491">
              <w:rPr>
                <w:rFonts w:ascii="Verdana" w:hAnsi="Verdana"/>
                <w:sz w:val="20"/>
              </w:rPr>
              <w:fldChar w:fldCharType="end"/>
            </w:r>
            <w:r w:rsidRPr="000A4491">
              <w:rPr>
                <w:rFonts w:ascii="Verdana" w:hAnsi="Verdana"/>
                <w:sz w:val="20"/>
              </w:rPr>
              <w:t xml:space="preserve"> screens or computer monitors.</w:t>
            </w:r>
          </w:p>
        </w:tc>
      </w:tr>
      <w:tr w:rsidR="00F935B1" w14:paraId="2E2F50A7" w14:textId="77777777" w:rsidTr="0083602C">
        <w:trPr>
          <w:tblCellSpacing w:w="15" w:type="dxa"/>
        </w:trPr>
        <w:tc>
          <w:tcPr>
            <w:tcW w:w="3656" w:type="dxa"/>
          </w:tcPr>
          <w:p w14:paraId="253AFB8F" w14:textId="77777777" w:rsidR="00F935B1" w:rsidRPr="000A4491" w:rsidRDefault="00F935B1" w:rsidP="0083602C">
            <w:pPr>
              <w:rPr>
                <w:rFonts w:ascii="Verdana" w:hAnsi="Verdana"/>
                <w:sz w:val="20"/>
              </w:rPr>
            </w:pPr>
            <w:r w:rsidRPr="000A4491">
              <w:rPr>
                <w:rFonts w:ascii="Verdana" w:hAnsi="Verdana"/>
                <w:sz w:val="20"/>
              </w:rPr>
              <w:t>Video Content Storage</w:t>
            </w:r>
          </w:p>
          <w:p w14:paraId="62D15D50" w14:textId="77777777" w:rsidR="00F935B1" w:rsidRPr="000A4491" w:rsidRDefault="00F935B1" w:rsidP="0083602C">
            <w:pPr>
              <w:rPr>
                <w:rFonts w:ascii="Verdana" w:hAnsi="Verdana"/>
                <w:sz w:val="20"/>
              </w:rPr>
            </w:pPr>
            <w:r w:rsidRPr="000A4491">
              <w:rPr>
                <w:rFonts w:ascii="Verdana" w:hAnsi="Verdana"/>
                <w:sz w:val="20"/>
              </w:rPr>
              <w:t>(</w:t>
            </w:r>
            <w:hyperlink w:anchor="aaOtherEligibleComponents" w:history="1">
              <w:r w:rsidRPr="000A4491">
                <w:rPr>
                  <w:rStyle w:val="Hyperlink"/>
                  <w:rFonts w:ascii="Verdana" w:hAnsi="Verdana"/>
                  <w:sz w:val="20"/>
                </w:rPr>
                <w:t>Other Eligible Internal Connections Components</w:t>
              </w:r>
            </w:hyperlink>
            <w:r w:rsidRPr="000A4491">
              <w:rPr>
                <w:rFonts w:ascii="Verdana" w:hAnsi="Verdana"/>
                <w:sz w:val="20"/>
              </w:rPr>
              <w:t>)</w:t>
            </w:r>
          </w:p>
        </w:tc>
        <w:tc>
          <w:tcPr>
            <w:tcW w:w="5441" w:type="dxa"/>
          </w:tcPr>
          <w:p w14:paraId="14F5A107" w14:textId="77777777" w:rsidR="00F935B1" w:rsidRPr="000A4491" w:rsidRDefault="00F935B1" w:rsidP="0083602C">
            <w:pPr>
              <w:pStyle w:val="NormalWeb"/>
              <w:spacing w:before="0" w:beforeAutospacing="0" w:after="0"/>
              <w:rPr>
                <w:rFonts w:ascii="Verdana" w:hAnsi="Verdana"/>
                <w:sz w:val="20"/>
              </w:rPr>
            </w:pPr>
            <w:r w:rsidRPr="000A4491">
              <w:rPr>
                <w:rFonts w:ascii="Verdana" w:hAnsi="Verdana"/>
                <w:sz w:val="20"/>
              </w:rPr>
              <w:t>Video content storage enables the storage of videos and makes such videos available for retrieval at any given time.</w:t>
            </w:r>
          </w:p>
        </w:tc>
      </w:tr>
      <w:tr w:rsidR="00F935B1" w14:paraId="3A2E8D75" w14:textId="77777777" w:rsidTr="0083602C">
        <w:trPr>
          <w:tblCellSpacing w:w="15" w:type="dxa"/>
        </w:trPr>
        <w:tc>
          <w:tcPr>
            <w:tcW w:w="3656" w:type="dxa"/>
          </w:tcPr>
          <w:p w14:paraId="6835D89A" w14:textId="77777777" w:rsidR="00F935B1" w:rsidRPr="000A4491" w:rsidRDefault="00F935B1" w:rsidP="0083602C">
            <w:pPr>
              <w:rPr>
                <w:rFonts w:ascii="Verdana" w:hAnsi="Verdana"/>
                <w:sz w:val="20"/>
                <w:lang w:val="es-ES_tradnl"/>
              </w:rPr>
            </w:pPr>
            <w:r w:rsidRPr="000A4491">
              <w:rPr>
                <w:rFonts w:ascii="Verdana" w:hAnsi="Verdana"/>
                <w:sz w:val="20"/>
                <w:lang w:val="es-ES_tradnl"/>
              </w:rPr>
              <w:t>Video Service</w:t>
            </w:r>
            <w:r w:rsidRPr="000A4491">
              <w:rPr>
                <w:rFonts w:ascii="Verdana" w:hAnsi="Verdana"/>
                <w:sz w:val="20"/>
                <w:lang w:val="es-ES_tradnl"/>
              </w:rPr>
              <w:fldChar w:fldCharType="begin"/>
            </w:r>
            <w:r w:rsidRPr="000A4491">
              <w:rPr>
                <w:rFonts w:ascii="Verdana" w:hAnsi="Verdana"/>
                <w:sz w:val="20"/>
                <w:lang w:val="es-ES_tradnl"/>
              </w:rPr>
              <w:instrText>xe "Video Service"</w:instrText>
            </w:r>
            <w:r w:rsidRPr="000A4491">
              <w:rPr>
                <w:rFonts w:ascii="Verdana" w:hAnsi="Verdana"/>
                <w:sz w:val="20"/>
                <w:lang w:val="es-ES_tradnl"/>
              </w:rPr>
              <w:fldChar w:fldCharType="end"/>
            </w:r>
          </w:p>
          <w:p w14:paraId="74C38627" w14:textId="77777777" w:rsidR="00F935B1" w:rsidRPr="000A4491" w:rsidRDefault="00F935B1" w:rsidP="0083602C">
            <w:pPr>
              <w:rPr>
                <w:rFonts w:ascii="Verdana" w:hAnsi="Verdana"/>
                <w:sz w:val="20"/>
                <w:lang w:val="es-ES_tradnl"/>
              </w:rPr>
            </w:pPr>
            <w:r w:rsidRPr="000A4491">
              <w:rPr>
                <w:rFonts w:ascii="Verdana" w:hAnsi="Verdana"/>
                <w:sz w:val="20"/>
                <w:lang w:val="es-ES_tradnl"/>
              </w:rPr>
              <w:t>(</w:t>
            </w:r>
            <w:hyperlink w:anchor="aattDigitalTransmissionServices" w:history="1">
              <w:r w:rsidRPr="000A4491">
                <w:rPr>
                  <w:rStyle w:val="Hyperlink"/>
                  <w:rFonts w:ascii="Verdana" w:hAnsi="Verdana"/>
                  <w:sz w:val="20"/>
                  <w:lang w:val="es-ES_tradnl"/>
                </w:rPr>
                <w:t>Digital Transmission Services</w:t>
              </w:r>
            </w:hyperlink>
            <w:r w:rsidRPr="000A4491">
              <w:rPr>
                <w:rFonts w:ascii="Verdana" w:hAnsi="Verdana"/>
                <w:sz w:val="20"/>
                <w:lang w:val="es-ES_tradnl"/>
              </w:rPr>
              <w:t>)</w:t>
            </w:r>
          </w:p>
        </w:tc>
        <w:tc>
          <w:tcPr>
            <w:tcW w:w="5441" w:type="dxa"/>
          </w:tcPr>
          <w:p w14:paraId="0BFE69D3" w14:textId="77777777" w:rsidR="00F935B1" w:rsidRPr="000A4491" w:rsidRDefault="00F935B1" w:rsidP="0083602C">
            <w:pPr>
              <w:rPr>
                <w:rFonts w:ascii="Verdana" w:hAnsi="Verdana"/>
                <w:sz w:val="20"/>
              </w:rPr>
            </w:pPr>
            <w:r w:rsidRPr="000A4491">
              <w:rPr>
                <w:rFonts w:ascii="Verdana" w:hAnsi="Verdana"/>
                <w:sz w:val="20"/>
              </w:rPr>
              <w:t>Video services</w:t>
            </w:r>
            <w:r w:rsidRPr="000A4491">
              <w:rPr>
                <w:rFonts w:ascii="Verdana" w:hAnsi="Verdana"/>
                <w:sz w:val="20"/>
              </w:rPr>
              <w:fldChar w:fldCharType="begin"/>
            </w:r>
            <w:r w:rsidRPr="000A4491">
              <w:rPr>
                <w:rFonts w:ascii="Verdana" w:hAnsi="Verdana"/>
                <w:sz w:val="20"/>
              </w:rPr>
              <w:instrText>xe "Video Service"</w:instrText>
            </w:r>
            <w:r w:rsidRPr="000A4491">
              <w:rPr>
                <w:rFonts w:ascii="Verdana" w:hAnsi="Verdana"/>
                <w:sz w:val="20"/>
              </w:rPr>
              <w:fldChar w:fldCharType="end"/>
            </w:r>
            <w:r w:rsidRPr="000A4491">
              <w:rPr>
                <w:rFonts w:ascii="Verdana" w:hAnsi="Verdana"/>
                <w:sz w:val="20"/>
              </w:rPr>
              <w:t xml:space="preserve"> involve the transmission of visual images.</w:t>
            </w:r>
          </w:p>
        </w:tc>
      </w:tr>
      <w:tr w:rsidR="00F935B1" w14:paraId="160C8B9A" w14:textId="77777777" w:rsidTr="0083602C">
        <w:trPr>
          <w:tblCellSpacing w:w="15" w:type="dxa"/>
        </w:trPr>
        <w:tc>
          <w:tcPr>
            <w:tcW w:w="3656" w:type="dxa"/>
          </w:tcPr>
          <w:p w14:paraId="26F5981F" w14:textId="77777777" w:rsidR="00F935B1" w:rsidRPr="000A4491" w:rsidRDefault="00F935B1" w:rsidP="0083602C">
            <w:pPr>
              <w:rPr>
                <w:rFonts w:ascii="Verdana" w:hAnsi="Verdana"/>
                <w:bCs/>
                <w:sz w:val="20"/>
              </w:rPr>
            </w:pPr>
            <w:r w:rsidRPr="000A4491">
              <w:rPr>
                <w:rFonts w:ascii="Verdana" w:hAnsi="Verdana"/>
                <w:bCs/>
                <w:sz w:val="20"/>
              </w:rPr>
              <w:t>Virtualization software</w:t>
            </w:r>
            <w:r w:rsidRPr="000A4491">
              <w:rPr>
                <w:rFonts w:ascii="Verdana" w:hAnsi="Verdana"/>
                <w:sz w:val="20"/>
              </w:rPr>
              <w:fldChar w:fldCharType="begin"/>
            </w:r>
            <w:r w:rsidRPr="000A4491">
              <w:rPr>
                <w:rFonts w:ascii="Verdana" w:hAnsi="Verdana"/>
                <w:sz w:val="20"/>
              </w:rPr>
              <w:instrText>xe "</w:instrText>
            </w:r>
            <w:r w:rsidRPr="000A4491">
              <w:rPr>
                <w:rStyle w:val="Hyperlink"/>
                <w:rFonts w:ascii="Verdana" w:hAnsi="Verdana"/>
                <w:bCs/>
                <w:sz w:val="20"/>
              </w:rPr>
              <w:instrText>Virtualization Software</w:instrText>
            </w:r>
            <w:r w:rsidRPr="000A4491">
              <w:rPr>
                <w:rFonts w:ascii="Verdana" w:hAnsi="Verdana"/>
                <w:sz w:val="20"/>
              </w:rPr>
              <w:instrText>"</w:instrText>
            </w:r>
            <w:r w:rsidRPr="000A4491">
              <w:rPr>
                <w:rFonts w:ascii="Verdana" w:hAnsi="Verdana"/>
                <w:sz w:val="20"/>
              </w:rPr>
              <w:fldChar w:fldCharType="end"/>
            </w:r>
          </w:p>
          <w:p w14:paraId="36D9B634" w14:textId="77777777" w:rsidR="00F935B1" w:rsidRPr="000A4491" w:rsidRDefault="00F935B1" w:rsidP="0083602C">
            <w:pPr>
              <w:rPr>
                <w:rFonts w:ascii="Verdana" w:hAnsi="Verdana"/>
                <w:sz w:val="20"/>
                <w:lang w:val="es-ES_tradnl"/>
              </w:rPr>
            </w:pPr>
            <w:r w:rsidRPr="000A4491">
              <w:rPr>
                <w:rFonts w:ascii="Verdana" w:hAnsi="Verdana"/>
                <w:sz w:val="20"/>
              </w:rPr>
              <w:t>(</w:t>
            </w:r>
            <w:hyperlink w:anchor="aaSoftware" w:history="1">
              <w:r w:rsidRPr="000A4491">
                <w:rPr>
                  <w:rStyle w:val="Hyperlink"/>
                  <w:rFonts w:ascii="Verdana" w:hAnsi="Verdana"/>
                  <w:sz w:val="20"/>
                </w:rPr>
                <w:t>Software</w:t>
              </w:r>
            </w:hyperlink>
            <w:r w:rsidRPr="000A4491">
              <w:rPr>
                <w:rFonts w:ascii="Verdana" w:hAnsi="Verdana"/>
                <w:sz w:val="20"/>
              </w:rPr>
              <w:t>)</w:t>
            </w:r>
          </w:p>
        </w:tc>
        <w:tc>
          <w:tcPr>
            <w:tcW w:w="5441" w:type="dxa"/>
          </w:tcPr>
          <w:p w14:paraId="592FB3AB" w14:textId="77777777" w:rsidR="00F935B1" w:rsidRPr="000A4491" w:rsidRDefault="00F935B1" w:rsidP="0083602C">
            <w:pPr>
              <w:rPr>
                <w:rFonts w:ascii="Verdana" w:hAnsi="Verdana"/>
                <w:sz w:val="20"/>
              </w:rPr>
            </w:pPr>
            <w:r w:rsidRPr="000A4491">
              <w:rPr>
                <w:rFonts w:ascii="Verdana" w:hAnsi="Verdana"/>
                <w:sz w:val="20"/>
              </w:rPr>
              <w:t>Virtualization software</w:t>
            </w:r>
            <w:r w:rsidRPr="000A4491">
              <w:rPr>
                <w:rFonts w:ascii="Verdana" w:hAnsi="Verdana"/>
                <w:sz w:val="20"/>
              </w:rPr>
              <w:fldChar w:fldCharType="begin"/>
            </w:r>
            <w:r w:rsidRPr="000A4491">
              <w:rPr>
                <w:rFonts w:ascii="Verdana" w:hAnsi="Verdana"/>
                <w:sz w:val="20"/>
              </w:rPr>
              <w:instrText>xe "</w:instrText>
            </w:r>
            <w:r w:rsidRPr="000A4491">
              <w:rPr>
                <w:rStyle w:val="Hyperlink"/>
                <w:rFonts w:ascii="Verdana" w:hAnsi="Verdana"/>
                <w:bCs/>
                <w:sz w:val="20"/>
              </w:rPr>
              <w:instrText>Virtualization Software</w:instrText>
            </w:r>
            <w:r w:rsidRPr="000A4491">
              <w:rPr>
                <w:rFonts w:ascii="Verdana" w:hAnsi="Verdana"/>
                <w:sz w:val="20"/>
              </w:rPr>
              <w:instrText>"</w:instrText>
            </w:r>
            <w:r w:rsidRPr="000A4491">
              <w:rPr>
                <w:rFonts w:ascii="Verdana" w:hAnsi="Verdana"/>
                <w:sz w:val="20"/>
              </w:rPr>
              <w:fldChar w:fldCharType="end"/>
            </w:r>
            <w:r w:rsidRPr="000A4491">
              <w:rPr>
                <w:rFonts w:ascii="Verdana" w:hAnsi="Verdana"/>
                <w:sz w:val="20"/>
              </w:rPr>
              <w:t xml:space="preserve"> allows for the creation of multiple virtual servers on a single server.  The virtual servers share the hardware of the server upon which the software is installed.</w:t>
            </w:r>
          </w:p>
        </w:tc>
      </w:tr>
      <w:tr w:rsidR="00F935B1" w14:paraId="30426D46" w14:textId="77777777" w:rsidTr="0083602C">
        <w:trPr>
          <w:tblCellSpacing w:w="15" w:type="dxa"/>
        </w:trPr>
        <w:tc>
          <w:tcPr>
            <w:tcW w:w="3656" w:type="dxa"/>
          </w:tcPr>
          <w:p w14:paraId="7A545CAC" w14:textId="77777777" w:rsidR="00F935B1" w:rsidRPr="000A4491" w:rsidRDefault="00F935B1" w:rsidP="0083602C">
            <w:pPr>
              <w:rPr>
                <w:rFonts w:ascii="Verdana" w:hAnsi="Verdana"/>
                <w:sz w:val="20"/>
              </w:rPr>
            </w:pPr>
            <w:r w:rsidRPr="000A4491">
              <w:rPr>
                <w:rFonts w:ascii="Verdana" w:hAnsi="Verdana"/>
                <w:sz w:val="20"/>
              </w:rPr>
              <w:t>Virtual Private Network</w:t>
            </w:r>
            <w:r w:rsidRPr="000A4491">
              <w:rPr>
                <w:rFonts w:ascii="Verdana" w:hAnsi="Verdana"/>
                <w:sz w:val="20"/>
              </w:rPr>
              <w:fldChar w:fldCharType="begin"/>
            </w:r>
            <w:r w:rsidRPr="000A4491">
              <w:rPr>
                <w:rFonts w:ascii="Verdana" w:hAnsi="Verdana"/>
                <w:sz w:val="20"/>
              </w:rPr>
              <w:instrText>xe "Virtual Private Network"</w:instrText>
            </w:r>
            <w:r w:rsidRPr="000A4491">
              <w:rPr>
                <w:rFonts w:ascii="Verdana" w:hAnsi="Verdana"/>
                <w:sz w:val="20"/>
              </w:rPr>
              <w:fldChar w:fldCharType="end"/>
            </w:r>
            <w:r w:rsidRPr="000A4491">
              <w:rPr>
                <w:rFonts w:ascii="Verdana" w:hAnsi="Verdana"/>
                <w:sz w:val="20"/>
              </w:rPr>
              <w:t xml:space="preserve"> (VPN</w:t>
            </w:r>
            <w:r w:rsidRPr="000A4491">
              <w:rPr>
                <w:rFonts w:ascii="Verdana" w:hAnsi="Verdana"/>
                <w:sz w:val="20"/>
              </w:rPr>
              <w:fldChar w:fldCharType="begin"/>
            </w:r>
            <w:r w:rsidRPr="000A4491">
              <w:rPr>
                <w:rFonts w:ascii="Verdana" w:hAnsi="Verdana"/>
                <w:sz w:val="20"/>
              </w:rPr>
              <w:instrText>xe "</w:instrText>
            </w:r>
            <w:r w:rsidRPr="000A4491">
              <w:rPr>
                <w:rStyle w:val="Hyperlink"/>
                <w:rFonts w:ascii="Verdana" w:hAnsi="Verdana"/>
                <w:bCs/>
                <w:sz w:val="20"/>
              </w:rPr>
              <w:instrText>VPN</w:instrText>
            </w:r>
            <w:r w:rsidRPr="000A4491">
              <w:rPr>
                <w:rFonts w:ascii="Verdana" w:hAnsi="Verdana"/>
                <w:sz w:val="20"/>
              </w:rPr>
              <w:instrText>"</w:instrText>
            </w:r>
            <w:r w:rsidRPr="000A4491">
              <w:rPr>
                <w:rFonts w:ascii="Verdana" w:hAnsi="Verdana"/>
                <w:sz w:val="20"/>
              </w:rPr>
              <w:fldChar w:fldCharType="end"/>
            </w:r>
            <w:r w:rsidRPr="000A4491">
              <w:rPr>
                <w:rFonts w:ascii="Verdana" w:hAnsi="Verdana"/>
                <w:sz w:val="20"/>
              </w:rPr>
              <w:t xml:space="preserve">) Components </w:t>
            </w:r>
            <w:r w:rsidRPr="000A4491">
              <w:rPr>
                <w:rFonts w:ascii="Verdana" w:hAnsi="Verdana"/>
                <w:sz w:val="20"/>
              </w:rPr>
              <w:br/>
              <w:t>(</w:t>
            </w:r>
            <w:hyperlink w:anchor="aaDataProtection" w:history="1">
              <w:r w:rsidRPr="000A4491">
                <w:rPr>
                  <w:rStyle w:val="Hyperlink"/>
                  <w:rFonts w:ascii="Verdana" w:hAnsi="Verdana"/>
                  <w:sz w:val="20"/>
                </w:rPr>
                <w:t>Data Protection</w:t>
              </w:r>
              <w:r w:rsidRPr="000A4491">
                <w:rPr>
                  <w:rFonts w:ascii="Verdana" w:hAnsi="Verdana"/>
                  <w:sz w:val="20"/>
                </w:rPr>
                <w:fldChar w:fldCharType="begin"/>
              </w:r>
              <w:r w:rsidRPr="000A4491">
                <w:rPr>
                  <w:rFonts w:ascii="Verdana" w:hAnsi="Verdana"/>
                  <w:sz w:val="20"/>
                </w:rPr>
                <w:instrText>xe "Data Protection"</w:instrText>
              </w:r>
              <w:r w:rsidRPr="000A4491">
                <w:rPr>
                  <w:rFonts w:ascii="Verdana" w:hAnsi="Verdana"/>
                  <w:sz w:val="20"/>
                </w:rPr>
                <w:fldChar w:fldCharType="end"/>
              </w:r>
            </w:hyperlink>
            <w:r w:rsidRPr="000A4491">
              <w:rPr>
                <w:rFonts w:ascii="Verdana" w:hAnsi="Verdana"/>
                <w:sz w:val="20"/>
              </w:rPr>
              <w:t>)</w:t>
            </w:r>
          </w:p>
        </w:tc>
        <w:tc>
          <w:tcPr>
            <w:tcW w:w="5441" w:type="dxa"/>
          </w:tcPr>
          <w:p w14:paraId="11742880" w14:textId="77777777" w:rsidR="00F935B1" w:rsidRPr="000A4491" w:rsidRDefault="00F935B1" w:rsidP="0083602C">
            <w:pPr>
              <w:pStyle w:val="NormalWeb"/>
              <w:spacing w:before="0" w:beforeAutospacing="0" w:after="0"/>
              <w:rPr>
                <w:rFonts w:ascii="Verdana" w:hAnsi="Verdana"/>
                <w:sz w:val="20"/>
              </w:rPr>
            </w:pPr>
            <w:r w:rsidRPr="000A4491">
              <w:rPr>
                <w:rFonts w:ascii="Verdana" w:hAnsi="Verdana"/>
                <w:sz w:val="20"/>
              </w:rPr>
              <w:t>A Virtual Private Network</w:t>
            </w:r>
            <w:r w:rsidRPr="000A4491">
              <w:rPr>
                <w:rFonts w:ascii="Verdana" w:hAnsi="Verdana"/>
                <w:sz w:val="20"/>
              </w:rPr>
              <w:fldChar w:fldCharType="begin"/>
            </w:r>
            <w:r w:rsidRPr="000A4491">
              <w:rPr>
                <w:rFonts w:ascii="Verdana" w:hAnsi="Verdana"/>
                <w:sz w:val="20"/>
              </w:rPr>
              <w:instrText>xe "Virtual Private Network"</w:instrText>
            </w:r>
            <w:r w:rsidRPr="000A4491">
              <w:rPr>
                <w:rFonts w:ascii="Verdana" w:hAnsi="Verdana"/>
                <w:sz w:val="20"/>
              </w:rPr>
              <w:fldChar w:fldCharType="end"/>
            </w:r>
            <w:r w:rsidRPr="000A4491">
              <w:rPr>
                <w:rFonts w:ascii="Verdana" w:hAnsi="Verdana"/>
                <w:sz w:val="20"/>
              </w:rPr>
              <w:t xml:space="preserve"> (VPN</w:t>
            </w:r>
            <w:r w:rsidRPr="000A4491">
              <w:rPr>
                <w:rFonts w:ascii="Verdana" w:hAnsi="Verdana"/>
                <w:sz w:val="20"/>
              </w:rPr>
              <w:fldChar w:fldCharType="begin"/>
            </w:r>
            <w:r w:rsidRPr="000A4491">
              <w:rPr>
                <w:rFonts w:ascii="Verdana" w:hAnsi="Verdana"/>
                <w:sz w:val="20"/>
              </w:rPr>
              <w:instrText>xe "</w:instrText>
            </w:r>
            <w:r w:rsidRPr="000A4491">
              <w:rPr>
                <w:rStyle w:val="Hyperlink"/>
                <w:rFonts w:ascii="Verdana" w:hAnsi="Verdana"/>
                <w:bCs/>
                <w:sz w:val="20"/>
              </w:rPr>
              <w:instrText>VPN</w:instrText>
            </w:r>
            <w:r w:rsidRPr="000A4491">
              <w:rPr>
                <w:rFonts w:ascii="Verdana" w:hAnsi="Verdana"/>
                <w:sz w:val="20"/>
              </w:rPr>
              <w:instrText>"</w:instrText>
            </w:r>
            <w:r w:rsidRPr="000A4491">
              <w:rPr>
                <w:rFonts w:ascii="Verdana" w:hAnsi="Verdana"/>
                <w:sz w:val="20"/>
              </w:rPr>
              <w:fldChar w:fldCharType="end"/>
            </w:r>
            <w:r w:rsidRPr="000A4491">
              <w:rPr>
                <w:rFonts w:ascii="Verdana" w:hAnsi="Verdana"/>
                <w:sz w:val="20"/>
              </w:rPr>
              <w:t>) uses encryption and/or tunneling services in order to provide highly secure communication over the public Internet</w:t>
            </w:r>
            <w:r w:rsidRPr="000A4491">
              <w:rPr>
                <w:rFonts w:ascii="Verdana" w:hAnsi="Verdana"/>
                <w:sz w:val="20"/>
              </w:rPr>
              <w:fldChar w:fldCharType="begin"/>
            </w:r>
            <w:r w:rsidRPr="000A4491">
              <w:rPr>
                <w:rFonts w:ascii="Verdana" w:hAnsi="Verdana"/>
                <w:sz w:val="20"/>
              </w:rPr>
              <w:instrText>xe "Internet"</w:instrText>
            </w:r>
            <w:r w:rsidRPr="000A4491">
              <w:rPr>
                <w:rFonts w:ascii="Verdana" w:hAnsi="Verdana"/>
                <w:sz w:val="20"/>
              </w:rPr>
              <w:fldChar w:fldCharType="end"/>
            </w:r>
            <w:r w:rsidRPr="000A4491">
              <w:rPr>
                <w:rFonts w:ascii="Verdana" w:hAnsi="Verdana"/>
                <w:sz w:val="20"/>
              </w:rPr>
              <w:t xml:space="preserve"> or in some cases over point-to-point links.</w:t>
            </w:r>
          </w:p>
        </w:tc>
      </w:tr>
      <w:tr w:rsidR="00F935B1" w14:paraId="4C70667B" w14:textId="77777777" w:rsidTr="0083602C">
        <w:trPr>
          <w:tblCellSpacing w:w="15" w:type="dxa"/>
        </w:trPr>
        <w:tc>
          <w:tcPr>
            <w:tcW w:w="3656" w:type="dxa"/>
          </w:tcPr>
          <w:p w14:paraId="7F66E7CC" w14:textId="77777777" w:rsidR="00F935B1" w:rsidRPr="000A4491" w:rsidRDefault="00F935B1" w:rsidP="0083602C">
            <w:pPr>
              <w:rPr>
                <w:rFonts w:ascii="Verdana" w:hAnsi="Verdana"/>
                <w:sz w:val="20"/>
              </w:rPr>
            </w:pPr>
            <w:r w:rsidRPr="000A4491">
              <w:rPr>
                <w:rFonts w:ascii="Verdana" w:hAnsi="Verdana"/>
                <w:sz w:val="20"/>
              </w:rPr>
              <w:t>Voice Compression Module</w:t>
            </w:r>
            <w:r w:rsidRPr="000A4491">
              <w:rPr>
                <w:rFonts w:ascii="Verdana" w:hAnsi="Verdana"/>
                <w:sz w:val="20"/>
              </w:rPr>
              <w:fldChar w:fldCharType="begin"/>
            </w:r>
            <w:r w:rsidRPr="000A4491">
              <w:rPr>
                <w:rFonts w:ascii="Verdana" w:hAnsi="Verdana"/>
                <w:sz w:val="20"/>
              </w:rPr>
              <w:instrText>xe "</w:instrText>
            </w:r>
            <w:r w:rsidRPr="000A4491">
              <w:rPr>
                <w:rStyle w:val="Hyperlink"/>
                <w:rFonts w:ascii="Verdana" w:hAnsi="Verdana"/>
                <w:bCs/>
                <w:sz w:val="20"/>
              </w:rPr>
              <w:instrText>Voice Compression Module</w:instrText>
            </w:r>
            <w:r w:rsidRPr="000A4491">
              <w:rPr>
                <w:rFonts w:ascii="Verdana" w:hAnsi="Verdana"/>
                <w:sz w:val="20"/>
              </w:rPr>
              <w:instrText>"</w:instrText>
            </w:r>
            <w:r w:rsidRPr="000A4491">
              <w:rPr>
                <w:rFonts w:ascii="Verdana" w:hAnsi="Verdana"/>
                <w:sz w:val="20"/>
              </w:rPr>
              <w:fldChar w:fldCharType="end"/>
            </w:r>
            <w:r w:rsidRPr="000A4491">
              <w:rPr>
                <w:rFonts w:ascii="Verdana" w:hAnsi="Verdana"/>
                <w:sz w:val="20"/>
              </w:rPr>
              <w:t xml:space="preserve"> </w:t>
            </w:r>
            <w:r w:rsidRPr="000A4491">
              <w:rPr>
                <w:rFonts w:ascii="Verdana" w:hAnsi="Verdana"/>
                <w:sz w:val="20"/>
              </w:rPr>
              <w:br/>
              <w:t>(</w:t>
            </w:r>
            <w:hyperlink w:anchor="aaTelephoneComponents" w:history="1">
              <w:r w:rsidRPr="000A4491">
                <w:rPr>
                  <w:rStyle w:val="Hyperlink"/>
                  <w:rFonts w:ascii="Verdana" w:hAnsi="Verdana"/>
                  <w:sz w:val="20"/>
                </w:rPr>
                <w:t>Telephone Components</w:t>
              </w:r>
              <w:r w:rsidRPr="000A4491">
                <w:rPr>
                  <w:rFonts w:ascii="Verdana" w:hAnsi="Verdana"/>
                  <w:sz w:val="20"/>
                </w:rPr>
                <w:fldChar w:fldCharType="begin"/>
              </w:r>
              <w:r w:rsidRPr="000A4491">
                <w:rPr>
                  <w:rFonts w:ascii="Verdana" w:hAnsi="Verdana"/>
                  <w:sz w:val="20"/>
                </w:rPr>
                <w:instrText>xe "Telephone Components"</w:instrText>
              </w:r>
              <w:r w:rsidRPr="000A4491">
                <w:rPr>
                  <w:rFonts w:ascii="Verdana" w:hAnsi="Verdana"/>
                  <w:sz w:val="20"/>
                </w:rPr>
                <w:fldChar w:fldCharType="end"/>
              </w:r>
            </w:hyperlink>
            <w:r w:rsidRPr="000A4491">
              <w:rPr>
                <w:rFonts w:ascii="Verdana" w:hAnsi="Verdana"/>
                <w:sz w:val="20"/>
              </w:rPr>
              <w:t>)</w:t>
            </w:r>
          </w:p>
        </w:tc>
        <w:tc>
          <w:tcPr>
            <w:tcW w:w="5441" w:type="dxa"/>
          </w:tcPr>
          <w:p w14:paraId="29D7875B" w14:textId="77777777" w:rsidR="00F935B1" w:rsidRPr="000A4491" w:rsidRDefault="00F935B1" w:rsidP="0083602C">
            <w:pPr>
              <w:pStyle w:val="NormalWeb"/>
              <w:spacing w:before="0" w:beforeAutospacing="0" w:after="0"/>
              <w:rPr>
                <w:rFonts w:ascii="Verdana" w:hAnsi="Verdana"/>
                <w:sz w:val="20"/>
              </w:rPr>
            </w:pPr>
            <w:r w:rsidRPr="000A4491">
              <w:rPr>
                <w:rFonts w:ascii="Verdana" w:hAnsi="Verdana"/>
                <w:sz w:val="20"/>
              </w:rPr>
              <w:t>A Voice Compression Module</w:t>
            </w:r>
            <w:r w:rsidRPr="000A4491">
              <w:rPr>
                <w:rFonts w:ascii="Verdana" w:hAnsi="Verdana"/>
                <w:sz w:val="20"/>
              </w:rPr>
              <w:fldChar w:fldCharType="begin"/>
            </w:r>
            <w:r w:rsidRPr="000A4491">
              <w:rPr>
                <w:rFonts w:ascii="Verdana" w:hAnsi="Verdana"/>
                <w:sz w:val="20"/>
              </w:rPr>
              <w:instrText>xe "</w:instrText>
            </w:r>
            <w:r w:rsidRPr="000A4491">
              <w:rPr>
                <w:rStyle w:val="Hyperlink"/>
                <w:rFonts w:ascii="Verdana" w:hAnsi="Verdana"/>
                <w:bCs/>
                <w:sz w:val="20"/>
              </w:rPr>
              <w:instrText>Voice Compression Module</w:instrText>
            </w:r>
            <w:r w:rsidRPr="000A4491">
              <w:rPr>
                <w:rFonts w:ascii="Verdana" w:hAnsi="Verdana"/>
                <w:sz w:val="20"/>
              </w:rPr>
              <w:instrText>"</w:instrText>
            </w:r>
            <w:r w:rsidRPr="000A4491">
              <w:rPr>
                <w:rFonts w:ascii="Verdana" w:hAnsi="Verdana"/>
                <w:sz w:val="20"/>
              </w:rPr>
              <w:fldChar w:fldCharType="end"/>
            </w:r>
            <w:r w:rsidRPr="000A4491">
              <w:rPr>
                <w:rFonts w:ascii="Verdana" w:hAnsi="Verdana"/>
                <w:sz w:val="20"/>
              </w:rPr>
              <w:t xml:space="preserve"> allows voice and fax</w:t>
            </w:r>
            <w:r w:rsidRPr="000A4491">
              <w:rPr>
                <w:rFonts w:ascii="Verdana" w:hAnsi="Verdana"/>
                <w:sz w:val="20"/>
              </w:rPr>
              <w:fldChar w:fldCharType="begin"/>
            </w:r>
            <w:r w:rsidRPr="000A4491">
              <w:rPr>
                <w:rFonts w:ascii="Verdana" w:hAnsi="Verdana"/>
                <w:sz w:val="20"/>
              </w:rPr>
              <w:instrText>xe "F</w:instrText>
            </w:r>
            <w:r w:rsidRPr="000A4491">
              <w:rPr>
                <w:rFonts w:ascii="Verdana" w:hAnsi="Verdana"/>
                <w:bCs/>
                <w:sz w:val="20"/>
              </w:rPr>
              <w:instrText>ax Machines</w:instrText>
            </w:r>
            <w:r w:rsidRPr="000A4491">
              <w:rPr>
                <w:rFonts w:ascii="Verdana" w:hAnsi="Verdana"/>
                <w:sz w:val="20"/>
              </w:rPr>
              <w:instrText>"</w:instrText>
            </w:r>
            <w:r w:rsidRPr="000A4491">
              <w:rPr>
                <w:rFonts w:ascii="Verdana" w:hAnsi="Verdana"/>
                <w:sz w:val="20"/>
              </w:rPr>
              <w:fldChar w:fldCharType="end"/>
            </w:r>
            <w:r w:rsidRPr="000A4491">
              <w:rPr>
                <w:rFonts w:ascii="Verdana" w:hAnsi="Verdana"/>
                <w:sz w:val="20"/>
              </w:rPr>
              <w:t xml:space="preserve"> traffic to share the same lines as data and LAN</w:t>
            </w:r>
            <w:r w:rsidRPr="000A4491">
              <w:rPr>
                <w:rFonts w:ascii="Verdana" w:hAnsi="Verdana"/>
                <w:sz w:val="20"/>
              </w:rPr>
              <w:fldChar w:fldCharType="begin"/>
            </w:r>
            <w:r w:rsidRPr="000A4491">
              <w:rPr>
                <w:rFonts w:ascii="Verdana" w:hAnsi="Verdana"/>
                <w:sz w:val="20"/>
              </w:rPr>
              <w:instrText>xe "LAN"</w:instrText>
            </w:r>
            <w:r w:rsidRPr="000A4491">
              <w:rPr>
                <w:rFonts w:ascii="Verdana" w:hAnsi="Verdana"/>
                <w:sz w:val="20"/>
              </w:rPr>
              <w:fldChar w:fldCharType="end"/>
            </w:r>
            <w:r w:rsidRPr="000A4491">
              <w:rPr>
                <w:rFonts w:ascii="Verdana" w:hAnsi="Verdana"/>
                <w:sz w:val="20"/>
              </w:rPr>
              <w:t xml:space="preserve"> traffic.</w:t>
            </w:r>
          </w:p>
        </w:tc>
      </w:tr>
      <w:tr w:rsidR="00F935B1" w14:paraId="4A29D8A9" w14:textId="77777777" w:rsidTr="0083602C">
        <w:trPr>
          <w:tblCellSpacing w:w="15" w:type="dxa"/>
        </w:trPr>
        <w:tc>
          <w:tcPr>
            <w:tcW w:w="3656" w:type="dxa"/>
          </w:tcPr>
          <w:p w14:paraId="0F184DE9" w14:textId="77777777" w:rsidR="00F935B1" w:rsidRPr="000A4491" w:rsidRDefault="00F935B1" w:rsidP="0083602C">
            <w:pPr>
              <w:rPr>
                <w:rFonts w:ascii="Verdana" w:hAnsi="Verdana"/>
                <w:sz w:val="20"/>
              </w:rPr>
            </w:pPr>
            <w:r w:rsidRPr="000A4491">
              <w:rPr>
                <w:rFonts w:ascii="Verdana" w:hAnsi="Verdana"/>
                <w:sz w:val="20"/>
              </w:rPr>
              <w:t>Voice Interface Card</w:t>
            </w:r>
            <w:r w:rsidRPr="000A4491">
              <w:rPr>
                <w:rFonts w:ascii="Verdana" w:hAnsi="Verdana"/>
                <w:sz w:val="20"/>
              </w:rPr>
              <w:fldChar w:fldCharType="begin"/>
            </w:r>
            <w:r w:rsidRPr="000A4491">
              <w:rPr>
                <w:rFonts w:ascii="Verdana" w:hAnsi="Verdana"/>
                <w:sz w:val="20"/>
              </w:rPr>
              <w:instrText>xe "</w:instrText>
            </w:r>
            <w:r w:rsidRPr="000A4491">
              <w:rPr>
                <w:rStyle w:val="Hyperlink"/>
                <w:rFonts w:ascii="Verdana" w:hAnsi="Verdana"/>
                <w:bCs/>
                <w:sz w:val="20"/>
              </w:rPr>
              <w:instrText>Voice Interface Card</w:instrText>
            </w:r>
            <w:r w:rsidRPr="000A4491">
              <w:rPr>
                <w:rFonts w:ascii="Verdana" w:hAnsi="Verdana"/>
                <w:sz w:val="20"/>
              </w:rPr>
              <w:instrText>"</w:instrText>
            </w:r>
            <w:r w:rsidRPr="000A4491">
              <w:rPr>
                <w:rFonts w:ascii="Verdana" w:hAnsi="Verdana"/>
                <w:sz w:val="20"/>
              </w:rPr>
              <w:fldChar w:fldCharType="end"/>
            </w:r>
            <w:r w:rsidRPr="000A4491">
              <w:rPr>
                <w:rFonts w:ascii="Verdana" w:hAnsi="Verdana"/>
                <w:sz w:val="20"/>
              </w:rPr>
              <w:t xml:space="preserve"> </w:t>
            </w:r>
            <w:r w:rsidRPr="000A4491">
              <w:rPr>
                <w:rFonts w:ascii="Verdana" w:hAnsi="Verdana"/>
                <w:sz w:val="20"/>
              </w:rPr>
              <w:br/>
              <w:t>(</w:t>
            </w:r>
            <w:hyperlink w:anchor="aaTelephoneComponents" w:history="1">
              <w:r w:rsidRPr="000A4491">
                <w:rPr>
                  <w:rStyle w:val="Hyperlink"/>
                  <w:rFonts w:ascii="Verdana" w:hAnsi="Verdana"/>
                  <w:sz w:val="20"/>
                </w:rPr>
                <w:t>Telephone Components</w:t>
              </w:r>
              <w:r w:rsidRPr="000A4491">
                <w:rPr>
                  <w:rFonts w:ascii="Verdana" w:hAnsi="Verdana"/>
                  <w:sz w:val="20"/>
                </w:rPr>
                <w:fldChar w:fldCharType="begin"/>
              </w:r>
              <w:r w:rsidRPr="000A4491">
                <w:rPr>
                  <w:rFonts w:ascii="Verdana" w:hAnsi="Verdana"/>
                  <w:sz w:val="20"/>
                </w:rPr>
                <w:instrText>xe "Telephone Components"</w:instrText>
              </w:r>
              <w:r w:rsidRPr="000A4491">
                <w:rPr>
                  <w:rFonts w:ascii="Verdana" w:hAnsi="Verdana"/>
                  <w:sz w:val="20"/>
                </w:rPr>
                <w:fldChar w:fldCharType="end"/>
              </w:r>
            </w:hyperlink>
            <w:r w:rsidRPr="000A4491">
              <w:rPr>
                <w:rFonts w:ascii="Verdana" w:hAnsi="Verdana"/>
                <w:sz w:val="20"/>
              </w:rPr>
              <w:t>)</w:t>
            </w:r>
          </w:p>
        </w:tc>
        <w:tc>
          <w:tcPr>
            <w:tcW w:w="5441" w:type="dxa"/>
          </w:tcPr>
          <w:p w14:paraId="3271933A" w14:textId="77777777" w:rsidR="00F935B1" w:rsidRPr="000A4491" w:rsidRDefault="00F935B1" w:rsidP="0083602C">
            <w:pPr>
              <w:pStyle w:val="NormalWeb"/>
              <w:spacing w:before="0" w:beforeAutospacing="0" w:after="0"/>
              <w:rPr>
                <w:rFonts w:ascii="Verdana" w:hAnsi="Verdana"/>
                <w:sz w:val="20"/>
              </w:rPr>
            </w:pPr>
            <w:r w:rsidRPr="000A4491">
              <w:rPr>
                <w:rFonts w:ascii="Verdana" w:hAnsi="Verdana"/>
                <w:sz w:val="20"/>
              </w:rPr>
              <w:t>Voice Interface Cards (VIC) are usually components of a router</w:t>
            </w:r>
            <w:r w:rsidRPr="000A4491">
              <w:rPr>
                <w:rFonts w:ascii="Verdana" w:hAnsi="Verdana"/>
                <w:sz w:val="20"/>
              </w:rPr>
              <w:fldChar w:fldCharType="begin"/>
            </w:r>
            <w:r w:rsidRPr="000A4491">
              <w:rPr>
                <w:rFonts w:ascii="Verdana" w:hAnsi="Verdana"/>
                <w:sz w:val="20"/>
              </w:rPr>
              <w:instrText>xe "Routers"</w:instrText>
            </w:r>
            <w:r w:rsidRPr="000A4491">
              <w:rPr>
                <w:rFonts w:ascii="Verdana" w:hAnsi="Verdana"/>
                <w:sz w:val="20"/>
              </w:rPr>
              <w:fldChar w:fldCharType="end"/>
            </w:r>
            <w:r w:rsidRPr="000A4491">
              <w:rPr>
                <w:rFonts w:ascii="Verdana" w:hAnsi="Verdana"/>
                <w:sz w:val="20"/>
              </w:rPr>
              <w:t xml:space="preserve"> or PBX</w:t>
            </w:r>
            <w:r w:rsidRPr="000A4491">
              <w:rPr>
                <w:rFonts w:ascii="Verdana" w:hAnsi="Verdana"/>
                <w:sz w:val="20"/>
              </w:rPr>
              <w:fldChar w:fldCharType="begin"/>
            </w:r>
            <w:r w:rsidRPr="000A4491">
              <w:rPr>
                <w:rFonts w:ascii="Verdana" w:hAnsi="Verdana"/>
                <w:sz w:val="20"/>
              </w:rPr>
              <w:instrText>xe "</w:instrText>
            </w:r>
            <w:r w:rsidRPr="000A4491">
              <w:rPr>
                <w:rFonts w:ascii="Verdana" w:hAnsi="Verdana"/>
                <w:bCs/>
                <w:sz w:val="20"/>
              </w:rPr>
              <w:instrText>PBX</w:instrText>
            </w:r>
            <w:r w:rsidRPr="000A4491">
              <w:rPr>
                <w:rFonts w:ascii="Verdana" w:hAnsi="Verdana"/>
                <w:sz w:val="20"/>
              </w:rPr>
              <w:instrText>"</w:instrText>
            </w:r>
            <w:r w:rsidRPr="000A4491">
              <w:rPr>
                <w:rFonts w:ascii="Verdana" w:hAnsi="Verdana"/>
                <w:sz w:val="20"/>
              </w:rPr>
              <w:fldChar w:fldCharType="end"/>
            </w:r>
            <w:r w:rsidRPr="000A4491">
              <w:rPr>
                <w:rFonts w:ascii="Verdana" w:hAnsi="Verdana"/>
                <w:sz w:val="20"/>
              </w:rPr>
              <w:t xml:space="preserve"> system that interface with internal systems and the public switched telephone network.  Examples include </w:t>
            </w:r>
            <w:r w:rsidRPr="000A4491">
              <w:rPr>
                <w:rFonts w:ascii="Verdana" w:hAnsi="Verdana"/>
                <w:spacing w:val="-2"/>
                <w:sz w:val="20"/>
              </w:rPr>
              <w:t>FXO Cards, E&amp;M Cards, and FXS Cards</w:t>
            </w:r>
            <w:r w:rsidRPr="000A4491">
              <w:rPr>
                <w:rFonts w:ascii="Verdana" w:hAnsi="Verdana"/>
                <w:sz w:val="20"/>
              </w:rPr>
              <w:t xml:space="preserve">. </w:t>
            </w:r>
          </w:p>
        </w:tc>
      </w:tr>
      <w:tr w:rsidR="00F935B1" w14:paraId="5CCC0991" w14:textId="77777777" w:rsidTr="0083602C">
        <w:trPr>
          <w:tblCellSpacing w:w="15" w:type="dxa"/>
        </w:trPr>
        <w:tc>
          <w:tcPr>
            <w:tcW w:w="3656" w:type="dxa"/>
          </w:tcPr>
          <w:p w14:paraId="426994E6" w14:textId="77777777" w:rsidR="00F935B1" w:rsidRPr="000A4491" w:rsidRDefault="00F935B1" w:rsidP="0083602C">
            <w:pPr>
              <w:rPr>
                <w:rFonts w:ascii="Verdana" w:hAnsi="Verdana"/>
                <w:sz w:val="20"/>
                <w:lang w:val="fr-FR"/>
              </w:rPr>
            </w:pPr>
            <w:r w:rsidRPr="000A4491">
              <w:rPr>
                <w:rFonts w:ascii="Verdana" w:hAnsi="Verdana"/>
                <w:sz w:val="20"/>
                <w:lang w:val="fr-FR"/>
              </w:rPr>
              <w:t>Voice Mail Components</w:t>
            </w:r>
            <w:r w:rsidRPr="000A4491">
              <w:rPr>
                <w:rFonts w:ascii="Verdana" w:hAnsi="Verdana"/>
                <w:sz w:val="20"/>
                <w:lang w:val="fr-FR"/>
              </w:rPr>
              <w:fldChar w:fldCharType="begin"/>
            </w:r>
            <w:r w:rsidRPr="000A4491">
              <w:rPr>
                <w:rFonts w:ascii="Verdana" w:hAnsi="Verdana"/>
                <w:sz w:val="20"/>
                <w:lang w:val="fr-FR"/>
              </w:rPr>
              <w:instrText>xe "</w:instrText>
            </w:r>
            <w:r w:rsidRPr="000A4491">
              <w:rPr>
                <w:rStyle w:val="Hyperlink"/>
                <w:rFonts w:ascii="Verdana" w:hAnsi="Verdana"/>
                <w:bCs/>
                <w:sz w:val="20"/>
                <w:lang w:val="fr-FR"/>
              </w:rPr>
              <w:instrText>Voice Mail Components</w:instrText>
            </w:r>
            <w:r w:rsidRPr="000A4491">
              <w:rPr>
                <w:rFonts w:ascii="Verdana" w:hAnsi="Verdana"/>
                <w:sz w:val="20"/>
                <w:lang w:val="fr-FR"/>
              </w:rPr>
              <w:instrText>"</w:instrText>
            </w:r>
            <w:r w:rsidRPr="000A4491">
              <w:rPr>
                <w:rFonts w:ascii="Verdana" w:hAnsi="Verdana"/>
                <w:sz w:val="20"/>
                <w:lang w:val="fr-FR"/>
              </w:rPr>
              <w:fldChar w:fldCharType="end"/>
            </w:r>
          </w:p>
          <w:p w14:paraId="67821CA9" w14:textId="77777777" w:rsidR="00F935B1" w:rsidRPr="000A4491" w:rsidRDefault="00F935B1" w:rsidP="0083602C">
            <w:pPr>
              <w:rPr>
                <w:rFonts w:ascii="Verdana" w:hAnsi="Verdana"/>
                <w:sz w:val="20"/>
                <w:lang w:val="fr-FR"/>
              </w:rPr>
            </w:pPr>
            <w:r w:rsidRPr="000A4491">
              <w:rPr>
                <w:rFonts w:ascii="Verdana" w:hAnsi="Verdana"/>
                <w:sz w:val="20"/>
                <w:lang w:val="fr-FR"/>
              </w:rPr>
              <w:t>(</w:t>
            </w:r>
            <w:hyperlink w:anchor="aaTelephoneComponents" w:history="1">
              <w:r w:rsidRPr="000A4491">
                <w:rPr>
                  <w:rStyle w:val="Hyperlink"/>
                  <w:rFonts w:ascii="Verdana" w:hAnsi="Verdana"/>
                  <w:sz w:val="20"/>
                  <w:lang w:val="fr-FR"/>
                </w:rPr>
                <w:t>Telephone Components</w:t>
              </w:r>
              <w:r w:rsidRPr="000A4491">
                <w:rPr>
                  <w:rFonts w:ascii="Verdana" w:hAnsi="Verdana"/>
                  <w:sz w:val="20"/>
                  <w:lang w:val="fr-FR"/>
                </w:rPr>
                <w:fldChar w:fldCharType="begin"/>
              </w:r>
              <w:r w:rsidRPr="000A4491">
                <w:rPr>
                  <w:rFonts w:ascii="Verdana" w:hAnsi="Verdana"/>
                  <w:sz w:val="20"/>
                  <w:lang w:val="fr-FR"/>
                </w:rPr>
                <w:instrText>xe "Telephone Components"</w:instrText>
              </w:r>
              <w:r w:rsidRPr="000A4491">
                <w:rPr>
                  <w:rFonts w:ascii="Verdana" w:hAnsi="Verdana"/>
                  <w:sz w:val="20"/>
                  <w:lang w:val="fr-FR"/>
                </w:rPr>
                <w:fldChar w:fldCharType="end"/>
              </w:r>
            </w:hyperlink>
            <w:r w:rsidRPr="000A4491">
              <w:rPr>
                <w:rFonts w:ascii="Verdana" w:hAnsi="Verdana"/>
                <w:sz w:val="20"/>
                <w:lang w:val="fr-FR"/>
              </w:rPr>
              <w:t>)</w:t>
            </w:r>
          </w:p>
        </w:tc>
        <w:tc>
          <w:tcPr>
            <w:tcW w:w="5441" w:type="dxa"/>
          </w:tcPr>
          <w:p w14:paraId="059268D3" w14:textId="77777777" w:rsidR="00F935B1" w:rsidRPr="000A4491" w:rsidRDefault="00F935B1" w:rsidP="0083602C">
            <w:pPr>
              <w:pStyle w:val="NormalWeb"/>
              <w:spacing w:before="0" w:beforeAutospacing="0" w:after="0"/>
              <w:rPr>
                <w:rFonts w:ascii="Verdana" w:hAnsi="Verdana"/>
                <w:bCs/>
                <w:sz w:val="20"/>
              </w:rPr>
            </w:pPr>
            <w:r w:rsidRPr="000A4491">
              <w:rPr>
                <w:rFonts w:ascii="Verdana" w:hAnsi="Verdana"/>
                <w:bCs/>
                <w:sz w:val="20"/>
              </w:rPr>
              <w:t xml:space="preserve">Voice mail components allow users to receive voice messages left by telephone callers and may have other features, such as message forwarding. </w:t>
            </w:r>
          </w:p>
        </w:tc>
      </w:tr>
      <w:tr w:rsidR="00F935B1" w14:paraId="353EFE18" w14:textId="77777777" w:rsidTr="0083602C">
        <w:trPr>
          <w:tblCellSpacing w:w="15" w:type="dxa"/>
        </w:trPr>
        <w:tc>
          <w:tcPr>
            <w:tcW w:w="3656" w:type="dxa"/>
          </w:tcPr>
          <w:p w14:paraId="1A97F23E" w14:textId="77777777" w:rsidR="00F935B1" w:rsidRPr="000A4491" w:rsidRDefault="00F935B1" w:rsidP="0083602C">
            <w:pPr>
              <w:rPr>
                <w:rFonts w:ascii="Verdana" w:hAnsi="Verdana"/>
                <w:sz w:val="20"/>
                <w:lang w:val="fr-FR"/>
              </w:rPr>
            </w:pPr>
            <w:r w:rsidRPr="000A4491">
              <w:rPr>
                <w:rFonts w:ascii="Verdana" w:hAnsi="Verdana"/>
                <w:sz w:val="20"/>
                <w:lang w:val="fr-FR"/>
              </w:rPr>
              <w:t>Voice Mail Service</w:t>
            </w:r>
          </w:p>
          <w:p w14:paraId="523503F2" w14:textId="77777777" w:rsidR="00F935B1" w:rsidRPr="000A4491" w:rsidRDefault="00F935B1" w:rsidP="0083602C">
            <w:pPr>
              <w:rPr>
                <w:rFonts w:ascii="Verdana" w:hAnsi="Verdana"/>
                <w:sz w:val="20"/>
                <w:lang w:val="fr-FR"/>
              </w:rPr>
            </w:pPr>
            <w:r w:rsidRPr="000A4491">
              <w:rPr>
                <w:rFonts w:ascii="Verdana" w:hAnsi="Verdana"/>
                <w:sz w:val="20"/>
                <w:lang w:val="fr-FR"/>
              </w:rPr>
              <w:t>(</w:t>
            </w:r>
            <w:hyperlink w:anchor="MiscVoiceMailService" w:history="1">
              <w:r w:rsidRPr="000A4491">
                <w:rPr>
                  <w:rStyle w:val="Hyperlink"/>
                  <w:rFonts w:ascii="Verdana" w:hAnsi="Verdana"/>
                  <w:sz w:val="20"/>
                  <w:lang w:val="fr-FR"/>
                </w:rPr>
                <w:t>Voice Mail Service</w:t>
              </w:r>
            </w:hyperlink>
            <w:r w:rsidRPr="000A4491">
              <w:rPr>
                <w:rFonts w:ascii="Verdana" w:hAnsi="Verdana"/>
                <w:sz w:val="20"/>
                <w:lang w:val="fr-FR"/>
              </w:rPr>
              <w:t>)</w:t>
            </w:r>
          </w:p>
        </w:tc>
        <w:tc>
          <w:tcPr>
            <w:tcW w:w="5441" w:type="dxa"/>
          </w:tcPr>
          <w:p w14:paraId="56E5496F" w14:textId="77777777" w:rsidR="00F935B1" w:rsidRPr="000A4491" w:rsidRDefault="00F935B1" w:rsidP="0083602C">
            <w:pPr>
              <w:rPr>
                <w:rFonts w:ascii="Verdana" w:hAnsi="Verdana"/>
                <w:bCs/>
                <w:sz w:val="20"/>
              </w:rPr>
            </w:pPr>
            <w:r w:rsidRPr="000A4491">
              <w:rPr>
                <w:rFonts w:ascii="Verdana" w:hAnsi="Verdana" w:cs="Arial"/>
                <w:sz w:val="20"/>
              </w:rPr>
              <w:t>A voice mail service</w:t>
            </w:r>
            <w:r w:rsidRPr="000A4491">
              <w:rPr>
                <w:rFonts w:ascii="Verdana" w:hAnsi="Verdana"/>
                <w:sz w:val="20"/>
              </w:rPr>
              <w:fldChar w:fldCharType="begin"/>
            </w:r>
            <w:r w:rsidRPr="000A4491">
              <w:rPr>
                <w:rFonts w:ascii="Verdana" w:hAnsi="Verdana"/>
                <w:sz w:val="20"/>
              </w:rPr>
              <w:instrText>xe "</w:instrText>
            </w:r>
            <w:r w:rsidRPr="000A4491">
              <w:rPr>
                <w:rStyle w:val="Hyperlink"/>
                <w:rFonts w:ascii="Verdana" w:hAnsi="Verdana"/>
                <w:bCs/>
                <w:sz w:val="20"/>
              </w:rPr>
              <w:instrText>Voice Mail Service</w:instrText>
            </w:r>
            <w:r w:rsidRPr="000A4491">
              <w:rPr>
                <w:rFonts w:ascii="Verdana" w:hAnsi="Verdana"/>
                <w:sz w:val="20"/>
              </w:rPr>
              <w:instrText>"</w:instrText>
            </w:r>
            <w:r w:rsidRPr="000A4491">
              <w:rPr>
                <w:rFonts w:ascii="Verdana" w:hAnsi="Verdana"/>
                <w:sz w:val="20"/>
              </w:rPr>
              <w:fldChar w:fldCharType="end"/>
            </w:r>
            <w:r w:rsidRPr="000A4491">
              <w:rPr>
                <w:rFonts w:ascii="Verdana" w:hAnsi="Verdana" w:cs="Arial"/>
                <w:sz w:val="20"/>
              </w:rPr>
              <w:t xml:space="preserve"> allows users to receive voice messages left by telephone callers and may have other features such as message forwarding.</w:t>
            </w:r>
            <w:r w:rsidRPr="000A4491">
              <w:rPr>
                <w:rFonts w:ascii="Verdana" w:hAnsi="Verdana"/>
                <w:bCs/>
                <w:sz w:val="20"/>
              </w:rPr>
              <w:t xml:space="preserve">  A voice mail service is classified as an information service that is distinct from a </w:t>
            </w:r>
            <w:r w:rsidRPr="000A4491">
              <w:rPr>
                <w:rFonts w:ascii="Verdana" w:hAnsi="Verdana"/>
                <w:bCs/>
                <w:sz w:val="20"/>
              </w:rPr>
              <w:lastRenderedPageBreak/>
              <w:t>telecommunications</w:t>
            </w:r>
            <w:r w:rsidRPr="000A4491">
              <w:rPr>
                <w:rFonts w:ascii="Verdana" w:hAnsi="Verdana"/>
                <w:sz w:val="20"/>
              </w:rPr>
              <w:fldChar w:fldCharType="begin"/>
            </w:r>
            <w:r w:rsidRPr="000A4491">
              <w:rPr>
                <w:rFonts w:ascii="Verdana" w:hAnsi="Verdana"/>
                <w:sz w:val="20"/>
              </w:rPr>
              <w:instrText>xe "Telecommunications"</w:instrText>
            </w:r>
            <w:r w:rsidRPr="000A4491">
              <w:rPr>
                <w:rFonts w:ascii="Verdana" w:hAnsi="Verdana"/>
                <w:sz w:val="20"/>
              </w:rPr>
              <w:fldChar w:fldCharType="end"/>
            </w:r>
            <w:r w:rsidRPr="000A4491">
              <w:rPr>
                <w:rFonts w:ascii="Verdana" w:hAnsi="Verdana"/>
                <w:bCs/>
                <w:sz w:val="20"/>
              </w:rPr>
              <w:t xml:space="preserve"> service or Internet access</w:t>
            </w:r>
            <w:r w:rsidRPr="000A4491">
              <w:rPr>
                <w:rFonts w:ascii="Verdana" w:hAnsi="Verdana"/>
                <w:sz w:val="20"/>
              </w:rPr>
              <w:fldChar w:fldCharType="begin"/>
            </w:r>
            <w:r w:rsidRPr="000A4491">
              <w:rPr>
                <w:rFonts w:ascii="Verdana" w:hAnsi="Verdana"/>
                <w:sz w:val="20"/>
              </w:rPr>
              <w:instrText>xe "Internet Access"</w:instrText>
            </w:r>
            <w:r w:rsidRPr="000A4491">
              <w:rPr>
                <w:rFonts w:ascii="Verdana" w:hAnsi="Verdana"/>
                <w:sz w:val="20"/>
              </w:rPr>
              <w:fldChar w:fldCharType="end"/>
            </w:r>
            <w:r w:rsidRPr="000A4491">
              <w:rPr>
                <w:rFonts w:ascii="Verdana" w:hAnsi="Verdana"/>
                <w:bCs/>
                <w:sz w:val="20"/>
              </w:rPr>
              <w:t>.</w:t>
            </w:r>
          </w:p>
        </w:tc>
      </w:tr>
      <w:tr w:rsidR="00F935B1" w14:paraId="7FB6391A" w14:textId="77777777" w:rsidTr="0083602C">
        <w:trPr>
          <w:tblCellSpacing w:w="15" w:type="dxa"/>
        </w:trPr>
        <w:tc>
          <w:tcPr>
            <w:tcW w:w="3656" w:type="dxa"/>
          </w:tcPr>
          <w:p w14:paraId="4CA69F3B" w14:textId="77777777" w:rsidR="00F935B1" w:rsidRPr="000A4491" w:rsidRDefault="00F935B1" w:rsidP="0083602C">
            <w:pPr>
              <w:rPr>
                <w:rFonts w:ascii="Verdana" w:hAnsi="Verdana"/>
                <w:sz w:val="20"/>
              </w:rPr>
            </w:pPr>
            <w:r w:rsidRPr="000A4491">
              <w:rPr>
                <w:rFonts w:ascii="Verdana" w:hAnsi="Verdana"/>
                <w:sz w:val="20"/>
              </w:rPr>
              <w:lastRenderedPageBreak/>
              <w:t>Voice/Fax Network Module</w:t>
            </w:r>
            <w:r w:rsidRPr="000A4491">
              <w:rPr>
                <w:rFonts w:ascii="Verdana" w:hAnsi="Verdana"/>
                <w:sz w:val="20"/>
              </w:rPr>
              <w:fldChar w:fldCharType="begin"/>
            </w:r>
            <w:r w:rsidRPr="000A4491">
              <w:rPr>
                <w:rFonts w:ascii="Verdana" w:hAnsi="Verdana"/>
                <w:sz w:val="20"/>
              </w:rPr>
              <w:instrText>xe "Voice/Fax Network Module"</w:instrText>
            </w:r>
            <w:r w:rsidRPr="000A4491">
              <w:rPr>
                <w:rFonts w:ascii="Verdana" w:hAnsi="Verdana"/>
                <w:sz w:val="20"/>
              </w:rPr>
              <w:fldChar w:fldCharType="end"/>
            </w:r>
            <w:r w:rsidRPr="000A4491">
              <w:rPr>
                <w:rFonts w:ascii="Verdana" w:hAnsi="Verdana"/>
                <w:sz w:val="20"/>
              </w:rPr>
              <w:t xml:space="preserve"> </w:t>
            </w:r>
            <w:r w:rsidRPr="000A4491">
              <w:rPr>
                <w:rFonts w:ascii="Verdana" w:hAnsi="Verdana"/>
                <w:sz w:val="20"/>
              </w:rPr>
              <w:br/>
              <w:t>(</w:t>
            </w:r>
            <w:hyperlink w:anchor="aaInterfacesGatewaysAntennas" w:history="1">
              <w:r w:rsidRPr="000A4491">
                <w:rPr>
                  <w:rStyle w:val="Hyperlink"/>
                  <w:rFonts w:ascii="Verdana" w:hAnsi="Verdana"/>
                  <w:sz w:val="20"/>
                </w:rPr>
                <w:t>Interfaces</w:t>
              </w:r>
              <w:r w:rsidRPr="000A4491">
                <w:rPr>
                  <w:rFonts w:ascii="Verdana" w:hAnsi="Verdana"/>
                  <w:sz w:val="20"/>
                </w:rPr>
                <w:fldChar w:fldCharType="begin"/>
              </w:r>
              <w:r w:rsidRPr="000A4491">
                <w:rPr>
                  <w:rFonts w:ascii="Verdana" w:hAnsi="Verdana"/>
                  <w:sz w:val="20"/>
                </w:rPr>
                <w:instrText>xe "</w:instrText>
              </w:r>
              <w:r w:rsidRPr="000A4491">
                <w:rPr>
                  <w:rFonts w:ascii="Verdana" w:hAnsi="Verdana"/>
                  <w:bCs/>
                  <w:sz w:val="20"/>
                </w:rPr>
                <w:instrText>Interfaces</w:instrText>
              </w:r>
              <w:r w:rsidRPr="000A4491">
                <w:rPr>
                  <w:rFonts w:ascii="Verdana" w:hAnsi="Verdana"/>
                  <w:sz w:val="20"/>
                </w:rPr>
                <w:instrText>"</w:instrText>
              </w:r>
              <w:r w:rsidRPr="000A4491">
                <w:rPr>
                  <w:rFonts w:ascii="Verdana" w:hAnsi="Verdana"/>
                  <w:sz w:val="20"/>
                </w:rPr>
                <w:fldChar w:fldCharType="end"/>
              </w:r>
            </w:hyperlink>
            <w:r w:rsidRPr="000A4491">
              <w:rPr>
                <w:rFonts w:ascii="Verdana" w:hAnsi="Verdana"/>
                <w:sz w:val="20"/>
              </w:rPr>
              <w:t>)</w:t>
            </w:r>
          </w:p>
        </w:tc>
        <w:tc>
          <w:tcPr>
            <w:tcW w:w="5441" w:type="dxa"/>
          </w:tcPr>
          <w:p w14:paraId="2F378356" w14:textId="77777777" w:rsidR="00F935B1" w:rsidRPr="000A4491" w:rsidRDefault="00F935B1" w:rsidP="0083602C">
            <w:pPr>
              <w:pStyle w:val="NormalWeb"/>
              <w:spacing w:before="0" w:beforeAutospacing="0" w:after="0"/>
              <w:rPr>
                <w:rFonts w:ascii="Verdana" w:hAnsi="Verdana"/>
                <w:sz w:val="20"/>
              </w:rPr>
            </w:pPr>
            <w:r w:rsidRPr="000A4491">
              <w:rPr>
                <w:rFonts w:ascii="Verdana" w:hAnsi="Verdana"/>
                <w:sz w:val="20"/>
              </w:rPr>
              <w:t>A Voice/Fax module</w:t>
            </w:r>
            <w:r w:rsidRPr="000A4491">
              <w:rPr>
                <w:rFonts w:ascii="Verdana" w:hAnsi="Verdana"/>
                <w:sz w:val="20"/>
              </w:rPr>
              <w:fldChar w:fldCharType="begin"/>
            </w:r>
            <w:r w:rsidRPr="000A4491">
              <w:rPr>
                <w:rFonts w:ascii="Verdana" w:hAnsi="Verdana"/>
                <w:sz w:val="20"/>
              </w:rPr>
              <w:instrText>xe "Module"</w:instrText>
            </w:r>
            <w:r w:rsidRPr="000A4491">
              <w:rPr>
                <w:rFonts w:ascii="Verdana" w:hAnsi="Verdana"/>
                <w:sz w:val="20"/>
              </w:rPr>
              <w:fldChar w:fldCharType="end"/>
            </w:r>
            <w:r w:rsidRPr="000A4491">
              <w:rPr>
                <w:rFonts w:ascii="Verdana" w:hAnsi="Verdana"/>
                <w:sz w:val="20"/>
              </w:rPr>
              <w:t xml:space="preserve"> is an access product that enables the transmission of multiprotocol data—voice, fax</w:t>
            </w:r>
            <w:r w:rsidRPr="000A4491">
              <w:rPr>
                <w:rFonts w:ascii="Verdana" w:hAnsi="Verdana"/>
                <w:sz w:val="20"/>
              </w:rPr>
              <w:fldChar w:fldCharType="begin"/>
            </w:r>
            <w:r w:rsidRPr="000A4491">
              <w:rPr>
                <w:rFonts w:ascii="Verdana" w:hAnsi="Verdana"/>
                <w:sz w:val="20"/>
              </w:rPr>
              <w:instrText>xe "Fax Machines"</w:instrText>
            </w:r>
            <w:r w:rsidRPr="000A4491">
              <w:rPr>
                <w:rFonts w:ascii="Verdana" w:hAnsi="Verdana"/>
                <w:sz w:val="20"/>
              </w:rPr>
              <w:fldChar w:fldCharType="end"/>
            </w:r>
            <w:r w:rsidRPr="000A4491">
              <w:rPr>
                <w:rFonts w:ascii="Verdana" w:hAnsi="Verdana"/>
                <w:sz w:val="20"/>
              </w:rPr>
              <w:t xml:space="preserve"> and LAN</w:t>
            </w:r>
            <w:r w:rsidRPr="000A4491">
              <w:rPr>
                <w:rFonts w:ascii="Verdana" w:hAnsi="Verdana"/>
                <w:sz w:val="20"/>
              </w:rPr>
              <w:fldChar w:fldCharType="begin"/>
            </w:r>
            <w:r w:rsidRPr="000A4491">
              <w:rPr>
                <w:rFonts w:ascii="Verdana" w:hAnsi="Verdana"/>
                <w:sz w:val="20"/>
              </w:rPr>
              <w:instrText>xe "LAN"</w:instrText>
            </w:r>
            <w:r w:rsidRPr="000A4491">
              <w:rPr>
                <w:rFonts w:ascii="Verdana" w:hAnsi="Verdana"/>
                <w:sz w:val="20"/>
              </w:rPr>
              <w:fldChar w:fldCharType="end"/>
            </w:r>
            <w:r w:rsidRPr="000A4491">
              <w:rPr>
                <w:rFonts w:ascii="Verdana" w:hAnsi="Verdana"/>
                <w:sz w:val="20"/>
              </w:rPr>
              <w:t>--over telecommunications</w:t>
            </w:r>
            <w:r w:rsidRPr="000A4491">
              <w:rPr>
                <w:rFonts w:ascii="Verdana" w:hAnsi="Verdana"/>
                <w:sz w:val="20"/>
              </w:rPr>
              <w:fldChar w:fldCharType="begin"/>
            </w:r>
            <w:r w:rsidRPr="000A4491">
              <w:rPr>
                <w:rFonts w:ascii="Verdana" w:hAnsi="Verdana"/>
                <w:sz w:val="20"/>
              </w:rPr>
              <w:instrText>xe "ISDN"</w:instrText>
            </w:r>
            <w:r w:rsidRPr="000A4491">
              <w:rPr>
                <w:rFonts w:ascii="Verdana" w:hAnsi="Verdana"/>
                <w:sz w:val="20"/>
              </w:rPr>
              <w:fldChar w:fldCharType="end"/>
            </w:r>
            <w:r w:rsidRPr="000A4491">
              <w:rPr>
                <w:rFonts w:ascii="Verdana" w:hAnsi="Verdana"/>
                <w:sz w:val="20"/>
              </w:rPr>
              <w:t xml:space="preserve"> services.</w:t>
            </w:r>
          </w:p>
        </w:tc>
      </w:tr>
      <w:tr w:rsidR="00F935B1" w14:paraId="6C6B7F03" w14:textId="77777777" w:rsidTr="0083602C">
        <w:trPr>
          <w:tblCellSpacing w:w="15" w:type="dxa"/>
        </w:trPr>
        <w:tc>
          <w:tcPr>
            <w:tcW w:w="3656" w:type="dxa"/>
          </w:tcPr>
          <w:p w14:paraId="0CB9A9DD" w14:textId="77777777" w:rsidR="00F935B1" w:rsidRPr="000A4491" w:rsidRDefault="00F935B1" w:rsidP="0083602C">
            <w:pPr>
              <w:rPr>
                <w:rFonts w:ascii="Verdana" w:hAnsi="Verdana"/>
                <w:sz w:val="20"/>
              </w:rPr>
            </w:pPr>
            <w:r w:rsidRPr="000A4491">
              <w:rPr>
                <w:rFonts w:ascii="Verdana" w:hAnsi="Verdana"/>
                <w:sz w:val="20"/>
              </w:rPr>
              <w:t>Voice/Video over IP</w:t>
            </w:r>
            <w:r w:rsidRPr="000A4491">
              <w:rPr>
                <w:rFonts w:ascii="Verdana" w:hAnsi="Verdana"/>
                <w:sz w:val="20"/>
              </w:rPr>
              <w:fldChar w:fldCharType="begin"/>
            </w:r>
            <w:r w:rsidRPr="000A4491">
              <w:rPr>
                <w:rFonts w:ascii="Verdana" w:hAnsi="Verdana"/>
                <w:sz w:val="20"/>
              </w:rPr>
              <w:instrText>xe "</w:instrText>
            </w:r>
            <w:r w:rsidRPr="000A4491">
              <w:rPr>
                <w:rStyle w:val="Hyperlink"/>
                <w:rFonts w:ascii="Verdana" w:hAnsi="Verdana"/>
                <w:sz w:val="20"/>
              </w:rPr>
              <w:instrText>Voice/Video over IP</w:instrText>
            </w:r>
            <w:r w:rsidRPr="000A4491">
              <w:rPr>
                <w:rFonts w:ascii="Verdana" w:hAnsi="Verdana"/>
                <w:sz w:val="20"/>
              </w:rPr>
              <w:instrText>"</w:instrText>
            </w:r>
            <w:r w:rsidRPr="000A4491">
              <w:rPr>
                <w:rFonts w:ascii="Verdana" w:hAnsi="Verdana"/>
                <w:sz w:val="20"/>
              </w:rPr>
              <w:fldChar w:fldCharType="end"/>
            </w:r>
            <w:r w:rsidRPr="000A4491">
              <w:rPr>
                <w:rFonts w:ascii="Verdana" w:hAnsi="Verdana"/>
                <w:sz w:val="20"/>
              </w:rPr>
              <w:t xml:space="preserve"> (VoIP</w:t>
            </w:r>
            <w:r w:rsidRPr="000A4491">
              <w:rPr>
                <w:rFonts w:ascii="Verdana" w:hAnsi="Verdana"/>
                <w:sz w:val="20"/>
              </w:rPr>
              <w:fldChar w:fldCharType="begin"/>
            </w:r>
            <w:r w:rsidRPr="000A4491">
              <w:rPr>
                <w:rFonts w:ascii="Verdana" w:hAnsi="Verdana"/>
                <w:sz w:val="20"/>
              </w:rPr>
              <w:instrText>xe "Voice/Video over IP"</w:instrText>
            </w:r>
            <w:r w:rsidRPr="000A4491">
              <w:rPr>
                <w:rFonts w:ascii="Verdana" w:hAnsi="Verdana"/>
                <w:sz w:val="20"/>
              </w:rPr>
              <w:fldChar w:fldCharType="end"/>
            </w:r>
            <w:r w:rsidRPr="000A4491">
              <w:rPr>
                <w:rFonts w:ascii="Verdana" w:hAnsi="Verdana"/>
                <w:sz w:val="20"/>
              </w:rPr>
              <w:t xml:space="preserve">) Components </w:t>
            </w:r>
            <w:r w:rsidRPr="000A4491">
              <w:rPr>
                <w:rFonts w:ascii="Verdana" w:hAnsi="Verdana"/>
                <w:sz w:val="20"/>
              </w:rPr>
              <w:br/>
              <w:t>(</w:t>
            </w:r>
            <w:hyperlink w:anchor="aaDataDistribution" w:history="1">
              <w:r w:rsidRPr="000A4491">
                <w:rPr>
                  <w:rStyle w:val="Hyperlink"/>
                  <w:rFonts w:ascii="Verdana" w:hAnsi="Verdana"/>
                  <w:sz w:val="20"/>
                </w:rPr>
                <w:t>Data Distribution</w:t>
              </w:r>
              <w:r w:rsidRPr="000A4491">
                <w:rPr>
                  <w:rFonts w:ascii="Verdana" w:hAnsi="Verdana"/>
                  <w:sz w:val="20"/>
                </w:rPr>
                <w:fldChar w:fldCharType="begin"/>
              </w:r>
              <w:r w:rsidRPr="000A4491">
                <w:rPr>
                  <w:rFonts w:ascii="Verdana" w:hAnsi="Verdana"/>
                  <w:sz w:val="20"/>
                </w:rPr>
                <w:instrText>xe "Data Distribution"</w:instrText>
              </w:r>
              <w:r w:rsidRPr="000A4491">
                <w:rPr>
                  <w:rFonts w:ascii="Verdana" w:hAnsi="Verdana"/>
                  <w:sz w:val="20"/>
                </w:rPr>
                <w:fldChar w:fldCharType="end"/>
              </w:r>
            </w:hyperlink>
            <w:r w:rsidRPr="000A4491">
              <w:rPr>
                <w:rFonts w:ascii="Verdana" w:hAnsi="Verdana"/>
                <w:sz w:val="20"/>
              </w:rPr>
              <w:t>)</w:t>
            </w:r>
          </w:p>
        </w:tc>
        <w:tc>
          <w:tcPr>
            <w:tcW w:w="5441" w:type="dxa"/>
          </w:tcPr>
          <w:p w14:paraId="49B629B9" w14:textId="77777777" w:rsidR="00F935B1" w:rsidRPr="000A4491" w:rsidRDefault="00F935B1" w:rsidP="0083602C">
            <w:pPr>
              <w:pStyle w:val="NormalWeb"/>
              <w:spacing w:before="0" w:beforeAutospacing="0" w:after="0"/>
              <w:rPr>
                <w:rFonts w:ascii="Verdana" w:hAnsi="Verdana"/>
                <w:sz w:val="20"/>
              </w:rPr>
            </w:pPr>
            <w:r w:rsidRPr="000A4491">
              <w:rPr>
                <w:rFonts w:ascii="Verdana" w:hAnsi="Verdana"/>
                <w:sz w:val="20"/>
              </w:rPr>
              <w:t>Voice/video</w:t>
            </w:r>
            <w:r w:rsidRPr="000A4491">
              <w:rPr>
                <w:rFonts w:ascii="Verdana" w:hAnsi="Verdana"/>
                <w:sz w:val="20"/>
              </w:rPr>
              <w:fldChar w:fldCharType="begin"/>
            </w:r>
            <w:r w:rsidRPr="000A4491">
              <w:rPr>
                <w:rFonts w:ascii="Verdana" w:hAnsi="Verdana"/>
                <w:sz w:val="20"/>
              </w:rPr>
              <w:instrText>xe "Video"</w:instrText>
            </w:r>
            <w:r w:rsidRPr="000A4491">
              <w:rPr>
                <w:rFonts w:ascii="Verdana" w:hAnsi="Verdana"/>
                <w:sz w:val="20"/>
              </w:rPr>
              <w:fldChar w:fldCharType="end"/>
            </w:r>
            <w:r w:rsidRPr="000A4491">
              <w:rPr>
                <w:rFonts w:ascii="Verdana" w:hAnsi="Verdana"/>
                <w:sz w:val="20"/>
              </w:rPr>
              <w:t xml:space="preserve"> over IP (VoIP</w:t>
            </w:r>
            <w:r w:rsidRPr="000A4491">
              <w:rPr>
                <w:rFonts w:ascii="Verdana" w:hAnsi="Verdana"/>
                <w:sz w:val="20"/>
              </w:rPr>
              <w:fldChar w:fldCharType="begin"/>
            </w:r>
            <w:r w:rsidRPr="000A4491">
              <w:rPr>
                <w:rFonts w:ascii="Verdana" w:hAnsi="Verdana"/>
                <w:sz w:val="20"/>
              </w:rPr>
              <w:instrText>xe "Voice/Video over IP"</w:instrText>
            </w:r>
            <w:r w:rsidRPr="000A4491">
              <w:rPr>
                <w:rFonts w:ascii="Verdana" w:hAnsi="Verdana"/>
                <w:sz w:val="20"/>
              </w:rPr>
              <w:fldChar w:fldCharType="end"/>
            </w:r>
            <w:r w:rsidRPr="000A4491">
              <w:rPr>
                <w:rFonts w:ascii="Verdana" w:hAnsi="Verdana"/>
                <w:sz w:val="20"/>
              </w:rPr>
              <w:t>) components refer to equipment that utilizes the TCP/IP suite of protocols to provide voice and/or video communications.</w:t>
            </w:r>
          </w:p>
        </w:tc>
      </w:tr>
      <w:tr w:rsidR="00F935B1" w14:paraId="0BE3F083" w14:textId="77777777" w:rsidTr="0083602C">
        <w:trPr>
          <w:tblCellSpacing w:w="15" w:type="dxa"/>
        </w:trPr>
        <w:tc>
          <w:tcPr>
            <w:tcW w:w="3656" w:type="dxa"/>
          </w:tcPr>
          <w:p w14:paraId="72F48A00" w14:textId="77777777" w:rsidR="00F935B1" w:rsidRPr="000A4491" w:rsidRDefault="00F935B1" w:rsidP="0083602C">
            <w:pPr>
              <w:rPr>
                <w:rFonts w:ascii="Verdana" w:hAnsi="Verdana"/>
                <w:sz w:val="20"/>
              </w:rPr>
            </w:pPr>
            <w:r w:rsidRPr="000A4491">
              <w:rPr>
                <w:rFonts w:ascii="Verdana" w:hAnsi="Verdana"/>
                <w:sz w:val="20"/>
              </w:rPr>
              <w:t>Web Casting</w:t>
            </w:r>
            <w:r w:rsidRPr="000A4491">
              <w:rPr>
                <w:rFonts w:ascii="Verdana" w:hAnsi="Verdana"/>
                <w:sz w:val="20"/>
              </w:rPr>
              <w:fldChar w:fldCharType="begin"/>
            </w:r>
            <w:r w:rsidRPr="000A4491">
              <w:rPr>
                <w:rFonts w:ascii="Verdana" w:hAnsi="Verdana"/>
                <w:sz w:val="20"/>
              </w:rPr>
              <w:instrText>xe "</w:instrText>
            </w:r>
            <w:r w:rsidRPr="000A4491">
              <w:rPr>
                <w:rStyle w:val="Hyperlink"/>
                <w:rFonts w:ascii="Verdana" w:hAnsi="Verdana"/>
                <w:bCs/>
                <w:sz w:val="20"/>
              </w:rPr>
              <w:instrText>Web Casting</w:instrText>
            </w:r>
            <w:r w:rsidRPr="000A4491">
              <w:rPr>
                <w:rFonts w:ascii="Verdana" w:hAnsi="Verdana"/>
                <w:sz w:val="20"/>
              </w:rPr>
              <w:instrText>"</w:instrText>
            </w:r>
            <w:r w:rsidRPr="000A4491">
              <w:rPr>
                <w:rFonts w:ascii="Verdana" w:hAnsi="Verdana"/>
                <w:sz w:val="20"/>
              </w:rPr>
              <w:fldChar w:fldCharType="end"/>
            </w:r>
          </w:p>
          <w:p w14:paraId="2A5F2234" w14:textId="77777777" w:rsidR="00F935B1" w:rsidRPr="000A4491" w:rsidRDefault="00F935B1" w:rsidP="0083602C">
            <w:pPr>
              <w:rPr>
                <w:rFonts w:ascii="Verdana" w:hAnsi="Verdana"/>
                <w:sz w:val="20"/>
              </w:rPr>
            </w:pPr>
            <w:r w:rsidRPr="000A4491">
              <w:rPr>
                <w:rFonts w:ascii="Verdana" w:hAnsi="Verdana"/>
                <w:sz w:val="20"/>
              </w:rPr>
              <w:t>(</w:t>
            </w:r>
            <w:hyperlink w:anchor="InternetIneligibleServices" w:history="1">
              <w:r w:rsidRPr="000A4491">
                <w:rPr>
                  <w:rStyle w:val="Hyperlink"/>
                  <w:rFonts w:ascii="Verdana" w:hAnsi="Verdana"/>
                  <w:sz w:val="20"/>
                </w:rPr>
                <w:t>Not Eligible for E-rate Funding as Internet Access Services</w:t>
              </w:r>
              <w:r w:rsidRPr="000A4491">
                <w:rPr>
                  <w:rFonts w:ascii="Verdana" w:hAnsi="Verdana"/>
                  <w:sz w:val="20"/>
                </w:rPr>
                <w:fldChar w:fldCharType="begin"/>
              </w:r>
              <w:r w:rsidRPr="000A4491">
                <w:rPr>
                  <w:rFonts w:ascii="Verdana" w:hAnsi="Verdana"/>
                  <w:sz w:val="20"/>
                </w:rPr>
                <w:instrText>xe "</w:instrText>
              </w:r>
              <w:r w:rsidRPr="000A4491">
                <w:rPr>
                  <w:rStyle w:val="Hyperlink"/>
                  <w:rFonts w:ascii="Verdana" w:hAnsi="Verdana"/>
                  <w:sz w:val="20"/>
                </w:rPr>
                <w:instrText>Internet Access</w:instrText>
              </w:r>
              <w:r w:rsidRPr="000A4491">
                <w:rPr>
                  <w:rFonts w:ascii="Verdana" w:hAnsi="Verdana"/>
                  <w:sz w:val="20"/>
                </w:rPr>
                <w:instrText>"</w:instrText>
              </w:r>
              <w:r w:rsidRPr="000A4491">
                <w:rPr>
                  <w:rFonts w:ascii="Verdana" w:hAnsi="Verdana"/>
                  <w:sz w:val="20"/>
                </w:rPr>
                <w:fldChar w:fldCharType="end"/>
              </w:r>
            </w:hyperlink>
            <w:r w:rsidRPr="000A4491">
              <w:rPr>
                <w:rFonts w:ascii="Verdana" w:hAnsi="Verdana"/>
                <w:sz w:val="20"/>
              </w:rPr>
              <w:t>)</w:t>
            </w:r>
          </w:p>
          <w:p w14:paraId="1EAFF6A4" w14:textId="77777777" w:rsidR="00F935B1" w:rsidRPr="000A4491" w:rsidRDefault="00F935B1" w:rsidP="0083602C">
            <w:pPr>
              <w:rPr>
                <w:rFonts w:ascii="Verdana" w:hAnsi="Verdana"/>
                <w:sz w:val="20"/>
              </w:rPr>
            </w:pPr>
          </w:p>
        </w:tc>
        <w:tc>
          <w:tcPr>
            <w:tcW w:w="5441" w:type="dxa"/>
          </w:tcPr>
          <w:p w14:paraId="5F95AB92" w14:textId="77777777" w:rsidR="00F935B1" w:rsidRPr="000A4491" w:rsidRDefault="00F935B1" w:rsidP="0083602C">
            <w:pPr>
              <w:pStyle w:val="NormalWeb"/>
              <w:spacing w:before="0" w:beforeAutospacing="0" w:after="0"/>
              <w:rPr>
                <w:rFonts w:ascii="Verdana" w:hAnsi="Verdana"/>
                <w:sz w:val="20"/>
              </w:rPr>
            </w:pPr>
            <w:r w:rsidRPr="000A4491">
              <w:rPr>
                <w:rFonts w:ascii="Verdana" w:hAnsi="Verdana"/>
                <w:sz w:val="20"/>
              </w:rPr>
              <w:t>Web Casting</w:t>
            </w:r>
            <w:r w:rsidRPr="000A4491">
              <w:rPr>
                <w:rFonts w:ascii="Verdana" w:hAnsi="Verdana"/>
                <w:sz w:val="20"/>
              </w:rPr>
              <w:fldChar w:fldCharType="begin"/>
            </w:r>
            <w:r w:rsidRPr="000A4491">
              <w:rPr>
                <w:rFonts w:ascii="Verdana" w:hAnsi="Verdana"/>
                <w:sz w:val="20"/>
              </w:rPr>
              <w:instrText>xe "</w:instrText>
            </w:r>
            <w:r w:rsidRPr="000A4491">
              <w:rPr>
                <w:rStyle w:val="Hyperlink"/>
                <w:rFonts w:ascii="Verdana" w:hAnsi="Verdana"/>
                <w:bCs/>
                <w:sz w:val="20"/>
              </w:rPr>
              <w:instrText>Web Casting</w:instrText>
            </w:r>
            <w:r w:rsidRPr="000A4491">
              <w:rPr>
                <w:rFonts w:ascii="Verdana" w:hAnsi="Verdana"/>
                <w:sz w:val="20"/>
              </w:rPr>
              <w:instrText>"</w:instrText>
            </w:r>
            <w:r w:rsidRPr="000A4491">
              <w:rPr>
                <w:rFonts w:ascii="Verdana" w:hAnsi="Verdana"/>
                <w:sz w:val="20"/>
              </w:rPr>
              <w:fldChar w:fldCharType="end"/>
            </w:r>
            <w:r w:rsidRPr="000A4491">
              <w:rPr>
                <w:rFonts w:ascii="Verdana" w:hAnsi="Verdana"/>
                <w:sz w:val="20"/>
              </w:rPr>
              <w:t xml:space="preserve"> is a service provided over the Internet</w:t>
            </w:r>
            <w:r w:rsidRPr="000A4491">
              <w:rPr>
                <w:rFonts w:ascii="Verdana" w:hAnsi="Verdana"/>
                <w:sz w:val="20"/>
              </w:rPr>
              <w:fldChar w:fldCharType="begin"/>
            </w:r>
            <w:r w:rsidRPr="000A4491">
              <w:rPr>
                <w:rFonts w:ascii="Verdana" w:hAnsi="Verdana"/>
                <w:sz w:val="20"/>
              </w:rPr>
              <w:instrText>xe "Internet"</w:instrText>
            </w:r>
            <w:r w:rsidRPr="000A4491">
              <w:rPr>
                <w:rFonts w:ascii="Verdana" w:hAnsi="Verdana"/>
                <w:sz w:val="20"/>
              </w:rPr>
              <w:fldChar w:fldCharType="end"/>
            </w:r>
            <w:r w:rsidRPr="000A4491">
              <w:rPr>
                <w:rFonts w:ascii="Verdana" w:hAnsi="Verdana"/>
                <w:sz w:val="20"/>
              </w:rPr>
              <w:t xml:space="preserve"> that delivers news or other content</w:t>
            </w:r>
            <w:r w:rsidRPr="000A4491">
              <w:rPr>
                <w:rFonts w:ascii="Verdana" w:hAnsi="Verdana"/>
                <w:sz w:val="20"/>
              </w:rPr>
              <w:fldChar w:fldCharType="begin"/>
            </w:r>
            <w:r w:rsidRPr="000A4491">
              <w:rPr>
                <w:rFonts w:ascii="Verdana" w:hAnsi="Verdana"/>
                <w:sz w:val="20"/>
              </w:rPr>
              <w:instrText>xe "Content"</w:instrText>
            </w:r>
            <w:r w:rsidRPr="000A4491">
              <w:rPr>
                <w:rFonts w:ascii="Verdana" w:hAnsi="Verdana"/>
                <w:sz w:val="20"/>
              </w:rPr>
              <w:fldChar w:fldCharType="end"/>
            </w:r>
            <w:r w:rsidRPr="000A4491">
              <w:rPr>
                <w:rFonts w:ascii="Verdana" w:hAnsi="Verdana"/>
                <w:sz w:val="20"/>
              </w:rPr>
              <w:t xml:space="preserve"> via web browser software</w:t>
            </w:r>
            <w:r w:rsidRPr="000A4491">
              <w:rPr>
                <w:rFonts w:ascii="Verdana" w:hAnsi="Verdana"/>
                <w:sz w:val="20"/>
              </w:rPr>
              <w:fldChar w:fldCharType="begin"/>
            </w:r>
            <w:r w:rsidRPr="000A4491">
              <w:rPr>
                <w:rFonts w:ascii="Verdana" w:hAnsi="Verdana"/>
                <w:sz w:val="20"/>
              </w:rPr>
              <w:instrText>xe "Software"</w:instrText>
            </w:r>
            <w:r w:rsidRPr="000A4491">
              <w:rPr>
                <w:rFonts w:ascii="Verdana" w:hAnsi="Verdana"/>
                <w:sz w:val="20"/>
              </w:rPr>
              <w:fldChar w:fldCharType="end"/>
            </w:r>
            <w:r w:rsidRPr="000A4491">
              <w:rPr>
                <w:rFonts w:ascii="Verdana" w:hAnsi="Verdana"/>
                <w:sz w:val="20"/>
              </w:rPr>
              <w:t xml:space="preserve"> or to an E-mail</w:t>
            </w:r>
            <w:r w:rsidRPr="000A4491">
              <w:rPr>
                <w:rFonts w:ascii="Verdana" w:hAnsi="Verdana"/>
                <w:sz w:val="20"/>
              </w:rPr>
              <w:fldChar w:fldCharType="begin"/>
            </w:r>
            <w:r w:rsidRPr="000A4491">
              <w:rPr>
                <w:rFonts w:ascii="Verdana" w:hAnsi="Verdana"/>
                <w:sz w:val="20"/>
              </w:rPr>
              <w:instrText>xe "E-Mail"</w:instrText>
            </w:r>
            <w:r w:rsidRPr="000A4491">
              <w:rPr>
                <w:rFonts w:ascii="Verdana" w:hAnsi="Verdana"/>
                <w:sz w:val="20"/>
              </w:rPr>
              <w:fldChar w:fldCharType="end"/>
            </w:r>
            <w:r w:rsidRPr="000A4491">
              <w:rPr>
                <w:rFonts w:ascii="Verdana" w:hAnsi="Verdana"/>
                <w:sz w:val="20"/>
              </w:rPr>
              <w:t xml:space="preserve"> address.  A user accesses a Web Casting site and chooses what news or content he/she wants to be informed about.  Information content is then periodically delivered by the Web Casting supplier.</w:t>
            </w:r>
          </w:p>
        </w:tc>
      </w:tr>
      <w:tr w:rsidR="00F935B1" w14:paraId="1860C7D4" w14:textId="77777777" w:rsidTr="0083602C">
        <w:trPr>
          <w:tblCellSpacing w:w="15" w:type="dxa"/>
        </w:trPr>
        <w:tc>
          <w:tcPr>
            <w:tcW w:w="3656" w:type="dxa"/>
          </w:tcPr>
          <w:p w14:paraId="428E775B" w14:textId="77777777" w:rsidR="00F935B1" w:rsidRPr="000A4491" w:rsidRDefault="00F935B1" w:rsidP="0083602C">
            <w:pPr>
              <w:rPr>
                <w:rFonts w:ascii="Verdana" w:hAnsi="Verdana"/>
                <w:sz w:val="20"/>
              </w:rPr>
            </w:pPr>
            <w:r w:rsidRPr="000A4491">
              <w:rPr>
                <w:rFonts w:ascii="Verdana" w:hAnsi="Verdana"/>
                <w:sz w:val="20"/>
              </w:rPr>
              <w:t>Web Hosting</w:t>
            </w:r>
            <w:r w:rsidRPr="000A4491">
              <w:rPr>
                <w:rFonts w:ascii="Verdana" w:hAnsi="Verdana"/>
                <w:sz w:val="20"/>
              </w:rPr>
              <w:fldChar w:fldCharType="begin"/>
            </w:r>
            <w:r w:rsidRPr="000A4491">
              <w:rPr>
                <w:rFonts w:ascii="Verdana" w:hAnsi="Verdana"/>
                <w:sz w:val="20"/>
              </w:rPr>
              <w:instrText>xe "Web Hosting"</w:instrText>
            </w:r>
            <w:r w:rsidRPr="000A4491">
              <w:rPr>
                <w:rFonts w:ascii="Verdana" w:hAnsi="Verdana"/>
                <w:sz w:val="20"/>
              </w:rPr>
              <w:fldChar w:fldCharType="end"/>
            </w:r>
          </w:p>
          <w:p w14:paraId="6E85A683" w14:textId="77777777" w:rsidR="00F935B1" w:rsidRPr="000A4491" w:rsidRDefault="00F935B1" w:rsidP="0083602C">
            <w:pPr>
              <w:rPr>
                <w:rFonts w:ascii="Verdana" w:hAnsi="Verdana"/>
                <w:sz w:val="20"/>
              </w:rPr>
            </w:pPr>
            <w:r w:rsidRPr="000A4491">
              <w:rPr>
                <w:rFonts w:ascii="Verdana" w:hAnsi="Verdana"/>
                <w:sz w:val="20"/>
              </w:rPr>
              <w:t>(</w:t>
            </w:r>
            <w:hyperlink w:anchor="IAWebHostingEligible" w:history="1">
              <w:r w:rsidRPr="000A4491">
                <w:rPr>
                  <w:rStyle w:val="Hyperlink"/>
                  <w:rFonts w:ascii="Verdana" w:hAnsi="Verdana"/>
                  <w:sz w:val="20"/>
                </w:rPr>
                <w:t>Internet - Related Services</w:t>
              </w:r>
            </w:hyperlink>
            <w:r w:rsidRPr="000A4491">
              <w:rPr>
                <w:rFonts w:ascii="Verdana" w:hAnsi="Verdana"/>
                <w:sz w:val="20"/>
              </w:rPr>
              <w:t>)</w:t>
            </w:r>
          </w:p>
        </w:tc>
        <w:tc>
          <w:tcPr>
            <w:tcW w:w="5441" w:type="dxa"/>
          </w:tcPr>
          <w:p w14:paraId="1851E23C" w14:textId="77777777" w:rsidR="00F935B1" w:rsidRPr="000A4491" w:rsidRDefault="00F935B1" w:rsidP="0083602C">
            <w:pPr>
              <w:pStyle w:val="NormalWeb"/>
              <w:spacing w:before="0" w:beforeAutospacing="0" w:after="0"/>
              <w:rPr>
                <w:rFonts w:ascii="Verdana" w:hAnsi="Verdana"/>
                <w:sz w:val="20"/>
              </w:rPr>
            </w:pPr>
            <w:r w:rsidRPr="000A4491">
              <w:rPr>
                <w:rFonts w:ascii="Verdana" w:hAnsi="Verdana"/>
                <w:sz w:val="20"/>
              </w:rPr>
              <w:t>A web hosting</w:t>
            </w:r>
            <w:r w:rsidRPr="000A4491">
              <w:rPr>
                <w:rFonts w:ascii="Verdana" w:hAnsi="Verdana"/>
                <w:sz w:val="20"/>
              </w:rPr>
              <w:fldChar w:fldCharType="begin"/>
            </w:r>
            <w:r w:rsidRPr="000A4491">
              <w:rPr>
                <w:rFonts w:ascii="Verdana" w:hAnsi="Verdana"/>
                <w:sz w:val="20"/>
              </w:rPr>
              <w:instrText>xe "Web Hosting"</w:instrText>
            </w:r>
            <w:r w:rsidRPr="000A4491">
              <w:rPr>
                <w:rFonts w:ascii="Verdana" w:hAnsi="Verdana"/>
                <w:sz w:val="20"/>
              </w:rPr>
              <w:fldChar w:fldCharType="end"/>
            </w:r>
            <w:r w:rsidRPr="000A4491">
              <w:rPr>
                <w:rFonts w:ascii="Verdana" w:hAnsi="Verdana"/>
                <w:sz w:val="20"/>
              </w:rPr>
              <w:t xml:space="preserve"> service is one that hosts </w:t>
            </w:r>
            <w:r w:rsidRPr="000A4491">
              <w:rPr>
                <w:rFonts w:ascii="Verdana" w:hAnsi="Verdana"/>
                <w:bCs/>
                <w:sz w:val="20"/>
              </w:rPr>
              <w:t xml:space="preserve">a school’s or library’s website. </w:t>
            </w:r>
          </w:p>
        </w:tc>
      </w:tr>
      <w:tr w:rsidR="00F935B1" w14:paraId="29DB7AA4" w14:textId="77777777" w:rsidTr="0083602C">
        <w:trPr>
          <w:tblCellSpacing w:w="15" w:type="dxa"/>
        </w:trPr>
        <w:tc>
          <w:tcPr>
            <w:tcW w:w="3656" w:type="dxa"/>
          </w:tcPr>
          <w:p w14:paraId="53DED40D" w14:textId="77777777" w:rsidR="00F935B1" w:rsidRPr="000A4491" w:rsidRDefault="00F935B1" w:rsidP="0083602C">
            <w:pPr>
              <w:rPr>
                <w:rFonts w:ascii="Verdana" w:hAnsi="Verdana"/>
                <w:sz w:val="20"/>
              </w:rPr>
            </w:pPr>
            <w:r w:rsidRPr="000A4491">
              <w:rPr>
                <w:rFonts w:ascii="Verdana" w:hAnsi="Verdana"/>
                <w:sz w:val="20"/>
              </w:rPr>
              <w:t>Web Server</w:t>
            </w:r>
            <w:r w:rsidRPr="000A4491">
              <w:rPr>
                <w:rFonts w:ascii="Verdana" w:hAnsi="Verdana"/>
                <w:sz w:val="20"/>
              </w:rPr>
              <w:fldChar w:fldCharType="begin"/>
            </w:r>
            <w:r w:rsidRPr="000A4491">
              <w:rPr>
                <w:rFonts w:ascii="Verdana" w:hAnsi="Verdana"/>
                <w:sz w:val="20"/>
              </w:rPr>
              <w:instrText>xe "</w:instrText>
            </w:r>
            <w:r w:rsidRPr="000A4491">
              <w:rPr>
                <w:rStyle w:val="Hyperlink"/>
                <w:rFonts w:ascii="Verdana" w:hAnsi="Verdana"/>
                <w:bCs/>
                <w:sz w:val="20"/>
              </w:rPr>
              <w:instrText>Web Server</w:instrText>
            </w:r>
            <w:r w:rsidRPr="000A4491">
              <w:rPr>
                <w:rFonts w:ascii="Verdana" w:hAnsi="Verdana"/>
                <w:sz w:val="20"/>
              </w:rPr>
              <w:instrText>"</w:instrText>
            </w:r>
            <w:r w:rsidRPr="000A4491">
              <w:rPr>
                <w:rFonts w:ascii="Verdana" w:hAnsi="Verdana"/>
                <w:sz w:val="20"/>
              </w:rPr>
              <w:fldChar w:fldCharType="end"/>
            </w:r>
            <w:r w:rsidRPr="000A4491">
              <w:rPr>
                <w:rFonts w:ascii="Verdana" w:hAnsi="Verdana"/>
                <w:sz w:val="20"/>
              </w:rPr>
              <w:t xml:space="preserve"> </w:t>
            </w:r>
            <w:r w:rsidRPr="000A4491">
              <w:rPr>
                <w:rFonts w:ascii="Verdana" w:hAnsi="Verdana"/>
                <w:sz w:val="20"/>
              </w:rPr>
              <w:br/>
              <w:t>(</w:t>
            </w:r>
            <w:hyperlink w:anchor="aaIneligibleComponents" w:history="1">
              <w:r w:rsidRPr="000A4491">
                <w:rPr>
                  <w:rStyle w:val="Hyperlink"/>
                  <w:rFonts w:ascii="Verdana" w:hAnsi="Verdana"/>
                  <w:sz w:val="20"/>
                </w:rPr>
                <w:t>Not Eligible for E-rate Funding as Internal Connections Components</w:t>
              </w:r>
            </w:hyperlink>
            <w:r w:rsidRPr="000A4491">
              <w:rPr>
                <w:rFonts w:ascii="Verdana" w:hAnsi="Verdana"/>
                <w:sz w:val="20"/>
              </w:rPr>
              <w:t>)</w:t>
            </w:r>
          </w:p>
        </w:tc>
        <w:tc>
          <w:tcPr>
            <w:tcW w:w="5441" w:type="dxa"/>
          </w:tcPr>
          <w:p w14:paraId="2679CDDE" w14:textId="77777777" w:rsidR="00F935B1" w:rsidRPr="000A4491" w:rsidRDefault="00F935B1" w:rsidP="0083602C">
            <w:pPr>
              <w:pStyle w:val="NormalWeb"/>
              <w:spacing w:before="0" w:beforeAutospacing="0" w:after="0"/>
              <w:rPr>
                <w:rFonts w:ascii="Verdana" w:hAnsi="Verdana"/>
                <w:sz w:val="20"/>
              </w:rPr>
            </w:pPr>
            <w:r w:rsidRPr="000A4491">
              <w:rPr>
                <w:rFonts w:ascii="Verdana" w:hAnsi="Verdana"/>
                <w:sz w:val="20"/>
              </w:rPr>
              <w:t>A web server</w:t>
            </w:r>
            <w:r w:rsidRPr="000A4491">
              <w:rPr>
                <w:rFonts w:ascii="Verdana" w:hAnsi="Verdana"/>
                <w:sz w:val="20"/>
              </w:rPr>
              <w:fldChar w:fldCharType="begin"/>
            </w:r>
            <w:r w:rsidRPr="000A4491">
              <w:rPr>
                <w:rFonts w:ascii="Verdana" w:hAnsi="Verdana"/>
                <w:sz w:val="20"/>
              </w:rPr>
              <w:instrText>xe "Servers"</w:instrText>
            </w:r>
            <w:r w:rsidRPr="000A4491">
              <w:rPr>
                <w:rFonts w:ascii="Verdana" w:hAnsi="Verdana"/>
                <w:sz w:val="20"/>
              </w:rPr>
              <w:fldChar w:fldCharType="end"/>
            </w:r>
            <w:r w:rsidRPr="000A4491">
              <w:rPr>
                <w:rFonts w:ascii="Verdana" w:hAnsi="Verdana"/>
                <w:sz w:val="20"/>
              </w:rPr>
              <w:t xml:space="preserve"> is a computer server used to provide information to Internet</w:t>
            </w:r>
            <w:r w:rsidRPr="000A4491">
              <w:rPr>
                <w:rFonts w:ascii="Verdana" w:hAnsi="Verdana"/>
                <w:sz w:val="20"/>
              </w:rPr>
              <w:fldChar w:fldCharType="begin"/>
            </w:r>
            <w:r w:rsidRPr="000A4491">
              <w:rPr>
                <w:rFonts w:ascii="Verdana" w:hAnsi="Verdana"/>
                <w:sz w:val="20"/>
              </w:rPr>
              <w:instrText>xe "Internet"</w:instrText>
            </w:r>
            <w:r w:rsidRPr="000A4491">
              <w:rPr>
                <w:rFonts w:ascii="Verdana" w:hAnsi="Verdana"/>
                <w:sz w:val="20"/>
              </w:rPr>
              <w:fldChar w:fldCharType="end"/>
            </w:r>
            <w:r w:rsidRPr="000A4491">
              <w:rPr>
                <w:rFonts w:ascii="Verdana" w:hAnsi="Verdana"/>
                <w:sz w:val="20"/>
              </w:rPr>
              <w:t xml:space="preserve"> users and can also be used to provide web-based software</w:t>
            </w:r>
            <w:r w:rsidRPr="000A4491">
              <w:rPr>
                <w:rFonts w:ascii="Verdana" w:hAnsi="Verdana"/>
                <w:sz w:val="20"/>
              </w:rPr>
              <w:fldChar w:fldCharType="begin"/>
            </w:r>
            <w:r w:rsidRPr="000A4491">
              <w:rPr>
                <w:rFonts w:ascii="Verdana" w:hAnsi="Verdana"/>
                <w:sz w:val="20"/>
              </w:rPr>
              <w:instrText>xe "Software"</w:instrText>
            </w:r>
            <w:r w:rsidRPr="000A4491">
              <w:rPr>
                <w:rFonts w:ascii="Verdana" w:hAnsi="Verdana"/>
                <w:sz w:val="20"/>
              </w:rPr>
              <w:fldChar w:fldCharType="end"/>
            </w:r>
            <w:r w:rsidRPr="000A4491">
              <w:rPr>
                <w:rFonts w:ascii="Verdana" w:hAnsi="Verdana"/>
                <w:sz w:val="20"/>
              </w:rPr>
              <w:t xml:space="preserve"> applications</w:t>
            </w:r>
            <w:r w:rsidRPr="000A4491">
              <w:rPr>
                <w:rFonts w:ascii="Verdana" w:hAnsi="Verdana"/>
                <w:sz w:val="20"/>
              </w:rPr>
              <w:fldChar w:fldCharType="begin"/>
            </w:r>
            <w:r w:rsidRPr="000A4491">
              <w:rPr>
                <w:rFonts w:ascii="Verdana" w:hAnsi="Verdana"/>
                <w:sz w:val="20"/>
              </w:rPr>
              <w:instrText>xe "Software</w:instrText>
            </w:r>
            <w:r w:rsidRPr="000A4491">
              <w:rPr>
                <w:rFonts w:ascii="Verdana" w:hAnsi="Verdana"/>
                <w:bCs/>
                <w:sz w:val="20"/>
              </w:rPr>
              <w:instrText xml:space="preserve"> Applications</w:instrText>
            </w:r>
            <w:r w:rsidRPr="000A4491">
              <w:rPr>
                <w:rFonts w:ascii="Verdana" w:hAnsi="Verdana"/>
                <w:sz w:val="20"/>
              </w:rPr>
              <w:instrText>"</w:instrText>
            </w:r>
            <w:r w:rsidRPr="000A4491">
              <w:rPr>
                <w:rFonts w:ascii="Verdana" w:hAnsi="Verdana"/>
                <w:sz w:val="20"/>
              </w:rPr>
              <w:fldChar w:fldCharType="end"/>
            </w:r>
            <w:r w:rsidRPr="000A4491">
              <w:rPr>
                <w:rFonts w:ascii="Verdana" w:hAnsi="Verdana"/>
                <w:sz w:val="20"/>
              </w:rPr>
              <w:t xml:space="preserve"> and other web-based functions.</w:t>
            </w:r>
          </w:p>
        </w:tc>
      </w:tr>
      <w:tr w:rsidR="00F935B1" w14:paraId="14CA61C3" w14:textId="77777777" w:rsidTr="0083602C">
        <w:trPr>
          <w:tblCellSpacing w:w="15" w:type="dxa"/>
        </w:trPr>
        <w:tc>
          <w:tcPr>
            <w:tcW w:w="3656" w:type="dxa"/>
          </w:tcPr>
          <w:p w14:paraId="63FCB9DF" w14:textId="77777777" w:rsidR="00F935B1" w:rsidRPr="000A4491" w:rsidRDefault="00F935B1" w:rsidP="0083602C">
            <w:pPr>
              <w:rPr>
                <w:rFonts w:ascii="Verdana" w:hAnsi="Verdana"/>
                <w:sz w:val="20"/>
              </w:rPr>
            </w:pPr>
            <w:r w:rsidRPr="000A4491">
              <w:rPr>
                <w:rFonts w:ascii="Verdana" w:hAnsi="Verdana"/>
                <w:sz w:val="20"/>
              </w:rPr>
              <w:t>Web Site Creation</w:t>
            </w:r>
            <w:r w:rsidRPr="000A4491">
              <w:rPr>
                <w:rFonts w:ascii="Verdana" w:hAnsi="Verdana"/>
                <w:sz w:val="20"/>
              </w:rPr>
              <w:fldChar w:fldCharType="begin"/>
            </w:r>
            <w:r w:rsidRPr="000A4491">
              <w:rPr>
                <w:rFonts w:ascii="Verdana" w:hAnsi="Verdana"/>
                <w:sz w:val="20"/>
              </w:rPr>
              <w:instrText>xe "Web Site Creation Fee"</w:instrText>
            </w:r>
            <w:r w:rsidRPr="000A4491">
              <w:rPr>
                <w:rFonts w:ascii="Verdana" w:hAnsi="Verdana"/>
                <w:sz w:val="20"/>
              </w:rPr>
              <w:fldChar w:fldCharType="end"/>
            </w:r>
            <w:r w:rsidRPr="000A4491">
              <w:rPr>
                <w:rFonts w:ascii="Verdana" w:hAnsi="Verdana"/>
                <w:sz w:val="20"/>
              </w:rPr>
              <w:t xml:space="preserve"> Fee</w:t>
            </w:r>
          </w:p>
          <w:p w14:paraId="7173871C" w14:textId="77777777" w:rsidR="00F935B1" w:rsidRPr="000A4491" w:rsidRDefault="00F935B1" w:rsidP="0083602C">
            <w:pPr>
              <w:rPr>
                <w:rFonts w:ascii="Verdana" w:hAnsi="Verdana"/>
                <w:sz w:val="20"/>
              </w:rPr>
            </w:pPr>
            <w:r w:rsidRPr="000A4491">
              <w:rPr>
                <w:rFonts w:ascii="Verdana" w:hAnsi="Verdana"/>
                <w:sz w:val="20"/>
              </w:rPr>
              <w:t>(</w:t>
            </w:r>
            <w:hyperlink w:anchor="InternetIneligibleServices" w:history="1">
              <w:r w:rsidRPr="000A4491">
                <w:rPr>
                  <w:rStyle w:val="Hyperlink"/>
                  <w:rFonts w:ascii="Verdana" w:hAnsi="Verdana"/>
                  <w:sz w:val="20"/>
                </w:rPr>
                <w:t>Not Eligible for E-rate Funding as Internet Access Services</w:t>
              </w:r>
              <w:r w:rsidRPr="000A4491">
                <w:rPr>
                  <w:rFonts w:ascii="Verdana" w:hAnsi="Verdana"/>
                  <w:sz w:val="20"/>
                </w:rPr>
                <w:fldChar w:fldCharType="begin"/>
              </w:r>
              <w:r w:rsidRPr="000A4491">
                <w:rPr>
                  <w:rFonts w:ascii="Verdana" w:hAnsi="Verdana"/>
                  <w:sz w:val="20"/>
                </w:rPr>
                <w:instrText>xe "</w:instrText>
              </w:r>
              <w:r w:rsidRPr="000A4491">
                <w:rPr>
                  <w:rStyle w:val="Hyperlink"/>
                  <w:rFonts w:ascii="Verdana" w:hAnsi="Verdana"/>
                  <w:sz w:val="20"/>
                </w:rPr>
                <w:instrText>Internet Access</w:instrText>
              </w:r>
              <w:r w:rsidRPr="000A4491">
                <w:rPr>
                  <w:rFonts w:ascii="Verdana" w:hAnsi="Verdana"/>
                  <w:sz w:val="20"/>
                </w:rPr>
                <w:instrText>"</w:instrText>
              </w:r>
              <w:r w:rsidRPr="000A4491">
                <w:rPr>
                  <w:rFonts w:ascii="Verdana" w:hAnsi="Verdana"/>
                  <w:sz w:val="20"/>
                </w:rPr>
                <w:fldChar w:fldCharType="end"/>
              </w:r>
            </w:hyperlink>
            <w:r w:rsidRPr="000A4491">
              <w:rPr>
                <w:rFonts w:ascii="Verdana" w:hAnsi="Verdana"/>
                <w:sz w:val="20"/>
              </w:rPr>
              <w:t>)</w:t>
            </w:r>
          </w:p>
        </w:tc>
        <w:tc>
          <w:tcPr>
            <w:tcW w:w="5441" w:type="dxa"/>
          </w:tcPr>
          <w:p w14:paraId="78133AF9" w14:textId="77777777" w:rsidR="00F935B1" w:rsidRPr="000A4491" w:rsidRDefault="00F935B1" w:rsidP="0083602C">
            <w:pPr>
              <w:pStyle w:val="NormalWeb"/>
              <w:spacing w:before="0" w:beforeAutospacing="0" w:after="0"/>
              <w:rPr>
                <w:rFonts w:ascii="Verdana" w:hAnsi="Verdana"/>
                <w:sz w:val="20"/>
              </w:rPr>
            </w:pPr>
            <w:r w:rsidRPr="000A4491">
              <w:rPr>
                <w:rFonts w:ascii="Verdana" w:hAnsi="Verdana"/>
                <w:sz w:val="20"/>
              </w:rPr>
              <w:t>A web site creation fee</w:t>
            </w:r>
            <w:r w:rsidRPr="000A4491">
              <w:rPr>
                <w:rFonts w:ascii="Verdana" w:hAnsi="Verdana"/>
                <w:sz w:val="20"/>
              </w:rPr>
              <w:fldChar w:fldCharType="begin"/>
            </w:r>
            <w:r w:rsidRPr="000A4491">
              <w:rPr>
                <w:rFonts w:ascii="Verdana" w:hAnsi="Verdana"/>
                <w:sz w:val="20"/>
              </w:rPr>
              <w:instrText>xe "</w:instrText>
            </w:r>
            <w:r w:rsidRPr="000A4491">
              <w:rPr>
                <w:rStyle w:val="Hyperlink"/>
                <w:rFonts w:ascii="Verdana" w:hAnsi="Verdana"/>
                <w:bCs/>
                <w:sz w:val="20"/>
              </w:rPr>
              <w:instrText>Web Site creation Fee</w:instrText>
            </w:r>
            <w:r w:rsidRPr="000A4491">
              <w:rPr>
                <w:rFonts w:ascii="Verdana" w:hAnsi="Verdana"/>
                <w:sz w:val="20"/>
              </w:rPr>
              <w:instrText>"</w:instrText>
            </w:r>
            <w:r w:rsidRPr="000A4491">
              <w:rPr>
                <w:rFonts w:ascii="Verdana" w:hAnsi="Verdana"/>
                <w:sz w:val="20"/>
              </w:rPr>
              <w:fldChar w:fldCharType="end"/>
            </w:r>
            <w:r w:rsidRPr="000A4491">
              <w:rPr>
                <w:rFonts w:ascii="Verdana" w:hAnsi="Verdana"/>
                <w:sz w:val="20"/>
              </w:rPr>
              <w:t xml:space="preserve"> is a separate charge for creating a website.</w:t>
            </w:r>
          </w:p>
        </w:tc>
      </w:tr>
      <w:tr w:rsidR="00F935B1" w14:paraId="3CA31172" w14:textId="77777777" w:rsidTr="0083602C">
        <w:trPr>
          <w:tblCellSpacing w:w="15" w:type="dxa"/>
        </w:trPr>
        <w:tc>
          <w:tcPr>
            <w:tcW w:w="3656" w:type="dxa"/>
          </w:tcPr>
          <w:p w14:paraId="331540B2" w14:textId="77777777" w:rsidR="00F935B1" w:rsidRPr="000A4491" w:rsidRDefault="00F935B1" w:rsidP="0083602C">
            <w:pPr>
              <w:rPr>
                <w:rFonts w:ascii="Verdana" w:hAnsi="Verdana"/>
                <w:sz w:val="20"/>
              </w:rPr>
            </w:pPr>
            <w:r w:rsidRPr="000A4491">
              <w:rPr>
                <w:rFonts w:ascii="Verdana" w:hAnsi="Verdana"/>
                <w:sz w:val="20"/>
              </w:rPr>
              <w:t>Wide Area Networks</w:t>
            </w:r>
            <w:r w:rsidRPr="000A4491">
              <w:rPr>
                <w:rFonts w:ascii="Verdana" w:hAnsi="Verdana"/>
                <w:sz w:val="20"/>
              </w:rPr>
              <w:fldChar w:fldCharType="begin"/>
            </w:r>
            <w:r w:rsidRPr="000A4491">
              <w:rPr>
                <w:rFonts w:ascii="Verdana" w:hAnsi="Verdana"/>
                <w:sz w:val="20"/>
              </w:rPr>
              <w:instrText>xe "Wide Area Network"</w:instrText>
            </w:r>
            <w:r w:rsidRPr="000A4491">
              <w:rPr>
                <w:rFonts w:ascii="Verdana" w:hAnsi="Verdana"/>
                <w:sz w:val="20"/>
              </w:rPr>
              <w:fldChar w:fldCharType="end"/>
            </w:r>
            <w:r w:rsidRPr="000A4491">
              <w:rPr>
                <w:rFonts w:ascii="Verdana" w:hAnsi="Verdana"/>
                <w:sz w:val="20"/>
              </w:rPr>
              <w:t xml:space="preserve"> (WANs</w:t>
            </w:r>
            <w:r w:rsidRPr="000A4491">
              <w:rPr>
                <w:rFonts w:ascii="Verdana" w:hAnsi="Verdana"/>
                <w:sz w:val="20"/>
              </w:rPr>
              <w:fldChar w:fldCharType="begin"/>
            </w:r>
            <w:r w:rsidRPr="000A4491">
              <w:rPr>
                <w:rFonts w:ascii="Verdana" w:hAnsi="Verdana"/>
                <w:sz w:val="20"/>
              </w:rPr>
              <w:instrText>xe "WAN"</w:instrText>
            </w:r>
            <w:r w:rsidRPr="000A4491">
              <w:rPr>
                <w:rFonts w:ascii="Verdana" w:hAnsi="Verdana"/>
                <w:sz w:val="20"/>
              </w:rPr>
              <w:fldChar w:fldCharType="end"/>
            </w:r>
            <w:r w:rsidRPr="000A4491">
              <w:rPr>
                <w:rFonts w:ascii="Verdana" w:hAnsi="Verdana"/>
                <w:sz w:val="20"/>
              </w:rPr>
              <w:t>)</w:t>
            </w:r>
          </w:p>
          <w:p w14:paraId="515FB1BF" w14:textId="77777777" w:rsidR="00F935B1" w:rsidRPr="000A4491" w:rsidRDefault="00F935B1" w:rsidP="0083602C">
            <w:pPr>
              <w:rPr>
                <w:rFonts w:ascii="Verdana" w:hAnsi="Verdana"/>
                <w:sz w:val="20"/>
              </w:rPr>
            </w:pPr>
            <w:r w:rsidRPr="000A4491">
              <w:rPr>
                <w:rFonts w:ascii="Verdana" w:hAnsi="Verdana"/>
                <w:sz w:val="20"/>
              </w:rPr>
              <w:t>(</w:t>
            </w:r>
            <w:hyperlink w:anchor="aattDigitalTransmissionServices" w:history="1">
              <w:r w:rsidRPr="000A4491">
                <w:rPr>
                  <w:rStyle w:val="Hyperlink"/>
                  <w:rFonts w:ascii="Verdana" w:hAnsi="Verdana"/>
                  <w:sz w:val="20"/>
                </w:rPr>
                <w:t>Digital Transmission Services</w:t>
              </w:r>
            </w:hyperlink>
            <w:r w:rsidRPr="000A4491">
              <w:rPr>
                <w:rFonts w:ascii="Verdana" w:hAnsi="Verdana"/>
                <w:sz w:val="20"/>
              </w:rPr>
              <w:t>)</w:t>
            </w:r>
          </w:p>
        </w:tc>
        <w:tc>
          <w:tcPr>
            <w:tcW w:w="5441" w:type="dxa"/>
          </w:tcPr>
          <w:p w14:paraId="5F32D85B" w14:textId="77777777" w:rsidR="00F935B1" w:rsidRPr="000A4491" w:rsidRDefault="00F935B1" w:rsidP="0083602C">
            <w:pPr>
              <w:rPr>
                <w:rFonts w:ascii="Verdana" w:hAnsi="Verdana"/>
                <w:sz w:val="20"/>
              </w:rPr>
            </w:pPr>
            <w:r w:rsidRPr="000A4491">
              <w:rPr>
                <w:rFonts w:ascii="Verdana" w:hAnsi="Verdana"/>
                <w:sz w:val="20"/>
              </w:rPr>
              <w:t>A wide area network is a voice, data, and/or video network that provides connections from within an eligible school or library to other locations beyond the school or library.</w:t>
            </w:r>
          </w:p>
        </w:tc>
      </w:tr>
      <w:tr w:rsidR="00F935B1" w14:paraId="5ED51158" w14:textId="77777777" w:rsidTr="0083602C">
        <w:trPr>
          <w:tblCellSpacing w:w="15" w:type="dxa"/>
        </w:trPr>
        <w:tc>
          <w:tcPr>
            <w:tcW w:w="3656" w:type="dxa"/>
          </w:tcPr>
          <w:p w14:paraId="56E11BF4" w14:textId="77777777" w:rsidR="00F935B1" w:rsidRPr="000A4491" w:rsidRDefault="00F935B1" w:rsidP="0083602C">
            <w:pPr>
              <w:rPr>
                <w:rFonts w:ascii="Verdana" w:hAnsi="Verdana"/>
                <w:sz w:val="20"/>
              </w:rPr>
            </w:pPr>
            <w:r w:rsidRPr="000A4491">
              <w:rPr>
                <w:rFonts w:ascii="Verdana" w:hAnsi="Verdana"/>
                <w:sz w:val="20"/>
              </w:rPr>
              <w:t>Wire</w:t>
            </w:r>
            <w:r w:rsidRPr="000A4491">
              <w:rPr>
                <w:rFonts w:ascii="Verdana" w:hAnsi="Verdana"/>
                <w:sz w:val="20"/>
              </w:rPr>
              <w:fldChar w:fldCharType="begin"/>
            </w:r>
            <w:r w:rsidRPr="000A4491">
              <w:rPr>
                <w:rFonts w:ascii="Verdana" w:hAnsi="Verdana"/>
                <w:sz w:val="20"/>
              </w:rPr>
              <w:instrText>xe "Wire"</w:instrText>
            </w:r>
            <w:r w:rsidRPr="000A4491">
              <w:rPr>
                <w:rFonts w:ascii="Verdana" w:hAnsi="Verdana"/>
                <w:sz w:val="20"/>
              </w:rPr>
              <w:fldChar w:fldCharType="end"/>
            </w:r>
            <w:r w:rsidRPr="000A4491">
              <w:rPr>
                <w:rFonts w:ascii="Verdana" w:hAnsi="Verdana"/>
                <w:sz w:val="20"/>
              </w:rPr>
              <w:t xml:space="preserve"> Managers </w:t>
            </w:r>
            <w:r w:rsidRPr="000A4491">
              <w:rPr>
                <w:rFonts w:ascii="Verdana" w:hAnsi="Verdana"/>
                <w:sz w:val="20"/>
              </w:rPr>
              <w:br/>
              <w:t>(</w:t>
            </w:r>
            <w:hyperlink w:anchor="aaCablingConnectors" w:history="1">
              <w:r w:rsidRPr="000A4491">
                <w:rPr>
                  <w:rStyle w:val="Hyperlink"/>
                  <w:rFonts w:ascii="Verdana" w:hAnsi="Verdana"/>
                  <w:sz w:val="20"/>
                </w:rPr>
                <w:t>Cabling</w:t>
              </w:r>
              <w:r w:rsidRPr="000A4491">
                <w:rPr>
                  <w:rFonts w:ascii="Verdana" w:hAnsi="Verdana"/>
                  <w:sz w:val="20"/>
                </w:rPr>
                <w:fldChar w:fldCharType="begin"/>
              </w:r>
              <w:r w:rsidRPr="000A4491">
                <w:rPr>
                  <w:rFonts w:ascii="Verdana" w:hAnsi="Verdana"/>
                  <w:sz w:val="20"/>
                </w:rPr>
                <w:instrText>xe "</w:instrText>
              </w:r>
              <w:r w:rsidRPr="000A4491">
                <w:rPr>
                  <w:rStyle w:val="Hyperlink"/>
                  <w:rFonts w:ascii="Verdana" w:hAnsi="Verdana"/>
                  <w:bCs/>
                  <w:sz w:val="20"/>
                </w:rPr>
                <w:instrText>Cabling</w:instrText>
              </w:r>
              <w:r w:rsidRPr="000A4491">
                <w:rPr>
                  <w:rFonts w:ascii="Verdana" w:hAnsi="Verdana"/>
                  <w:sz w:val="20"/>
                </w:rPr>
                <w:instrText>"</w:instrText>
              </w:r>
              <w:r w:rsidRPr="000A4491">
                <w:rPr>
                  <w:rFonts w:ascii="Verdana" w:hAnsi="Verdana"/>
                  <w:sz w:val="20"/>
                </w:rPr>
                <w:fldChar w:fldCharType="end"/>
              </w:r>
            </w:hyperlink>
            <w:r w:rsidRPr="000A4491">
              <w:rPr>
                <w:rFonts w:ascii="Verdana" w:hAnsi="Verdana"/>
                <w:sz w:val="20"/>
              </w:rPr>
              <w:t>)</w:t>
            </w:r>
          </w:p>
        </w:tc>
        <w:tc>
          <w:tcPr>
            <w:tcW w:w="5441" w:type="dxa"/>
          </w:tcPr>
          <w:p w14:paraId="14FA3BCE" w14:textId="77777777" w:rsidR="00F935B1" w:rsidRPr="000A4491" w:rsidRDefault="00F935B1" w:rsidP="0083602C">
            <w:pPr>
              <w:pStyle w:val="NormalWeb"/>
              <w:spacing w:before="0" w:beforeAutospacing="0" w:after="0"/>
              <w:rPr>
                <w:rFonts w:ascii="Verdana" w:hAnsi="Verdana"/>
                <w:sz w:val="20"/>
              </w:rPr>
            </w:pPr>
            <w:r w:rsidRPr="000A4491">
              <w:rPr>
                <w:rFonts w:ascii="Verdana" w:hAnsi="Verdana"/>
                <w:sz w:val="20"/>
              </w:rPr>
              <w:t>Wire</w:t>
            </w:r>
            <w:r w:rsidRPr="000A4491">
              <w:rPr>
                <w:rFonts w:ascii="Verdana" w:hAnsi="Verdana"/>
                <w:sz w:val="20"/>
              </w:rPr>
              <w:fldChar w:fldCharType="begin"/>
            </w:r>
            <w:r w:rsidRPr="000A4491">
              <w:rPr>
                <w:rFonts w:ascii="Verdana" w:hAnsi="Verdana"/>
                <w:sz w:val="20"/>
              </w:rPr>
              <w:instrText>xe "Wire"</w:instrText>
            </w:r>
            <w:r w:rsidRPr="000A4491">
              <w:rPr>
                <w:rFonts w:ascii="Verdana" w:hAnsi="Verdana"/>
                <w:sz w:val="20"/>
              </w:rPr>
              <w:fldChar w:fldCharType="end"/>
            </w:r>
            <w:r w:rsidRPr="000A4491">
              <w:rPr>
                <w:rFonts w:ascii="Verdana" w:hAnsi="Verdana"/>
                <w:sz w:val="20"/>
              </w:rPr>
              <w:t xml:space="preserve"> managers are wire restraints to house or arrange wiring and cabling.  They can be aluminum or plastic and may be rack</w:t>
            </w:r>
            <w:r w:rsidRPr="000A4491">
              <w:rPr>
                <w:rFonts w:ascii="Verdana" w:hAnsi="Verdana"/>
                <w:sz w:val="20"/>
              </w:rPr>
              <w:fldChar w:fldCharType="begin"/>
            </w:r>
            <w:r w:rsidRPr="000A4491">
              <w:rPr>
                <w:rFonts w:ascii="Verdana" w:hAnsi="Verdana"/>
                <w:sz w:val="20"/>
              </w:rPr>
              <w:instrText>xe "</w:instrText>
            </w:r>
            <w:r w:rsidRPr="000A4491">
              <w:rPr>
                <w:rFonts w:ascii="Verdana" w:hAnsi="Verdana"/>
                <w:bCs/>
                <w:sz w:val="20"/>
              </w:rPr>
              <w:instrText>Racks</w:instrText>
            </w:r>
            <w:r w:rsidRPr="000A4491">
              <w:rPr>
                <w:rFonts w:ascii="Verdana" w:hAnsi="Verdana"/>
                <w:sz w:val="20"/>
              </w:rPr>
              <w:instrText>"</w:instrText>
            </w:r>
            <w:r w:rsidRPr="000A4491">
              <w:rPr>
                <w:rFonts w:ascii="Verdana" w:hAnsi="Verdana"/>
                <w:sz w:val="20"/>
              </w:rPr>
              <w:fldChar w:fldCharType="end"/>
            </w:r>
            <w:r w:rsidRPr="000A4491">
              <w:rPr>
                <w:rFonts w:ascii="Verdana" w:hAnsi="Verdana"/>
                <w:sz w:val="20"/>
              </w:rPr>
              <w:t>-mountable.</w:t>
            </w:r>
          </w:p>
        </w:tc>
      </w:tr>
      <w:tr w:rsidR="00F935B1" w14:paraId="3017CD8E" w14:textId="77777777" w:rsidTr="0083602C">
        <w:trPr>
          <w:tblCellSpacing w:w="15" w:type="dxa"/>
        </w:trPr>
        <w:tc>
          <w:tcPr>
            <w:tcW w:w="3656" w:type="dxa"/>
          </w:tcPr>
          <w:p w14:paraId="2F07500F" w14:textId="77777777" w:rsidR="00F935B1" w:rsidRPr="000A4491" w:rsidRDefault="00F935B1" w:rsidP="0083602C">
            <w:pPr>
              <w:rPr>
                <w:rFonts w:ascii="Verdana" w:hAnsi="Verdana"/>
                <w:sz w:val="20"/>
              </w:rPr>
            </w:pPr>
            <w:r w:rsidRPr="000A4491">
              <w:rPr>
                <w:rFonts w:ascii="Verdana" w:hAnsi="Verdana"/>
                <w:sz w:val="20"/>
              </w:rPr>
              <w:t>Wireless Internet Access Service</w:t>
            </w:r>
            <w:r w:rsidRPr="000A4491">
              <w:rPr>
                <w:rFonts w:ascii="Verdana" w:hAnsi="Verdana"/>
                <w:sz w:val="20"/>
              </w:rPr>
              <w:fldChar w:fldCharType="begin"/>
            </w:r>
            <w:r w:rsidRPr="000A4491">
              <w:rPr>
                <w:rFonts w:ascii="Verdana" w:hAnsi="Verdana"/>
                <w:sz w:val="20"/>
              </w:rPr>
              <w:instrText>xe "Wireless Internet Access"</w:instrText>
            </w:r>
            <w:r w:rsidRPr="000A4491">
              <w:rPr>
                <w:rFonts w:ascii="Verdana" w:hAnsi="Verdana"/>
                <w:sz w:val="20"/>
              </w:rPr>
              <w:fldChar w:fldCharType="end"/>
            </w:r>
          </w:p>
        </w:tc>
        <w:tc>
          <w:tcPr>
            <w:tcW w:w="5441" w:type="dxa"/>
          </w:tcPr>
          <w:p w14:paraId="4697294A" w14:textId="77777777" w:rsidR="00F935B1" w:rsidRPr="000A4491" w:rsidRDefault="00F935B1" w:rsidP="0083602C">
            <w:pPr>
              <w:pStyle w:val="NormalWeb"/>
              <w:spacing w:before="0" w:beforeAutospacing="0" w:after="0"/>
              <w:rPr>
                <w:rFonts w:ascii="Verdana" w:hAnsi="Verdana"/>
                <w:sz w:val="20"/>
              </w:rPr>
            </w:pPr>
            <w:r w:rsidRPr="000A4491">
              <w:rPr>
                <w:rFonts w:ascii="Verdana" w:hAnsi="Verdana"/>
                <w:sz w:val="20"/>
              </w:rPr>
              <w:t>Wireless Internet Access Service provides Internet access to portable devices or other devices capable of receiving a wireless service.</w:t>
            </w:r>
          </w:p>
        </w:tc>
      </w:tr>
      <w:tr w:rsidR="00F935B1" w14:paraId="5199CA1C" w14:textId="77777777" w:rsidTr="0083602C">
        <w:trPr>
          <w:tblCellSpacing w:w="15" w:type="dxa"/>
        </w:trPr>
        <w:tc>
          <w:tcPr>
            <w:tcW w:w="3656" w:type="dxa"/>
          </w:tcPr>
          <w:p w14:paraId="1C3599FA" w14:textId="77777777" w:rsidR="00F935B1" w:rsidRPr="000A4491" w:rsidRDefault="00F935B1" w:rsidP="0083602C">
            <w:pPr>
              <w:rPr>
                <w:rFonts w:ascii="Verdana" w:hAnsi="Verdana"/>
                <w:sz w:val="20"/>
              </w:rPr>
            </w:pPr>
            <w:r w:rsidRPr="000A4491">
              <w:rPr>
                <w:rFonts w:ascii="Verdana" w:hAnsi="Verdana"/>
                <w:sz w:val="20"/>
              </w:rPr>
              <w:t>Wireless</w:t>
            </w:r>
            <w:r w:rsidRPr="000A4491">
              <w:rPr>
                <w:rFonts w:ascii="Verdana" w:hAnsi="Verdana"/>
                <w:sz w:val="20"/>
              </w:rPr>
              <w:fldChar w:fldCharType="begin"/>
            </w:r>
            <w:r w:rsidRPr="000A4491">
              <w:rPr>
                <w:rFonts w:ascii="Verdana" w:hAnsi="Verdana"/>
                <w:sz w:val="20"/>
              </w:rPr>
              <w:instrText>xe "Wireless"</w:instrText>
            </w:r>
            <w:r w:rsidRPr="000A4491">
              <w:rPr>
                <w:rFonts w:ascii="Verdana" w:hAnsi="Verdana"/>
                <w:sz w:val="20"/>
              </w:rPr>
              <w:fldChar w:fldCharType="end"/>
            </w:r>
            <w:r w:rsidRPr="000A4491">
              <w:rPr>
                <w:rFonts w:ascii="Verdana" w:hAnsi="Verdana"/>
                <w:sz w:val="20"/>
              </w:rPr>
              <w:t xml:space="preserve"> Local</w:t>
            </w:r>
            <w:r w:rsidRPr="000A4491">
              <w:rPr>
                <w:rFonts w:ascii="Verdana" w:hAnsi="Verdana"/>
                <w:sz w:val="20"/>
              </w:rPr>
              <w:fldChar w:fldCharType="begin"/>
            </w:r>
            <w:r w:rsidRPr="000A4491">
              <w:rPr>
                <w:rFonts w:ascii="Verdana" w:hAnsi="Verdana"/>
                <w:sz w:val="20"/>
              </w:rPr>
              <w:instrText>xe "Local Area Networks"</w:instrText>
            </w:r>
            <w:r w:rsidRPr="000A4491">
              <w:rPr>
                <w:rFonts w:ascii="Verdana" w:hAnsi="Verdana"/>
                <w:sz w:val="20"/>
              </w:rPr>
              <w:fldChar w:fldCharType="end"/>
            </w:r>
            <w:r w:rsidRPr="000A4491">
              <w:rPr>
                <w:rFonts w:ascii="Verdana" w:hAnsi="Verdana"/>
                <w:sz w:val="20"/>
              </w:rPr>
              <w:t xml:space="preserve"> Area Network </w:t>
            </w:r>
            <w:r w:rsidRPr="000A4491">
              <w:rPr>
                <w:rFonts w:ascii="Verdana" w:hAnsi="Verdana"/>
                <w:sz w:val="20"/>
              </w:rPr>
              <w:br/>
              <w:t>(</w:t>
            </w:r>
            <w:hyperlink w:anchor="aaDataDistribution" w:history="1">
              <w:r w:rsidRPr="000A4491">
                <w:rPr>
                  <w:rStyle w:val="Hyperlink"/>
                  <w:rFonts w:ascii="Verdana" w:hAnsi="Verdana"/>
                  <w:sz w:val="20"/>
                </w:rPr>
                <w:t>Data Distribution</w:t>
              </w:r>
              <w:r w:rsidRPr="000A4491">
                <w:rPr>
                  <w:rFonts w:ascii="Verdana" w:hAnsi="Verdana"/>
                  <w:sz w:val="20"/>
                </w:rPr>
                <w:fldChar w:fldCharType="begin"/>
              </w:r>
              <w:r w:rsidRPr="000A4491">
                <w:rPr>
                  <w:rFonts w:ascii="Verdana" w:hAnsi="Verdana"/>
                  <w:sz w:val="20"/>
                </w:rPr>
                <w:instrText>xe "Data Distribution"</w:instrText>
              </w:r>
              <w:r w:rsidRPr="000A4491">
                <w:rPr>
                  <w:rFonts w:ascii="Verdana" w:hAnsi="Verdana"/>
                  <w:sz w:val="20"/>
                </w:rPr>
                <w:fldChar w:fldCharType="end"/>
              </w:r>
            </w:hyperlink>
            <w:r w:rsidRPr="000A4491">
              <w:rPr>
                <w:rFonts w:ascii="Verdana" w:hAnsi="Verdana"/>
                <w:sz w:val="20"/>
              </w:rPr>
              <w:t>)</w:t>
            </w:r>
          </w:p>
        </w:tc>
        <w:tc>
          <w:tcPr>
            <w:tcW w:w="5441" w:type="dxa"/>
          </w:tcPr>
          <w:p w14:paraId="4F60DA0B" w14:textId="77777777" w:rsidR="00F935B1" w:rsidRPr="000A4491" w:rsidRDefault="00F935B1" w:rsidP="0083602C">
            <w:pPr>
              <w:pStyle w:val="NormalWeb"/>
              <w:spacing w:before="0" w:beforeAutospacing="0" w:after="0"/>
              <w:rPr>
                <w:rFonts w:ascii="Verdana" w:hAnsi="Verdana"/>
                <w:sz w:val="20"/>
              </w:rPr>
            </w:pPr>
            <w:r w:rsidRPr="000A4491">
              <w:rPr>
                <w:rFonts w:ascii="Verdana" w:hAnsi="Verdana"/>
                <w:sz w:val="20"/>
              </w:rPr>
              <w:t>A Wireless</w:t>
            </w:r>
            <w:r w:rsidRPr="000A4491">
              <w:rPr>
                <w:rFonts w:ascii="Verdana" w:hAnsi="Verdana"/>
                <w:sz w:val="20"/>
              </w:rPr>
              <w:fldChar w:fldCharType="begin"/>
            </w:r>
            <w:r w:rsidRPr="000A4491">
              <w:rPr>
                <w:rFonts w:ascii="Verdana" w:hAnsi="Verdana"/>
                <w:sz w:val="20"/>
              </w:rPr>
              <w:instrText>xe "Wireless"</w:instrText>
            </w:r>
            <w:r w:rsidRPr="000A4491">
              <w:rPr>
                <w:rFonts w:ascii="Verdana" w:hAnsi="Verdana"/>
                <w:sz w:val="20"/>
              </w:rPr>
              <w:fldChar w:fldCharType="end"/>
            </w:r>
            <w:r w:rsidRPr="000A4491">
              <w:rPr>
                <w:rFonts w:ascii="Verdana" w:hAnsi="Verdana"/>
                <w:sz w:val="20"/>
              </w:rPr>
              <w:t xml:space="preserve"> Local Area Network provides the functionality of a local area network</w:t>
            </w:r>
            <w:r w:rsidRPr="000A4491">
              <w:rPr>
                <w:rFonts w:ascii="Verdana" w:hAnsi="Verdana"/>
                <w:sz w:val="20"/>
              </w:rPr>
              <w:fldChar w:fldCharType="begin"/>
            </w:r>
            <w:r w:rsidRPr="000A4491">
              <w:rPr>
                <w:rFonts w:ascii="Verdana" w:hAnsi="Verdana"/>
                <w:sz w:val="20"/>
              </w:rPr>
              <w:instrText>xe "L</w:instrText>
            </w:r>
            <w:r w:rsidRPr="000A4491">
              <w:rPr>
                <w:rStyle w:val="Hyperlink"/>
                <w:rFonts w:ascii="Verdana" w:hAnsi="Verdana"/>
                <w:bCs/>
                <w:sz w:val="20"/>
              </w:rPr>
              <w:instrText>ocal Area Networks</w:instrText>
            </w:r>
            <w:r w:rsidRPr="000A4491">
              <w:rPr>
                <w:rFonts w:ascii="Verdana" w:hAnsi="Verdana"/>
                <w:sz w:val="20"/>
              </w:rPr>
              <w:instrText>"</w:instrText>
            </w:r>
            <w:r w:rsidRPr="000A4491">
              <w:rPr>
                <w:rFonts w:ascii="Verdana" w:hAnsi="Verdana"/>
                <w:sz w:val="20"/>
              </w:rPr>
              <w:fldChar w:fldCharType="end"/>
            </w:r>
            <w:r w:rsidRPr="000A4491">
              <w:rPr>
                <w:rFonts w:ascii="Verdana" w:hAnsi="Verdana"/>
                <w:sz w:val="20"/>
              </w:rPr>
              <w:t xml:space="preserve"> using wireless</w:t>
            </w:r>
            <w:r w:rsidRPr="000A4491">
              <w:rPr>
                <w:rFonts w:ascii="Verdana" w:hAnsi="Verdana"/>
                <w:sz w:val="20"/>
              </w:rPr>
              <w:fldChar w:fldCharType="begin"/>
            </w:r>
            <w:r w:rsidRPr="000A4491">
              <w:rPr>
                <w:rFonts w:ascii="Verdana" w:hAnsi="Verdana"/>
                <w:sz w:val="20"/>
              </w:rPr>
              <w:instrText>xe "Wireless"</w:instrText>
            </w:r>
            <w:r w:rsidRPr="000A4491">
              <w:rPr>
                <w:rFonts w:ascii="Verdana" w:hAnsi="Verdana"/>
                <w:sz w:val="20"/>
              </w:rPr>
              <w:fldChar w:fldCharType="end"/>
            </w:r>
            <w:r w:rsidRPr="000A4491">
              <w:rPr>
                <w:rFonts w:ascii="Verdana" w:hAnsi="Verdana"/>
                <w:sz w:val="20"/>
              </w:rPr>
              <w:t xml:space="preserve"> components rather than cabling.</w:t>
            </w:r>
          </w:p>
        </w:tc>
      </w:tr>
      <w:tr w:rsidR="00F935B1" w14:paraId="2EAC2BF7" w14:textId="77777777" w:rsidTr="0083602C">
        <w:trPr>
          <w:tblCellSpacing w:w="15" w:type="dxa"/>
        </w:trPr>
        <w:tc>
          <w:tcPr>
            <w:tcW w:w="3656" w:type="dxa"/>
          </w:tcPr>
          <w:p w14:paraId="13EB8684" w14:textId="77777777" w:rsidR="00F935B1" w:rsidRPr="000A4491" w:rsidRDefault="00F935B1" w:rsidP="0083602C">
            <w:pPr>
              <w:rPr>
                <w:rFonts w:ascii="Verdana" w:hAnsi="Verdana"/>
                <w:sz w:val="20"/>
              </w:rPr>
            </w:pPr>
            <w:r w:rsidRPr="000A4491">
              <w:rPr>
                <w:rFonts w:ascii="Verdana" w:hAnsi="Verdana"/>
                <w:sz w:val="20"/>
              </w:rPr>
              <w:t>Wireless Local Area Network Controller</w:t>
            </w:r>
          </w:p>
          <w:p w14:paraId="4D943079" w14:textId="77777777" w:rsidR="00F935B1" w:rsidRPr="000A4491" w:rsidRDefault="00F935B1" w:rsidP="0083602C">
            <w:pPr>
              <w:rPr>
                <w:rFonts w:ascii="Verdana" w:hAnsi="Verdana"/>
                <w:sz w:val="20"/>
              </w:rPr>
            </w:pPr>
            <w:r w:rsidRPr="000A4491">
              <w:rPr>
                <w:rFonts w:ascii="Verdana" w:hAnsi="Verdana"/>
                <w:sz w:val="20"/>
              </w:rPr>
              <w:t>(</w:t>
            </w:r>
            <w:hyperlink w:anchor="aaDataDistribution" w:history="1">
              <w:r w:rsidRPr="000A4491">
                <w:rPr>
                  <w:rStyle w:val="Hyperlink"/>
                  <w:rFonts w:ascii="Verdana" w:hAnsi="Verdana"/>
                  <w:sz w:val="20"/>
                </w:rPr>
                <w:t>Data Distribution</w:t>
              </w:r>
              <w:r w:rsidRPr="000A4491">
                <w:rPr>
                  <w:rFonts w:ascii="Verdana" w:hAnsi="Verdana"/>
                  <w:sz w:val="20"/>
                </w:rPr>
                <w:fldChar w:fldCharType="begin"/>
              </w:r>
              <w:r w:rsidRPr="000A4491">
                <w:rPr>
                  <w:rFonts w:ascii="Verdana" w:hAnsi="Verdana"/>
                  <w:sz w:val="20"/>
                </w:rPr>
                <w:instrText>xe "Data Distribution"</w:instrText>
              </w:r>
              <w:r w:rsidRPr="000A4491">
                <w:rPr>
                  <w:rFonts w:ascii="Verdana" w:hAnsi="Verdana"/>
                  <w:sz w:val="20"/>
                </w:rPr>
                <w:fldChar w:fldCharType="end"/>
              </w:r>
            </w:hyperlink>
            <w:r w:rsidRPr="000A4491">
              <w:rPr>
                <w:rFonts w:ascii="Verdana" w:hAnsi="Verdana"/>
                <w:sz w:val="20"/>
              </w:rPr>
              <w:t>)</w:t>
            </w:r>
          </w:p>
        </w:tc>
        <w:tc>
          <w:tcPr>
            <w:tcW w:w="5441" w:type="dxa"/>
          </w:tcPr>
          <w:p w14:paraId="4914667A" w14:textId="77777777" w:rsidR="00F935B1" w:rsidRPr="000A4491" w:rsidRDefault="00F935B1" w:rsidP="0083602C">
            <w:pPr>
              <w:pStyle w:val="NormalWeb"/>
              <w:spacing w:before="0" w:beforeAutospacing="0" w:after="0"/>
              <w:rPr>
                <w:rFonts w:ascii="Verdana" w:hAnsi="Verdana"/>
                <w:sz w:val="20"/>
              </w:rPr>
            </w:pPr>
            <w:r w:rsidRPr="000A4491">
              <w:rPr>
                <w:rFonts w:ascii="Verdana" w:hAnsi="Verdana"/>
                <w:sz w:val="20"/>
              </w:rPr>
              <w:t xml:space="preserve">A Wireless Local Area Network Controller is used in conjunction with access points to create a wireless local area network. </w:t>
            </w:r>
          </w:p>
        </w:tc>
      </w:tr>
      <w:tr w:rsidR="00F935B1" w14:paraId="2A43A90C" w14:textId="77777777" w:rsidTr="0083602C">
        <w:trPr>
          <w:tblCellSpacing w:w="15" w:type="dxa"/>
        </w:trPr>
        <w:tc>
          <w:tcPr>
            <w:tcW w:w="3656" w:type="dxa"/>
          </w:tcPr>
          <w:p w14:paraId="1E1F6DD0" w14:textId="77777777" w:rsidR="00F935B1" w:rsidRPr="000A4491" w:rsidRDefault="00F935B1" w:rsidP="0083602C">
            <w:pPr>
              <w:rPr>
                <w:rFonts w:ascii="Verdana" w:hAnsi="Verdana"/>
                <w:sz w:val="20"/>
              </w:rPr>
            </w:pPr>
            <w:r w:rsidRPr="000A4491">
              <w:rPr>
                <w:rFonts w:ascii="Verdana" w:hAnsi="Verdana"/>
                <w:sz w:val="20"/>
              </w:rPr>
              <w:t>Wireless</w:t>
            </w:r>
            <w:r w:rsidRPr="000A4491">
              <w:rPr>
                <w:rFonts w:ascii="Verdana" w:hAnsi="Verdana"/>
                <w:sz w:val="20"/>
              </w:rPr>
              <w:fldChar w:fldCharType="begin"/>
            </w:r>
            <w:r w:rsidRPr="000A4491">
              <w:rPr>
                <w:rFonts w:ascii="Verdana" w:hAnsi="Verdana"/>
                <w:sz w:val="20"/>
              </w:rPr>
              <w:instrText>xe "Wireless"</w:instrText>
            </w:r>
            <w:r w:rsidRPr="000A4491">
              <w:rPr>
                <w:rFonts w:ascii="Verdana" w:hAnsi="Verdana"/>
                <w:sz w:val="20"/>
              </w:rPr>
              <w:fldChar w:fldCharType="end"/>
            </w:r>
            <w:r w:rsidRPr="000A4491">
              <w:rPr>
                <w:rFonts w:ascii="Verdana" w:hAnsi="Verdana"/>
                <w:sz w:val="20"/>
              </w:rPr>
              <w:t xml:space="preserve"> PBX</w:t>
            </w:r>
            <w:r w:rsidRPr="000A4491">
              <w:rPr>
                <w:rFonts w:ascii="Verdana" w:hAnsi="Verdana"/>
                <w:sz w:val="20"/>
              </w:rPr>
              <w:fldChar w:fldCharType="begin"/>
            </w:r>
            <w:r w:rsidRPr="000A4491">
              <w:rPr>
                <w:rFonts w:ascii="Verdana" w:hAnsi="Verdana"/>
                <w:sz w:val="20"/>
              </w:rPr>
              <w:instrText>xe "</w:instrText>
            </w:r>
            <w:r w:rsidRPr="000A4491">
              <w:rPr>
                <w:rFonts w:ascii="Verdana" w:hAnsi="Verdana"/>
                <w:bCs/>
                <w:sz w:val="20"/>
              </w:rPr>
              <w:instrText>PBX</w:instrText>
            </w:r>
            <w:r w:rsidRPr="000A4491">
              <w:rPr>
                <w:rFonts w:ascii="Verdana" w:hAnsi="Verdana"/>
                <w:sz w:val="20"/>
              </w:rPr>
              <w:instrText>"</w:instrText>
            </w:r>
            <w:r w:rsidRPr="000A4491">
              <w:rPr>
                <w:rFonts w:ascii="Verdana" w:hAnsi="Verdana"/>
                <w:sz w:val="20"/>
              </w:rPr>
              <w:fldChar w:fldCharType="end"/>
            </w:r>
            <w:r w:rsidRPr="000A4491">
              <w:rPr>
                <w:rFonts w:ascii="Verdana" w:hAnsi="Verdana"/>
                <w:sz w:val="20"/>
              </w:rPr>
              <w:t xml:space="preserve"> Adjunct </w:t>
            </w:r>
            <w:r w:rsidRPr="000A4491">
              <w:rPr>
                <w:rFonts w:ascii="Verdana" w:hAnsi="Verdana"/>
                <w:sz w:val="20"/>
              </w:rPr>
              <w:br/>
            </w:r>
            <w:r w:rsidRPr="000A4491">
              <w:rPr>
                <w:rFonts w:ascii="Verdana" w:hAnsi="Verdana"/>
                <w:sz w:val="20"/>
              </w:rPr>
              <w:lastRenderedPageBreak/>
              <w:t>(</w:t>
            </w:r>
            <w:hyperlink w:anchor="aaTelephoneComponents" w:history="1">
              <w:r w:rsidRPr="000A4491">
                <w:rPr>
                  <w:rStyle w:val="Hyperlink"/>
                  <w:rFonts w:ascii="Verdana" w:hAnsi="Verdana"/>
                  <w:sz w:val="20"/>
                </w:rPr>
                <w:t>Telephone Components</w:t>
              </w:r>
              <w:r w:rsidRPr="000A4491">
                <w:rPr>
                  <w:rFonts w:ascii="Verdana" w:hAnsi="Verdana"/>
                  <w:sz w:val="20"/>
                </w:rPr>
                <w:fldChar w:fldCharType="begin"/>
              </w:r>
              <w:r w:rsidRPr="000A4491">
                <w:rPr>
                  <w:rFonts w:ascii="Verdana" w:hAnsi="Verdana"/>
                  <w:sz w:val="20"/>
                </w:rPr>
                <w:instrText>xe "Telephone"</w:instrText>
              </w:r>
              <w:r w:rsidRPr="000A4491">
                <w:rPr>
                  <w:rFonts w:ascii="Verdana" w:hAnsi="Verdana"/>
                  <w:sz w:val="20"/>
                </w:rPr>
                <w:fldChar w:fldCharType="end"/>
              </w:r>
            </w:hyperlink>
            <w:r w:rsidRPr="000A4491">
              <w:rPr>
                <w:rFonts w:ascii="Verdana" w:hAnsi="Verdana"/>
                <w:sz w:val="20"/>
              </w:rPr>
              <w:t>)</w:t>
            </w:r>
          </w:p>
        </w:tc>
        <w:tc>
          <w:tcPr>
            <w:tcW w:w="5441" w:type="dxa"/>
          </w:tcPr>
          <w:p w14:paraId="36C47830" w14:textId="77777777" w:rsidR="00F935B1" w:rsidRPr="000A4491" w:rsidRDefault="00F935B1" w:rsidP="0083602C">
            <w:pPr>
              <w:pStyle w:val="NormalWeb"/>
              <w:spacing w:before="0" w:beforeAutospacing="0" w:after="0"/>
              <w:rPr>
                <w:rFonts w:ascii="Verdana" w:hAnsi="Verdana"/>
                <w:sz w:val="20"/>
              </w:rPr>
            </w:pPr>
            <w:r w:rsidRPr="000A4491">
              <w:rPr>
                <w:rFonts w:ascii="Verdana" w:hAnsi="Verdana"/>
                <w:sz w:val="20"/>
              </w:rPr>
              <w:lastRenderedPageBreak/>
              <w:t>A Wireless</w:t>
            </w:r>
            <w:r w:rsidRPr="000A4491">
              <w:rPr>
                <w:rFonts w:ascii="Verdana" w:hAnsi="Verdana"/>
                <w:sz w:val="20"/>
              </w:rPr>
              <w:fldChar w:fldCharType="begin"/>
            </w:r>
            <w:r w:rsidRPr="000A4491">
              <w:rPr>
                <w:rFonts w:ascii="Verdana" w:hAnsi="Verdana"/>
                <w:sz w:val="20"/>
              </w:rPr>
              <w:instrText>xe "Wireless"</w:instrText>
            </w:r>
            <w:r w:rsidRPr="000A4491">
              <w:rPr>
                <w:rFonts w:ascii="Verdana" w:hAnsi="Verdana"/>
                <w:sz w:val="20"/>
              </w:rPr>
              <w:fldChar w:fldCharType="end"/>
            </w:r>
            <w:r w:rsidRPr="000A4491">
              <w:rPr>
                <w:rFonts w:ascii="Verdana" w:hAnsi="Verdana"/>
                <w:sz w:val="20"/>
              </w:rPr>
              <w:t xml:space="preserve"> PBX</w:t>
            </w:r>
            <w:r w:rsidRPr="000A4491">
              <w:rPr>
                <w:rFonts w:ascii="Verdana" w:hAnsi="Verdana"/>
                <w:sz w:val="20"/>
              </w:rPr>
              <w:fldChar w:fldCharType="begin"/>
            </w:r>
            <w:r w:rsidRPr="000A4491">
              <w:rPr>
                <w:rFonts w:ascii="Verdana" w:hAnsi="Verdana"/>
                <w:sz w:val="20"/>
              </w:rPr>
              <w:instrText>xe "</w:instrText>
            </w:r>
            <w:r w:rsidRPr="000A4491">
              <w:rPr>
                <w:rFonts w:ascii="Verdana" w:hAnsi="Verdana"/>
                <w:bCs/>
                <w:sz w:val="20"/>
              </w:rPr>
              <w:instrText>PBX</w:instrText>
            </w:r>
            <w:r w:rsidRPr="000A4491">
              <w:rPr>
                <w:rFonts w:ascii="Verdana" w:hAnsi="Verdana"/>
                <w:sz w:val="20"/>
              </w:rPr>
              <w:instrText>"</w:instrText>
            </w:r>
            <w:r w:rsidRPr="000A4491">
              <w:rPr>
                <w:rFonts w:ascii="Verdana" w:hAnsi="Verdana"/>
                <w:sz w:val="20"/>
              </w:rPr>
              <w:fldChar w:fldCharType="end"/>
            </w:r>
            <w:r w:rsidRPr="000A4491">
              <w:rPr>
                <w:rFonts w:ascii="Verdana" w:hAnsi="Verdana"/>
                <w:sz w:val="20"/>
              </w:rPr>
              <w:t xml:space="preserve"> Adjunct functions in conjunction </w:t>
            </w:r>
            <w:r w:rsidRPr="000A4491">
              <w:rPr>
                <w:rFonts w:ascii="Verdana" w:hAnsi="Verdana"/>
                <w:sz w:val="20"/>
              </w:rPr>
              <w:lastRenderedPageBreak/>
              <w:t>with a Private Branch Exchange</w:t>
            </w:r>
            <w:r w:rsidRPr="000A4491">
              <w:rPr>
                <w:rFonts w:ascii="Verdana" w:hAnsi="Verdana"/>
                <w:sz w:val="20"/>
              </w:rPr>
              <w:fldChar w:fldCharType="begin"/>
            </w:r>
            <w:r w:rsidRPr="000A4491">
              <w:rPr>
                <w:rFonts w:ascii="Verdana" w:hAnsi="Verdana"/>
                <w:sz w:val="20"/>
              </w:rPr>
              <w:instrText>xe "</w:instrText>
            </w:r>
            <w:r w:rsidRPr="000A4491">
              <w:rPr>
                <w:rStyle w:val="Hyperlink"/>
                <w:rFonts w:ascii="Verdana" w:hAnsi="Verdana"/>
                <w:bCs/>
                <w:sz w:val="20"/>
              </w:rPr>
              <w:instrText>Private Branch Exchange</w:instrText>
            </w:r>
            <w:r w:rsidRPr="000A4491">
              <w:rPr>
                <w:rFonts w:ascii="Verdana" w:hAnsi="Verdana"/>
                <w:sz w:val="20"/>
              </w:rPr>
              <w:instrText>"</w:instrText>
            </w:r>
            <w:r w:rsidRPr="000A4491">
              <w:rPr>
                <w:rFonts w:ascii="Verdana" w:hAnsi="Verdana"/>
                <w:sz w:val="20"/>
              </w:rPr>
              <w:fldChar w:fldCharType="end"/>
            </w:r>
            <w:r w:rsidRPr="000A4491">
              <w:rPr>
                <w:rFonts w:ascii="Verdana" w:hAnsi="Verdana"/>
                <w:sz w:val="20"/>
              </w:rPr>
              <w:t xml:space="preserve"> to enable use of cordless telephones on an organization’s premises.</w:t>
            </w:r>
          </w:p>
        </w:tc>
      </w:tr>
      <w:tr w:rsidR="00F935B1" w14:paraId="0AFEFF8B" w14:textId="77777777" w:rsidTr="0083602C">
        <w:trPr>
          <w:tblCellSpacing w:w="15" w:type="dxa"/>
        </w:trPr>
        <w:tc>
          <w:tcPr>
            <w:tcW w:w="3656" w:type="dxa"/>
          </w:tcPr>
          <w:p w14:paraId="00B90283" w14:textId="77777777" w:rsidR="00F935B1" w:rsidRPr="000A4491" w:rsidRDefault="00F935B1" w:rsidP="0083602C">
            <w:pPr>
              <w:rPr>
                <w:rFonts w:ascii="Verdana" w:hAnsi="Verdana"/>
                <w:sz w:val="20"/>
              </w:rPr>
            </w:pPr>
            <w:r w:rsidRPr="000A4491">
              <w:rPr>
                <w:rFonts w:ascii="Verdana" w:hAnsi="Verdana"/>
                <w:sz w:val="20"/>
              </w:rPr>
              <w:lastRenderedPageBreak/>
              <w:t>Wireless Telephone Services</w:t>
            </w:r>
          </w:p>
          <w:p w14:paraId="54A20433" w14:textId="77777777" w:rsidR="00F935B1" w:rsidRPr="000A4491" w:rsidRDefault="00F935B1" w:rsidP="0083602C">
            <w:pPr>
              <w:rPr>
                <w:rFonts w:ascii="Verdana" w:hAnsi="Verdana"/>
                <w:sz w:val="20"/>
              </w:rPr>
            </w:pPr>
            <w:r w:rsidRPr="000A4491">
              <w:rPr>
                <w:rFonts w:ascii="Verdana" w:hAnsi="Verdana"/>
                <w:sz w:val="20"/>
              </w:rPr>
              <w:t>(</w:t>
            </w:r>
            <w:hyperlink w:anchor="aattTelephoneService" w:history="1">
              <w:r w:rsidRPr="000A4491">
                <w:rPr>
                  <w:rStyle w:val="Hyperlink"/>
                  <w:rFonts w:ascii="Verdana" w:hAnsi="Verdana"/>
                  <w:sz w:val="20"/>
                </w:rPr>
                <w:t>Telephone Service</w:t>
              </w:r>
              <w:r w:rsidRPr="000A4491">
                <w:rPr>
                  <w:rFonts w:ascii="Verdana" w:hAnsi="Verdana"/>
                  <w:sz w:val="20"/>
                </w:rPr>
                <w:fldChar w:fldCharType="begin"/>
              </w:r>
              <w:r w:rsidRPr="000A4491">
                <w:rPr>
                  <w:rFonts w:ascii="Verdana" w:hAnsi="Verdana"/>
                  <w:sz w:val="20"/>
                </w:rPr>
                <w:instrText>xe "Telephone Service"</w:instrText>
              </w:r>
              <w:r w:rsidRPr="000A4491">
                <w:rPr>
                  <w:rFonts w:ascii="Verdana" w:hAnsi="Verdana"/>
                  <w:sz w:val="20"/>
                </w:rPr>
                <w:fldChar w:fldCharType="end"/>
              </w:r>
            </w:hyperlink>
            <w:r w:rsidRPr="000A4491">
              <w:rPr>
                <w:rFonts w:ascii="Verdana" w:hAnsi="Verdana"/>
                <w:sz w:val="20"/>
              </w:rPr>
              <w:t>)</w:t>
            </w:r>
          </w:p>
        </w:tc>
        <w:tc>
          <w:tcPr>
            <w:tcW w:w="5441" w:type="dxa"/>
          </w:tcPr>
          <w:p w14:paraId="66880399" w14:textId="77777777" w:rsidR="00F935B1" w:rsidRPr="000A4491" w:rsidRDefault="00F935B1" w:rsidP="0083602C">
            <w:pPr>
              <w:pStyle w:val="NormalWeb"/>
              <w:spacing w:before="0" w:beforeAutospacing="0" w:after="0"/>
              <w:rPr>
                <w:rFonts w:ascii="Verdana" w:hAnsi="Verdana"/>
                <w:sz w:val="20"/>
              </w:rPr>
            </w:pPr>
            <w:r w:rsidRPr="000A4491">
              <w:rPr>
                <w:rFonts w:ascii="Verdana" w:hAnsi="Verdana"/>
                <w:sz w:val="20"/>
              </w:rPr>
              <w:t>Wireless telephone services provide connection to the public switched telephone network similar to traditional phone service, but utilize portable electronic devices and radio frequencies rather than hard-wired handsets.</w:t>
            </w:r>
          </w:p>
        </w:tc>
      </w:tr>
      <w:tr w:rsidR="00F935B1" w14:paraId="3B1C11D6" w14:textId="77777777" w:rsidTr="0083602C">
        <w:trPr>
          <w:tblCellSpacing w:w="15" w:type="dxa"/>
        </w:trPr>
        <w:tc>
          <w:tcPr>
            <w:tcW w:w="3656" w:type="dxa"/>
          </w:tcPr>
          <w:p w14:paraId="739E2DBE" w14:textId="77777777" w:rsidR="00F935B1" w:rsidRPr="000A4491" w:rsidRDefault="00F935B1" w:rsidP="0083602C">
            <w:pPr>
              <w:rPr>
                <w:rFonts w:ascii="Verdana" w:hAnsi="Verdana"/>
                <w:sz w:val="20"/>
              </w:rPr>
            </w:pPr>
            <w:r w:rsidRPr="000A4491">
              <w:rPr>
                <w:rFonts w:ascii="Verdana" w:hAnsi="Verdana"/>
                <w:sz w:val="20"/>
              </w:rPr>
              <w:t>Workstation</w:t>
            </w:r>
            <w:r w:rsidRPr="000A4491">
              <w:rPr>
                <w:rFonts w:ascii="Verdana" w:hAnsi="Verdana"/>
                <w:sz w:val="20"/>
              </w:rPr>
              <w:fldChar w:fldCharType="begin"/>
            </w:r>
            <w:r w:rsidRPr="000A4491">
              <w:rPr>
                <w:rFonts w:ascii="Verdana" w:hAnsi="Verdana"/>
                <w:sz w:val="20"/>
              </w:rPr>
              <w:instrText>xe "Workstations"</w:instrText>
            </w:r>
            <w:r w:rsidRPr="000A4491">
              <w:rPr>
                <w:rFonts w:ascii="Verdana" w:hAnsi="Verdana"/>
                <w:sz w:val="20"/>
              </w:rPr>
              <w:fldChar w:fldCharType="end"/>
            </w:r>
          </w:p>
          <w:p w14:paraId="164DBF59" w14:textId="77777777" w:rsidR="00F935B1" w:rsidRPr="000A4491" w:rsidRDefault="00F935B1" w:rsidP="0083602C">
            <w:pPr>
              <w:rPr>
                <w:rFonts w:ascii="Verdana" w:hAnsi="Verdana"/>
                <w:sz w:val="20"/>
              </w:rPr>
            </w:pPr>
            <w:r w:rsidRPr="000A4491">
              <w:rPr>
                <w:rFonts w:ascii="Verdana" w:hAnsi="Verdana"/>
                <w:sz w:val="20"/>
              </w:rPr>
              <w:t>(</w:t>
            </w:r>
            <w:hyperlink w:anchor="aaIneligibleComponents" w:history="1">
              <w:r w:rsidRPr="000A4491">
                <w:rPr>
                  <w:rStyle w:val="Hyperlink"/>
                  <w:rFonts w:ascii="Verdana" w:hAnsi="Verdana"/>
                  <w:sz w:val="20"/>
                </w:rPr>
                <w:t>Not Eligible for E-rate Funding as Internal Connections Components</w:t>
              </w:r>
            </w:hyperlink>
            <w:r w:rsidRPr="000A4491">
              <w:rPr>
                <w:rFonts w:ascii="Verdana" w:hAnsi="Verdana"/>
                <w:sz w:val="20"/>
              </w:rPr>
              <w:t>)</w:t>
            </w:r>
          </w:p>
        </w:tc>
        <w:tc>
          <w:tcPr>
            <w:tcW w:w="5441" w:type="dxa"/>
          </w:tcPr>
          <w:p w14:paraId="3FB26D68" w14:textId="77777777" w:rsidR="00F935B1" w:rsidRPr="000A4491" w:rsidRDefault="00F935B1" w:rsidP="0083602C">
            <w:pPr>
              <w:pStyle w:val="NormalWeb"/>
              <w:spacing w:before="0" w:beforeAutospacing="0" w:after="0"/>
              <w:rPr>
                <w:rFonts w:ascii="Verdana" w:hAnsi="Verdana"/>
                <w:sz w:val="20"/>
              </w:rPr>
            </w:pPr>
            <w:r w:rsidRPr="000A4491">
              <w:rPr>
                <w:rFonts w:ascii="Verdana" w:hAnsi="Verdana"/>
                <w:sz w:val="20"/>
              </w:rPr>
              <w:t xml:space="preserve">See the entry for </w:t>
            </w:r>
            <w:hyperlink w:anchor="PersonalComputer" w:history="1">
              <w:r w:rsidRPr="000A4491">
                <w:rPr>
                  <w:rStyle w:val="Hyperlink"/>
                  <w:rFonts w:ascii="Verdana" w:hAnsi="Verdana"/>
                  <w:sz w:val="20"/>
                </w:rPr>
                <w:t>Personal Computers/Workstations</w:t>
              </w:r>
              <w:r w:rsidRPr="000A4491">
                <w:rPr>
                  <w:rFonts w:ascii="Verdana" w:hAnsi="Verdana"/>
                  <w:sz w:val="20"/>
                </w:rPr>
                <w:fldChar w:fldCharType="begin"/>
              </w:r>
              <w:r w:rsidRPr="000A4491">
                <w:rPr>
                  <w:rFonts w:ascii="Verdana" w:hAnsi="Verdana"/>
                  <w:sz w:val="20"/>
                </w:rPr>
                <w:instrText>xe "Workstations"</w:instrText>
              </w:r>
              <w:r w:rsidRPr="000A4491">
                <w:rPr>
                  <w:rFonts w:ascii="Verdana" w:hAnsi="Verdana"/>
                  <w:sz w:val="20"/>
                </w:rPr>
                <w:fldChar w:fldCharType="end"/>
              </w:r>
            </w:hyperlink>
            <w:r w:rsidRPr="000A4491">
              <w:rPr>
                <w:rFonts w:ascii="Verdana" w:hAnsi="Verdana"/>
                <w:sz w:val="20"/>
              </w:rPr>
              <w:t xml:space="preserve"> for additional information.</w:t>
            </w:r>
          </w:p>
        </w:tc>
      </w:tr>
    </w:tbl>
    <w:p w14:paraId="3EE51D87" w14:textId="77777777" w:rsidR="00F935B1" w:rsidRDefault="00F935B1" w:rsidP="00F935B1">
      <w:pPr>
        <w:sectPr w:rsidR="00F935B1" w:rsidSect="0083602C">
          <w:footerReference w:type="default" r:id="rId48"/>
          <w:pgSz w:w="12240" w:h="15840"/>
          <w:pgMar w:top="1440" w:right="1800" w:bottom="1440" w:left="1800" w:header="720" w:footer="720" w:gutter="0"/>
          <w:cols w:space="720"/>
          <w:docGrid w:linePitch="360"/>
        </w:sectPr>
      </w:pPr>
    </w:p>
    <w:p w14:paraId="6C234F4D" w14:textId="77777777" w:rsidR="002C75FA" w:rsidRDefault="002C75FA" w:rsidP="00F935B1">
      <w:pPr>
        <w:sectPr w:rsidR="002C75FA" w:rsidSect="002C75FA">
          <w:headerReference w:type="even" r:id="rId49"/>
          <w:type w:val="continuous"/>
          <w:pgSz w:w="12240" w:h="15840"/>
          <w:pgMar w:top="1440" w:right="1800" w:bottom="1440" w:left="1800" w:header="720" w:footer="720" w:gutter="0"/>
          <w:cols w:space="720"/>
          <w:docGrid w:linePitch="360"/>
        </w:sectPr>
      </w:pPr>
    </w:p>
    <w:p w14:paraId="5F1CA44E" w14:textId="77777777" w:rsidR="002C75FA" w:rsidRDefault="002C75FA" w:rsidP="002C75FA">
      <w:pPr>
        <w:tabs>
          <w:tab w:val="num" w:pos="1440"/>
        </w:tabs>
        <w:jc w:val="center"/>
        <w:rPr>
          <w:b/>
        </w:rPr>
      </w:pPr>
      <w:r>
        <w:rPr>
          <w:b/>
        </w:rPr>
        <w:lastRenderedPageBreak/>
        <w:t>APPENDIX C</w:t>
      </w:r>
    </w:p>
    <w:p w14:paraId="68D834BA" w14:textId="77777777" w:rsidR="002C75FA" w:rsidRDefault="002C75FA" w:rsidP="002C75FA">
      <w:pPr>
        <w:tabs>
          <w:tab w:val="num" w:pos="1440"/>
        </w:tabs>
        <w:jc w:val="center"/>
        <w:rPr>
          <w:b/>
        </w:rPr>
      </w:pPr>
    </w:p>
    <w:p w14:paraId="496BAF18" w14:textId="77777777" w:rsidR="002C75FA" w:rsidRDefault="002C75FA" w:rsidP="002C75FA">
      <w:pPr>
        <w:tabs>
          <w:tab w:val="num" w:pos="1440"/>
        </w:tabs>
        <w:jc w:val="center"/>
        <w:rPr>
          <w:b/>
          <w:bCs/>
        </w:rPr>
      </w:pPr>
      <w:r w:rsidRPr="00997628">
        <w:rPr>
          <w:b/>
          <w:bCs/>
        </w:rPr>
        <w:t xml:space="preserve">Funding Requested </w:t>
      </w:r>
      <w:r>
        <w:rPr>
          <w:b/>
          <w:bCs/>
        </w:rPr>
        <w:t>vs. Available and Disbursed Chart</w:t>
      </w:r>
    </w:p>
    <w:p w14:paraId="4328F84C" w14:textId="77777777" w:rsidR="002C75FA" w:rsidRDefault="002C75FA" w:rsidP="002C75FA">
      <w:pPr>
        <w:tabs>
          <w:tab w:val="num" w:pos="1440"/>
        </w:tabs>
        <w:jc w:val="center"/>
        <w:rPr>
          <w:b/>
        </w:rPr>
      </w:pPr>
    </w:p>
    <w:p w14:paraId="15CA4784" w14:textId="465F31A4" w:rsidR="002C75FA" w:rsidRDefault="00E534A4" w:rsidP="002C75FA">
      <w:pPr>
        <w:tabs>
          <w:tab w:val="num" w:pos="1440"/>
        </w:tabs>
        <w:jc w:val="center"/>
        <w:rPr>
          <w:b/>
        </w:rPr>
      </w:pPr>
      <w:r w:rsidRPr="00C02A55">
        <w:rPr>
          <w:noProof/>
        </w:rPr>
        <mc:AlternateContent>
          <mc:Choice Requires="wps">
            <w:drawing>
              <wp:anchor distT="0" distB="0" distL="114300" distR="114300" simplePos="0" relativeHeight="251662336" behindDoc="0" locked="0" layoutInCell="1" allowOverlap="1" wp14:anchorId="7FFC705A" wp14:editId="4D004C1A">
                <wp:simplePos x="0" y="0"/>
                <wp:positionH relativeFrom="column">
                  <wp:posOffset>41275</wp:posOffset>
                </wp:positionH>
                <wp:positionV relativeFrom="paragraph">
                  <wp:posOffset>40005</wp:posOffset>
                </wp:positionV>
                <wp:extent cx="5541645" cy="667385"/>
                <wp:effectExtent l="0" t="0" r="0" b="18415"/>
                <wp:wrapNone/>
                <wp:docPr id="4" name="Title 1"/>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gray">
                        <a:xfrm>
                          <a:off x="0" y="0"/>
                          <a:ext cx="5541645" cy="667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A23BF2" w14:textId="7F66C4EE" w:rsidR="00434A8B" w:rsidRPr="00C02A55" w:rsidRDefault="00434A8B" w:rsidP="00C02A55">
                            <w:pPr>
                              <w:pStyle w:val="NormalWeb"/>
                              <w:kinsoku w:val="0"/>
                              <w:overflowPunct w:val="0"/>
                              <w:spacing w:before="0" w:beforeAutospacing="0" w:after="0"/>
                              <w:jc w:val="center"/>
                              <w:textAlignment w:val="baseline"/>
                              <w:rPr>
                                <w:sz w:val="10"/>
                              </w:rPr>
                            </w:pPr>
                            <w:r>
                              <w:rPr>
                                <w:rFonts w:asciiTheme="majorHAnsi" w:eastAsia="MS PGothic" w:hAnsi="Cambria" w:cs="MS PGothic"/>
                                <w:b/>
                                <w:bCs/>
                                <w:color w:val="000066"/>
                                <w:sz w:val="36"/>
                                <w:szCs w:val="48"/>
                              </w:rPr>
                              <w:t xml:space="preserve">E-rate </w:t>
                            </w:r>
                            <w:r w:rsidRPr="00C02A55">
                              <w:rPr>
                                <w:rFonts w:asciiTheme="majorHAnsi" w:eastAsia="MS PGothic" w:hAnsi="Cambria" w:cs="MS PGothic"/>
                                <w:b/>
                                <w:bCs/>
                                <w:color w:val="000066"/>
                                <w:sz w:val="36"/>
                                <w:szCs w:val="48"/>
                              </w:rPr>
                              <w:t>Funding Requested vs. Available and Disbursed (FY 1998 - 2011)*</w:t>
                            </w:r>
                          </w:p>
                        </w:txbxContent>
                      </wps:txbx>
                      <wps:bodyPr vert="horz" wrap="square" lIns="0" tIns="0" rIns="72000" bIns="0" numCol="1" anchor="ctr"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Title 1" o:spid="_x0000_s1026" style="position:absolute;left:0;text-align:left;margin-left:3.25pt;margin-top:3.15pt;width:436.35pt;height:52.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bwmode="graySca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" filled="f" stroked="f">
                <v:path arrowok="t"/>
                <o:lock v:ext="edit" grouping="t"/>
                <v:textbox inset="0,0,2mm,0">
                  <w:txbxContent>
                    <w:p w14:paraId="18A23BF2" w14:textId="7F66C4EE" w:rsidR="00434A8B" w:rsidRPr="00C02A55" w:rsidRDefault="00434A8B" w:rsidP="00C02A55">
                      <w:pPr>
                        <w:pStyle w:val="NormalWeb"/>
                        <w:kinsoku w:val="0"/>
                        <w:overflowPunct w:val="0"/>
                        <w:spacing w:before="0" w:beforeAutospacing="0" w:after="0"/>
                        <w:jc w:val="center"/>
                        <w:textAlignment w:val="baseline"/>
                        <w:rPr>
                          <w:sz w:val="10"/>
                        </w:rPr>
                      </w:pPr>
                      <w:r>
                        <w:rPr>
                          <w:rFonts w:asciiTheme="majorHAnsi" w:eastAsia="MS PGothic" w:hAnsi="Cambria" w:cs="MS PGothic"/>
                          <w:b/>
                          <w:bCs/>
                          <w:color w:val="000066"/>
                          <w:sz w:val="36"/>
                          <w:szCs w:val="48"/>
                        </w:rPr>
                        <w:t xml:space="preserve">E-rate </w:t>
                      </w:r>
                      <w:r w:rsidRPr="00C02A55">
                        <w:rPr>
                          <w:rFonts w:asciiTheme="majorHAnsi" w:eastAsia="MS PGothic" w:hAnsi="Cambria" w:cs="MS PGothic"/>
                          <w:b/>
                          <w:bCs/>
                          <w:color w:val="000066"/>
                          <w:sz w:val="36"/>
                          <w:szCs w:val="48"/>
                        </w:rPr>
                        <w:t>Funding Requested vs. Available and Disbursed (FY 1998 - 2011)*</w:t>
                      </w:r>
                    </w:p>
                  </w:txbxContent>
                </v:textbox>
              </v:rect>
            </w:pict>
          </mc:Fallback>
        </mc:AlternateContent>
      </w:r>
    </w:p>
    <w:p w14:paraId="76AA9543" w14:textId="31236F7C" w:rsidR="00F935B1" w:rsidRDefault="00F935B1" w:rsidP="00F935B1"/>
    <w:p w14:paraId="0C264682" w14:textId="6E22C151" w:rsidR="002C75FA" w:rsidRDefault="002C75FA" w:rsidP="00F935B1"/>
    <w:p w14:paraId="336B9B81" w14:textId="77777777" w:rsidR="002C75FA" w:rsidRDefault="002C75FA" w:rsidP="00F935B1"/>
    <w:p w14:paraId="42397922" w14:textId="77777777" w:rsidR="002C75FA" w:rsidRDefault="002C75FA" w:rsidP="00F935B1"/>
    <w:p w14:paraId="4DAE33BF" w14:textId="49AE26DE" w:rsidR="002C75FA" w:rsidRDefault="00DF03CA" w:rsidP="00F935B1">
      <w:r>
        <w:rPr>
          <w:noProof/>
        </w:rPr>
        <mc:AlternateContent>
          <mc:Choice Requires="wps">
            <w:drawing>
              <wp:anchor distT="0" distB="0" distL="114300" distR="114300" simplePos="0" relativeHeight="251663360" behindDoc="0" locked="0" layoutInCell="1" allowOverlap="1" wp14:anchorId="26D08336" wp14:editId="12683150">
                <wp:simplePos x="0" y="0"/>
                <wp:positionH relativeFrom="column">
                  <wp:posOffset>25841</wp:posOffset>
                </wp:positionH>
                <wp:positionV relativeFrom="paragraph">
                  <wp:posOffset>5936</wp:posOffset>
                </wp:positionV>
                <wp:extent cx="5637475" cy="118745"/>
                <wp:effectExtent l="0" t="0" r="20955" b="14605"/>
                <wp:wrapNone/>
                <wp:docPr id="6" name="Rectangle 6"/>
                <wp:cNvGraphicFramePr/>
                <a:graphic xmlns:a="http://schemas.openxmlformats.org/drawingml/2006/main">
                  <a:graphicData uri="http://schemas.microsoft.com/office/word/2010/wordprocessingShape">
                    <wps:wsp>
                      <wps:cNvSpPr/>
                      <wps:spPr>
                        <a:xfrm>
                          <a:off x="0" y="0"/>
                          <a:ext cx="5637475" cy="11874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 o:spid="_x0000_s1026" style="position:absolute;margin-left:2.05pt;margin-top:.45pt;width:443.9pt;height:9.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" fillcolor="#4f81bd [3204]" strokecolor="#243f60 [1604]" strokeweight="2pt"/>
            </w:pict>
          </mc:Fallback>
        </mc:AlternateContent>
      </w:r>
    </w:p>
    <w:p w14:paraId="2F040925" w14:textId="7EBA105E" w:rsidR="002C75FA" w:rsidRDefault="00E534A4" w:rsidP="00F935B1">
      <w:r w:rsidRPr="004F322C">
        <w:rPr>
          <w:noProof/>
        </w:rPr>
        <mc:AlternateContent>
          <mc:Choice Requires="wps">
            <w:drawing>
              <wp:anchor distT="0" distB="0" distL="114300" distR="114300" simplePos="0" relativeHeight="251664384" behindDoc="0" locked="0" layoutInCell="1" allowOverlap="1" wp14:anchorId="13C64B76" wp14:editId="4AA2157F">
                <wp:simplePos x="0" y="0"/>
                <wp:positionH relativeFrom="column">
                  <wp:posOffset>1988</wp:posOffset>
                </wp:positionH>
                <wp:positionV relativeFrom="paragraph">
                  <wp:posOffset>5716601</wp:posOffset>
                </wp:positionV>
                <wp:extent cx="5661329" cy="1097280"/>
                <wp:effectExtent l="0" t="0" r="15875" b="26670"/>
                <wp:wrapNone/>
                <wp:docPr id="8" name="Text Box 8"/>
                <wp:cNvGraphicFramePr/>
                <a:graphic xmlns:a="http://schemas.openxmlformats.org/drawingml/2006/main">
                  <a:graphicData uri="http://schemas.microsoft.com/office/word/2010/wordprocessingShape">
                    <wps:wsp>
                      <wps:cNvSpPr txBox="1"/>
                      <wps:spPr>
                        <a:xfrm>
                          <a:off x="0" y="0"/>
                          <a:ext cx="5661329" cy="10972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F5A7ED2" w14:textId="73FFC785" w:rsidR="00434A8B" w:rsidRPr="00E534A4" w:rsidRDefault="00434A8B" w:rsidP="00E534A4">
                            <w:r w:rsidRPr="00E534A4">
                              <w:t>*Fund</w:t>
                            </w:r>
                            <w:r>
                              <w:t>ing for the most recent funding</w:t>
                            </w:r>
                            <w:r w:rsidRPr="00E534A4">
                              <w:t xml:space="preserve"> years is not fully disbursed yet</w:t>
                            </w:r>
                            <w:r>
                              <w:t>.</w:t>
                            </w:r>
                          </w:p>
                          <w:p w14:paraId="312E2743" w14:textId="36961FD2" w:rsidR="00434A8B" w:rsidRPr="00E534A4" w:rsidRDefault="00434A8B">
                            <w:r>
                              <w:t xml:space="preserve">**The Wireline Competition Bureau directed USAC to fund all eligible requests for E-rate support for Funding Year 2010.  </w:t>
                            </w:r>
                            <w:r>
                              <w:rPr>
                                <w:i/>
                              </w:rPr>
                              <w:t>See</w:t>
                            </w:r>
                            <w:r>
                              <w:t xml:space="preserve"> </w:t>
                            </w:r>
                            <w:r w:rsidRPr="00C2088B">
                              <w:rPr>
                                <w:i/>
                              </w:rPr>
                              <w:t>Funds For Learning, LLC Petition to Reject the Administrator’s Discount Threshold Recommendation for Funding Year 2010</w:t>
                            </w:r>
                            <w:r w:rsidRPr="00C2088B">
                              <w:t xml:space="preserve">, </w:t>
                            </w:r>
                            <w:r w:rsidRPr="00C2088B">
                              <w:rPr>
                                <w:i/>
                              </w:rPr>
                              <w:t>Schools and Libraries Universal Service Support Program</w:t>
                            </w:r>
                            <w:r w:rsidRPr="00C2088B">
                              <w:t>, CC Docket No. 02-6, Order, 26 FCC Rcd 11145, 11148-49, para</w:t>
                            </w:r>
                            <w:r>
                              <w:t>. 9 (Wireline Comp. Bur. 2011).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margin-left:.15pt;margin-top:450.15pt;width:445.75pt;height:86.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" fillcolor="white [3201]" strokeweight=".5pt">
                <v:textbox>
                  <w:txbxContent>
                    <w:p w14:paraId="1F5A7ED2" w14:textId="73FFC785" w:rsidR="00434A8B" w:rsidRPr="00E534A4" w:rsidRDefault="00434A8B" w:rsidP="00E534A4">
                      <w:r w:rsidRPr="00E534A4">
                        <w:t>*Fund</w:t>
                      </w:r>
                      <w:r>
                        <w:t>ing for the most recent funding</w:t>
                      </w:r>
                      <w:r w:rsidRPr="00E534A4">
                        <w:t xml:space="preserve"> years is not fully disbursed yet</w:t>
                      </w:r>
                      <w:r>
                        <w:t>.</w:t>
                      </w:r>
                    </w:p>
                    <w:p w14:paraId="312E2743" w14:textId="36961FD2" w:rsidR="00434A8B" w:rsidRPr="00E534A4" w:rsidRDefault="00434A8B">
                      <w:r>
                        <w:t xml:space="preserve">**The Wireline Competition Bureau directed USAC to fund all eligible requests for E-rate support for Funding Year 2010.  </w:t>
                      </w:r>
                      <w:r>
                        <w:rPr>
                          <w:i/>
                        </w:rPr>
                        <w:t>See</w:t>
                      </w:r>
                      <w:r>
                        <w:t xml:space="preserve"> </w:t>
                      </w:r>
                      <w:r w:rsidRPr="00C2088B">
                        <w:rPr>
                          <w:i/>
                        </w:rPr>
                        <w:t>Funds For Learning, LLC Petition to Reject the Administrator’s Discount Threshold Recommendation for Funding Year 2010</w:t>
                      </w:r>
                      <w:r w:rsidRPr="00C2088B">
                        <w:t xml:space="preserve">, </w:t>
                      </w:r>
                      <w:r w:rsidRPr="00C2088B">
                        <w:rPr>
                          <w:i/>
                        </w:rPr>
                        <w:t>Schools and Libraries Universal Service Support Program</w:t>
                      </w:r>
                      <w:r w:rsidRPr="00C2088B">
                        <w:t>, CC Docket No. 02-6, Order, 26 FCC Rcd 11145, 11148-49, para</w:t>
                      </w:r>
                      <w:r>
                        <w:t>. 9 (Wireline Comp. Bur. 2011).</w:t>
                      </w:r>
                    </w:p>
                  </w:txbxContent>
                </v:textbox>
              </v:shape>
            </w:pict>
          </mc:Fallback>
        </mc:AlternateContent>
      </w:r>
      <w:r w:rsidR="00C02A55" w:rsidRPr="00C02A55">
        <w:rPr>
          <w:noProof/>
        </w:rPr>
        <w:drawing>
          <wp:inline distT="0" distB="0" distL="0" distR="0" wp14:anchorId="01F3F7B3" wp14:editId="07C7A444">
            <wp:extent cx="5661329" cy="5716988"/>
            <wp:effectExtent l="0" t="0" r="15875" b="1714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14:paraId="48DF935A" w14:textId="77777777" w:rsidR="002C75FA" w:rsidRDefault="002C75FA" w:rsidP="00F935B1"/>
    <w:p w14:paraId="651041F5" w14:textId="296E1220" w:rsidR="002C75FA" w:rsidRDefault="002C75FA" w:rsidP="00F935B1"/>
    <w:p w14:paraId="70FFD731" w14:textId="77777777" w:rsidR="002C75FA" w:rsidRDefault="002C75FA" w:rsidP="00F935B1">
      <w:pPr>
        <w:sectPr w:rsidR="002C75FA" w:rsidSect="002C75FA">
          <w:pgSz w:w="12240" w:h="15840"/>
          <w:pgMar w:top="1440" w:right="1800" w:bottom="1440" w:left="1800" w:header="720" w:footer="720" w:gutter="0"/>
          <w:cols w:space="720"/>
          <w:docGrid w:linePitch="360"/>
        </w:sectPr>
      </w:pPr>
    </w:p>
    <w:p w14:paraId="44EBAC63" w14:textId="77777777" w:rsidR="002C75FA" w:rsidRDefault="002C75FA" w:rsidP="002C75FA">
      <w:pPr>
        <w:tabs>
          <w:tab w:val="num" w:pos="1440"/>
        </w:tabs>
        <w:jc w:val="center"/>
        <w:rPr>
          <w:b/>
        </w:rPr>
      </w:pPr>
      <w:r>
        <w:rPr>
          <w:b/>
        </w:rPr>
        <w:lastRenderedPageBreak/>
        <w:t>APPENDIX D</w:t>
      </w:r>
    </w:p>
    <w:p w14:paraId="2041309A" w14:textId="77777777" w:rsidR="002C75FA" w:rsidRPr="00C35EB8" w:rsidRDefault="002C75FA" w:rsidP="002C75FA">
      <w:pPr>
        <w:tabs>
          <w:tab w:val="num" w:pos="1440"/>
        </w:tabs>
      </w:pPr>
    </w:p>
    <w:p w14:paraId="7FF2473A" w14:textId="77777777" w:rsidR="002C75FA" w:rsidRDefault="002C75FA" w:rsidP="002C75FA">
      <w:pPr>
        <w:pStyle w:val="ParaNum"/>
        <w:numPr>
          <w:ilvl w:val="0"/>
          <w:numId w:val="0"/>
        </w:numPr>
        <w:jc w:val="center"/>
        <w:rPr>
          <w:b/>
        </w:rPr>
      </w:pPr>
      <w:r w:rsidRPr="002177DA">
        <w:rPr>
          <w:b/>
        </w:rPr>
        <w:t>Initial Regulatory Flexibility Analysis</w:t>
      </w:r>
    </w:p>
    <w:p w14:paraId="0FCFD365" w14:textId="77777777" w:rsidR="002C75FA" w:rsidRPr="002177DA" w:rsidRDefault="002C75FA" w:rsidP="002C75FA">
      <w:pPr>
        <w:pStyle w:val="ParaNum"/>
        <w:numPr>
          <w:ilvl w:val="0"/>
          <w:numId w:val="0"/>
        </w:numPr>
        <w:jc w:val="center"/>
        <w:rPr>
          <w:b/>
        </w:rPr>
      </w:pPr>
    </w:p>
    <w:p w14:paraId="0CA3809F" w14:textId="77777777" w:rsidR="002C75FA" w:rsidRDefault="002C75FA" w:rsidP="002C75FA">
      <w:pPr>
        <w:pStyle w:val="ParaNum"/>
        <w:numPr>
          <w:ilvl w:val="0"/>
          <w:numId w:val="45"/>
        </w:numPr>
        <w:tabs>
          <w:tab w:val="clear" w:pos="1080"/>
        </w:tabs>
      </w:pPr>
      <w:r>
        <w:t>As required by the Regulatory Flexibility Act of 1980, as amended (RFA),</w:t>
      </w:r>
      <w:r>
        <w:rPr>
          <w:rStyle w:val="FootnoteReference"/>
        </w:rPr>
        <w:footnoteReference w:id="468"/>
      </w:r>
      <w:r>
        <w:t xml:space="preserve"> the Commission has prepared this Initial Regulatory Flexibility Analysis (IRFA) of the possible significant economic impact on a substantial number of small entities by the policies and rules proposed in this Notice of Proposed Rulemaking (NPRM).  Written comments are requested on this IRFA.  Comments must be identified as responses to the IRFA and must be filed by the deadlines for comments on the NPRM.  The Commission will send a copy of the NPRM, including this IRFA, to the Chief Counsel for Advocacy of the Small Business Administration (SBA).</w:t>
      </w:r>
      <w:r>
        <w:rPr>
          <w:rStyle w:val="FootnoteReference"/>
        </w:rPr>
        <w:footnoteReference w:id="469"/>
      </w:r>
      <w:r>
        <w:t xml:space="preserve">   In addition, the NPRM and IRFA (or summaries thereof) will be published in the Federal Register.</w:t>
      </w:r>
      <w:r>
        <w:rPr>
          <w:rStyle w:val="FootnoteReference"/>
        </w:rPr>
        <w:footnoteReference w:id="470"/>
      </w:r>
      <w:r>
        <w:t xml:space="preserve">  </w:t>
      </w:r>
    </w:p>
    <w:p w14:paraId="778A13AC" w14:textId="77777777" w:rsidR="002C75FA" w:rsidRDefault="002C75FA" w:rsidP="002C75FA">
      <w:pPr>
        <w:pStyle w:val="ParaNum"/>
        <w:numPr>
          <w:ilvl w:val="0"/>
          <w:numId w:val="45"/>
        </w:numPr>
        <w:tabs>
          <w:tab w:val="clear" w:pos="1080"/>
        </w:tabs>
      </w:pPr>
      <w:r>
        <w:t>The Commission is required by section 254 of the Communications Act of 1934, as amended, to promulgate rules to implement the universal service provisions of section 254.</w:t>
      </w:r>
      <w:r>
        <w:rPr>
          <w:rStyle w:val="FootnoteReference"/>
        </w:rPr>
        <w:footnoteReference w:id="471"/>
      </w:r>
      <w:r>
        <w:t xml:space="preserve">   On May 8, 1997, the Commission adopted rules to reform its system of universal service support mechanisms so that universal service is preserved and advanced as markets move toward competition.</w:t>
      </w:r>
      <w:r>
        <w:rPr>
          <w:rStyle w:val="FootnoteReference"/>
        </w:rPr>
        <w:footnoteReference w:id="472"/>
      </w:r>
      <w:r>
        <w:t xml:space="preserve">   Specifically, under the schools and libraries universal service support mechanism, also known as the E-rate program, eligible schools, libraries, and consortia that include eligible schools and libraries may receive discounts for eligible telecommunications services, Internet access, and internal connections.</w:t>
      </w:r>
      <w:r>
        <w:rPr>
          <w:rStyle w:val="FootnoteReference"/>
        </w:rPr>
        <w:footnoteReference w:id="473"/>
      </w:r>
      <w:r>
        <w:t xml:space="preserve">     </w:t>
      </w:r>
    </w:p>
    <w:p w14:paraId="0721AB5E" w14:textId="77777777" w:rsidR="002C75FA" w:rsidRPr="002177DA" w:rsidRDefault="002C75FA" w:rsidP="002C75FA">
      <w:pPr>
        <w:pStyle w:val="Heading2"/>
      </w:pPr>
      <w:bookmarkStart w:id="3346" w:name="_Toc360208943"/>
      <w:bookmarkStart w:id="3347" w:name="_Toc360212076"/>
      <w:bookmarkStart w:id="3348" w:name="_Toc361663148"/>
      <w:bookmarkStart w:id="3349" w:name="_Toc361857724"/>
      <w:bookmarkStart w:id="3350" w:name="_Toc361918816"/>
      <w:bookmarkStart w:id="3351" w:name="_Toc361924297"/>
      <w:bookmarkStart w:id="3352" w:name="_Toc362272591"/>
      <w:r w:rsidRPr="002177DA">
        <w:t>Need for, and Objectives of, the Proposed Rules</w:t>
      </w:r>
      <w:bookmarkEnd w:id="3346"/>
      <w:bookmarkEnd w:id="3347"/>
      <w:bookmarkEnd w:id="3348"/>
      <w:bookmarkEnd w:id="3349"/>
      <w:bookmarkEnd w:id="3350"/>
      <w:bookmarkEnd w:id="3351"/>
      <w:bookmarkEnd w:id="3352"/>
    </w:p>
    <w:p w14:paraId="31B7EE9F" w14:textId="77777777" w:rsidR="002C75FA" w:rsidRDefault="002C75FA" w:rsidP="002C75FA">
      <w:pPr>
        <w:pStyle w:val="ParaNum"/>
        <w:numPr>
          <w:ilvl w:val="0"/>
          <w:numId w:val="45"/>
        </w:numPr>
        <w:tabs>
          <w:tab w:val="clear" w:pos="1080"/>
        </w:tabs>
      </w:pPr>
      <w:r>
        <w:t xml:space="preserve">This NPRM is a part of the Commission’s continual efforts to improve the E-rate program.  In it, we propose specific goals and </w:t>
      </w:r>
      <w:r w:rsidRPr="00003833">
        <w:t xml:space="preserve">measures </w:t>
      </w:r>
      <w:r w:rsidRPr="00AB6079">
        <w:t>by (1) ensuring that schools and libraries have affordable access to 21</w:t>
      </w:r>
      <w:r w:rsidRPr="00AB6079">
        <w:rPr>
          <w:vertAlign w:val="superscript"/>
        </w:rPr>
        <w:t>st</w:t>
      </w:r>
      <w:r w:rsidRPr="00AB6079">
        <w:t xml:space="preserve"> </w:t>
      </w:r>
      <w:r>
        <w:t>Century broadband</w:t>
      </w:r>
      <w:r w:rsidRPr="00AB6079">
        <w:t xml:space="preserve"> that supports digital learning, (2) maximizing the </w:t>
      </w:r>
      <w:r>
        <w:t>cost-effectiveness</w:t>
      </w:r>
      <w:r w:rsidRPr="00AB6079">
        <w:t xml:space="preserve"> of E-rate funds and (3)</w:t>
      </w:r>
      <w:r>
        <w:t xml:space="preserve"> streamline the administration </w:t>
      </w:r>
      <w:r w:rsidRPr="00AB6079">
        <w:t>of the E-</w:t>
      </w:r>
      <w:r w:rsidRPr="00AB6079">
        <w:lastRenderedPageBreak/>
        <w:t>rate program</w:t>
      </w:r>
      <w:r>
        <w:t xml:space="preserve">.  </w:t>
      </w:r>
      <w:r w:rsidRPr="00003833">
        <w:t xml:space="preserve">The rules we propose in this NPRM </w:t>
      </w:r>
      <w:r>
        <w:t xml:space="preserve">are directed at enabling us to meet these goals.    </w:t>
      </w:r>
    </w:p>
    <w:p w14:paraId="784A0973" w14:textId="77777777" w:rsidR="002C75FA" w:rsidRPr="00877A13" w:rsidRDefault="002C75FA" w:rsidP="002C75FA">
      <w:pPr>
        <w:pStyle w:val="Heading2"/>
      </w:pPr>
      <w:bookmarkStart w:id="3353" w:name="_Toc360208944"/>
      <w:bookmarkStart w:id="3354" w:name="_Toc360212077"/>
      <w:bookmarkStart w:id="3355" w:name="_Toc361663149"/>
      <w:bookmarkStart w:id="3356" w:name="_Toc361857725"/>
      <w:bookmarkStart w:id="3357" w:name="_Toc361918817"/>
      <w:bookmarkStart w:id="3358" w:name="_Toc361924298"/>
      <w:bookmarkStart w:id="3359" w:name="_Toc362272592"/>
      <w:r w:rsidRPr="00877A13">
        <w:t>Legal Basis</w:t>
      </w:r>
      <w:bookmarkEnd w:id="3353"/>
      <w:bookmarkEnd w:id="3354"/>
      <w:bookmarkEnd w:id="3355"/>
      <w:bookmarkEnd w:id="3356"/>
      <w:bookmarkEnd w:id="3357"/>
      <w:bookmarkEnd w:id="3358"/>
      <w:bookmarkEnd w:id="3359"/>
    </w:p>
    <w:p w14:paraId="4B5969C0" w14:textId="77777777" w:rsidR="002C75FA" w:rsidRDefault="002C75FA" w:rsidP="002C75FA">
      <w:pPr>
        <w:pStyle w:val="ParaNum"/>
        <w:numPr>
          <w:ilvl w:val="0"/>
          <w:numId w:val="45"/>
        </w:numPr>
        <w:tabs>
          <w:tab w:val="clear" w:pos="1080"/>
        </w:tabs>
      </w:pPr>
      <w:r>
        <w:t>The legal basis for the NPRM is contained in sections 1 through 4, 201-205, 254, 303(r), and 403 of the Communications Act of 1934, as amended by the Telecommunications Act of 1996, 47 U.S.C. §§ 151 through 154, 201 through 205, 254, 303(r), and 403.</w:t>
      </w:r>
    </w:p>
    <w:p w14:paraId="403AD706" w14:textId="77777777" w:rsidR="002C75FA" w:rsidRPr="00877A13" w:rsidRDefault="002C75FA" w:rsidP="002C75FA">
      <w:pPr>
        <w:pStyle w:val="Heading2"/>
      </w:pPr>
      <w:bookmarkStart w:id="3360" w:name="_Toc360208945"/>
      <w:bookmarkStart w:id="3361" w:name="_Toc360212078"/>
      <w:bookmarkStart w:id="3362" w:name="_Toc361663150"/>
      <w:bookmarkStart w:id="3363" w:name="_Toc361857726"/>
      <w:bookmarkStart w:id="3364" w:name="_Toc361918818"/>
      <w:bookmarkStart w:id="3365" w:name="_Toc361924299"/>
      <w:bookmarkStart w:id="3366" w:name="_Toc362272593"/>
      <w:r w:rsidRPr="00877A13">
        <w:t>Description and Estimate of the Number of Small Entities to Which the Proposed Rules Will Apply</w:t>
      </w:r>
      <w:bookmarkEnd w:id="3360"/>
      <w:bookmarkEnd w:id="3361"/>
      <w:bookmarkEnd w:id="3362"/>
      <w:bookmarkEnd w:id="3363"/>
      <w:bookmarkEnd w:id="3364"/>
      <w:bookmarkEnd w:id="3365"/>
      <w:bookmarkEnd w:id="3366"/>
    </w:p>
    <w:p w14:paraId="2C57C6B7" w14:textId="77777777" w:rsidR="002C75FA" w:rsidRDefault="002C75FA" w:rsidP="002C75FA">
      <w:pPr>
        <w:pStyle w:val="ParaNum"/>
        <w:numPr>
          <w:ilvl w:val="0"/>
          <w:numId w:val="45"/>
        </w:numPr>
        <w:tabs>
          <w:tab w:val="clear" w:pos="1080"/>
        </w:tabs>
      </w:pPr>
      <w:r>
        <w:t>The RFA directs agencies to provide a description of and, where feasible, an estimate of the number of small entities that may be affected by the proposed rules, if adopted.</w:t>
      </w:r>
      <w:r>
        <w:rPr>
          <w:rStyle w:val="FootnoteReference"/>
        </w:rPr>
        <w:footnoteReference w:id="474"/>
      </w:r>
      <w:r>
        <w:t xml:space="preserve">   The RFA generally defines the term “small entity” as having the same meaning as the terms “small business,” “small organization,” and “small governmental jurisdiction.”</w:t>
      </w:r>
      <w:r>
        <w:rPr>
          <w:rStyle w:val="FootnoteReference"/>
        </w:rPr>
        <w:footnoteReference w:id="475"/>
      </w:r>
      <w:r>
        <w:t xml:space="preserve">   In addition, the term “small business” has the same meaning as the term “small business concern” under the Small Business Act.</w:t>
      </w:r>
      <w:r>
        <w:rPr>
          <w:rStyle w:val="FootnoteReference"/>
        </w:rPr>
        <w:footnoteReference w:id="476"/>
      </w:r>
      <w:r>
        <w:t xml:space="preserve">   A small business concern is one that:  (1) is independently owned and operated; (2) is not dominant in its field of operation; and (3) satisfies any additional criteria established by the Small Business Administration (SBA).</w:t>
      </w:r>
      <w:r>
        <w:rPr>
          <w:rStyle w:val="FootnoteReference"/>
        </w:rPr>
        <w:footnoteReference w:id="477"/>
      </w:r>
      <w:r>
        <w:t xml:space="preserve">   Nationwide, there are a total of approximately 27.5 million small businesses, according to the SBA.</w:t>
      </w:r>
      <w:r>
        <w:rPr>
          <w:rStyle w:val="FootnoteReference"/>
        </w:rPr>
        <w:footnoteReference w:id="478"/>
      </w:r>
      <w:r>
        <w:t xml:space="preserve">   A “small organization” is generally “any not-for-profit enterprise which is independently owned and operated and is not dominant in its field.”</w:t>
      </w:r>
      <w:r>
        <w:rPr>
          <w:rStyle w:val="FootnoteReference"/>
        </w:rPr>
        <w:footnoteReference w:id="479"/>
      </w:r>
      <w:r>
        <w:t xml:space="preserve">  </w:t>
      </w:r>
    </w:p>
    <w:p w14:paraId="3E6F2389" w14:textId="77777777" w:rsidR="002C75FA" w:rsidRDefault="002C75FA" w:rsidP="002C75FA">
      <w:pPr>
        <w:pStyle w:val="ParaNum"/>
        <w:numPr>
          <w:ilvl w:val="0"/>
          <w:numId w:val="45"/>
        </w:numPr>
        <w:tabs>
          <w:tab w:val="clear" w:pos="1080"/>
        </w:tabs>
      </w:pPr>
      <w:r>
        <w:t xml:space="preserve"> Nationwide, as of 2002, there were approximately 1.6 million small organizations.</w:t>
      </w:r>
      <w:r>
        <w:rPr>
          <w:rStyle w:val="FootnoteReference"/>
        </w:rPr>
        <w:footnoteReference w:id="480"/>
      </w:r>
      <w:r>
        <w:t xml:space="preserve">   The term “small governmental jurisdiction” is defined generally as “governments of cities, towns, townships, villages, school districts, or special districts, with a population of less than fifty thousand.”</w:t>
      </w:r>
      <w:r>
        <w:rPr>
          <w:rStyle w:val="FootnoteReference"/>
        </w:rPr>
        <w:footnoteReference w:id="481"/>
      </w:r>
      <w:r>
        <w:t xml:space="preserve">   </w:t>
      </w:r>
      <w:r>
        <w:lastRenderedPageBreak/>
        <w:t>Census Bureau data for 2002 indicate that there were 87,525 local governmental jurisdictions in the United States.</w:t>
      </w:r>
      <w:r>
        <w:rPr>
          <w:rStyle w:val="FootnoteReference"/>
        </w:rPr>
        <w:footnoteReference w:id="482"/>
      </w:r>
      <w:r>
        <w:t xml:space="preserve">   We estimate that, of this total, 84,377 entities were “small governmental jurisdictions.”</w:t>
      </w:r>
      <w:r>
        <w:rPr>
          <w:rStyle w:val="FootnoteReference"/>
        </w:rPr>
        <w:footnoteReference w:id="483"/>
      </w:r>
      <w:r>
        <w:t xml:space="preserve">   Thus, we estimate that most governmental jurisdictions are small.</w:t>
      </w:r>
    </w:p>
    <w:p w14:paraId="48B31C6E" w14:textId="77777777" w:rsidR="002C75FA" w:rsidRDefault="002C75FA" w:rsidP="002C75FA">
      <w:pPr>
        <w:pStyle w:val="ParaNum"/>
        <w:numPr>
          <w:ilvl w:val="0"/>
          <w:numId w:val="45"/>
        </w:numPr>
        <w:tabs>
          <w:tab w:val="clear" w:pos="1080"/>
        </w:tabs>
      </w:pPr>
      <w:r>
        <w:t>Small entities potentially affected by the proposals herein include eligible schools and libraries and the eligible service providers offering them discounted services.</w:t>
      </w:r>
      <w:r>
        <w:rPr>
          <w:rStyle w:val="FootnoteReference"/>
        </w:rPr>
        <w:footnoteReference w:id="484"/>
      </w:r>
      <w:r>
        <w:t xml:space="preserve"> </w:t>
      </w:r>
    </w:p>
    <w:p w14:paraId="1A5683C0" w14:textId="77777777" w:rsidR="002C75FA" w:rsidRPr="00877A13" w:rsidRDefault="002C75FA" w:rsidP="002C75FA">
      <w:pPr>
        <w:pStyle w:val="Heading3"/>
        <w:tabs>
          <w:tab w:val="num" w:pos="2160"/>
        </w:tabs>
      </w:pPr>
      <w:bookmarkStart w:id="3367" w:name="_Toc360208946"/>
      <w:bookmarkStart w:id="3368" w:name="_Toc360212079"/>
      <w:bookmarkStart w:id="3369" w:name="_Toc361663151"/>
      <w:bookmarkStart w:id="3370" w:name="_Toc361857727"/>
      <w:bookmarkStart w:id="3371" w:name="_Toc361918819"/>
      <w:bookmarkStart w:id="3372" w:name="_Toc361924300"/>
      <w:bookmarkStart w:id="3373" w:name="_Toc362272594"/>
      <w:r w:rsidRPr="00877A13">
        <w:t>Schools and Libraries</w:t>
      </w:r>
      <w:bookmarkEnd w:id="3367"/>
      <w:bookmarkEnd w:id="3368"/>
      <w:bookmarkEnd w:id="3369"/>
      <w:bookmarkEnd w:id="3370"/>
      <w:bookmarkEnd w:id="3371"/>
      <w:bookmarkEnd w:id="3372"/>
      <w:bookmarkEnd w:id="3373"/>
    </w:p>
    <w:p w14:paraId="040923C9" w14:textId="77777777" w:rsidR="002C75FA" w:rsidRDefault="002C75FA" w:rsidP="002C75FA">
      <w:pPr>
        <w:pStyle w:val="ParaNum"/>
        <w:numPr>
          <w:ilvl w:val="0"/>
          <w:numId w:val="45"/>
        </w:numPr>
        <w:tabs>
          <w:tab w:val="clear" w:pos="1080"/>
        </w:tabs>
      </w:pPr>
      <w:r>
        <w:t>As noted, “small entity” includes non-profit and small government entities.  Under the schools and libraries universal service support mechanism, which provides support for elementary and secondary schools and libraries, an elementary school is generally “a non-profit institutional day or residential school that provides elementary education, as determined under state law.”</w:t>
      </w:r>
      <w:r>
        <w:rPr>
          <w:rStyle w:val="FootnoteReference"/>
        </w:rPr>
        <w:footnoteReference w:id="485"/>
      </w:r>
      <w:r>
        <w:t xml:space="preserve">  A secondary school is generally defined as “a non-profit institutional day or residential school that provides secondary education, as determined under state law,” and not offering education beyond grade 12.</w:t>
      </w:r>
      <w:r>
        <w:rPr>
          <w:rStyle w:val="FootnoteReference"/>
        </w:rPr>
        <w:footnoteReference w:id="486"/>
      </w:r>
      <w:r>
        <w:t xml:space="preserve">   A library includes “(1) a public library, (2) a public elementary school or secondary school library, (3) an academic library, (4) a research library [] and (5) a private library, but only if the state in which such private library is located determines that the library should be considered a library for the purposes of this definition.”</w:t>
      </w:r>
      <w:r>
        <w:rPr>
          <w:rStyle w:val="FootnoteReference"/>
        </w:rPr>
        <w:footnoteReference w:id="487"/>
      </w:r>
      <w:r>
        <w:t xml:space="preserve">  For-profit schools and libraries, and schools and libraries with endowments in excess of $50,000,000, are not eligible to receive discounts under the program, nor are libraries whose budgets are not completely separate from any schools.</w:t>
      </w:r>
      <w:r>
        <w:rPr>
          <w:rStyle w:val="FootnoteReference"/>
        </w:rPr>
        <w:footnoteReference w:id="488"/>
      </w:r>
      <w:r>
        <w:t xml:space="preserve">   Certain other statutory definitions apply as well.</w:t>
      </w:r>
      <w:r>
        <w:rPr>
          <w:rStyle w:val="FootnoteReference"/>
        </w:rPr>
        <w:footnoteReference w:id="489"/>
      </w:r>
      <w:r>
        <w:t xml:space="preserve">   The SBA has defined for-profit, elementary and secondary schools and libraries having $6 million or less in annual receipts as small entities.</w:t>
      </w:r>
      <w:r>
        <w:rPr>
          <w:rStyle w:val="FootnoteReference"/>
        </w:rPr>
        <w:footnoteReference w:id="490"/>
      </w:r>
      <w:r>
        <w:t xml:space="preserve">   In </w:t>
      </w:r>
      <w:r>
        <w:lastRenderedPageBreak/>
        <w:t>funding year 2007, approximately 105,500 schools and 10,950 libraries received funding under the schools and libraries universal service mechanism.  Although we are unable to estimate with precision the number of these entities that would qualify as small entities under SBA’s size standard, we estimate that fewer than 105,500 schools and 10,950 libraries might be affected annually by our action, under current operation of the program.</w:t>
      </w:r>
    </w:p>
    <w:p w14:paraId="6DAE90FC" w14:textId="77777777" w:rsidR="002C75FA" w:rsidRPr="00877A13" w:rsidRDefault="002C75FA" w:rsidP="002C75FA">
      <w:pPr>
        <w:pStyle w:val="Heading3"/>
        <w:tabs>
          <w:tab w:val="num" w:pos="2160"/>
        </w:tabs>
      </w:pPr>
      <w:bookmarkStart w:id="3374" w:name="_Toc360208947"/>
      <w:bookmarkStart w:id="3375" w:name="_Toc360212080"/>
      <w:bookmarkStart w:id="3376" w:name="_Toc361663152"/>
      <w:bookmarkStart w:id="3377" w:name="_Toc361857728"/>
      <w:bookmarkStart w:id="3378" w:name="_Toc361918820"/>
      <w:bookmarkStart w:id="3379" w:name="_Toc361924301"/>
      <w:bookmarkStart w:id="3380" w:name="_Toc362272595"/>
      <w:r w:rsidRPr="00877A13">
        <w:t>Telecommunications Service Providers</w:t>
      </w:r>
      <w:bookmarkEnd w:id="3374"/>
      <w:bookmarkEnd w:id="3375"/>
      <w:bookmarkEnd w:id="3376"/>
      <w:bookmarkEnd w:id="3377"/>
      <w:bookmarkEnd w:id="3378"/>
      <w:bookmarkEnd w:id="3379"/>
      <w:bookmarkEnd w:id="3380"/>
    </w:p>
    <w:p w14:paraId="5CFD11E0" w14:textId="498ED987" w:rsidR="002C75FA" w:rsidRDefault="002C75FA" w:rsidP="002C75FA">
      <w:pPr>
        <w:pStyle w:val="ParaNum"/>
        <w:numPr>
          <w:ilvl w:val="0"/>
          <w:numId w:val="45"/>
        </w:numPr>
        <w:tabs>
          <w:tab w:val="clear" w:pos="1080"/>
        </w:tabs>
      </w:pPr>
      <w:r w:rsidRPr="00877A13">
        <w:rPr>
          <w:i/>
          <w:u w:val="single"/>
        </w:rPr>
        <w:t>Incumbent Local Exchange Carriers (LECs).</w:t>
      </w:r>
      <w:r>
        <w:t xml:space="preserve">  Neither the Commission nor the SBA has developed a size standard for small incumbent local exchange services.  The closest size standard under SBA rules is for Wired Telecommunications Carriers.  Under that size standard, such a business is small if it has 1,500 or fewer employees.</w:t>
      </w:r>
      <w:r>
        <w:rPr>
          <w:rStyle w:val="FootnoteReference"/>
        </w:rPr>
        <w:footnoteReference w:id="491"/>
      </w:r>
      <w:r>
        <w:t xml:space="preserve">   According to Commission data, 1,307 incumbent carriers reported that they were engaged in the provision of local exchange services.</w:t>
      </w:r>
      <w:r>
        <w:rPr>
          <w:rStyle w:val="FootnoteReference"/>
        </w:rPr>
        <w:footnoteReference w:id="492"/>
      </w:r>
      <w:r>
        <w:t xml:space="preserve">   Of these 1,307 carriers, an estimated 1,006 have 1,500 or fewer employees and 301 have more than 1,500 employees</w:t>
      </w:r>
      <w:r>
        <w:rPr>
          <w:rStyle w:val="FootnoteReference"/>
        </w:rPr>
        <w:footnoteReference w:id="493"/>
      </w:r>
      <w:r>
        <w:t>.   Thus, under this category and associated small business size standard, we estimate that the majority of entities are small.  We have included small incumbent local exchange carriers in this RFA analysis.  A “small business” under the RFA is one that, inter alia, meets the pertinent small business size standard (</w:t>
      </w:r>
      <w:r w:rsidR="00C06B21" w:rsidRPr="00C06B21">
        <w:rPr>
          <w:i/>
        </w:rPr>
        <w:t>e.g.</w:t>
      </w:r>
      <w:r>
        <w:t>, a telephone communications business having 1,500 or fewer employees), and “is not dominant in its field of operation.”</w:t>
      </w:r>
      <w:r>
        <w:rPr>
          <w:rStyle w:val="FootnoteReference"/>
        </w:rPr>
        <w:footnoteReference w:id="494"/>
      </w:r>
      <w:r>
        <w:t xml:space="preserve">  The SBA’s Office of Advocacy contends that, for RFA purposes, small incumbent local exchange carriers are not dominant in their field of operation because any such dominance is not “national” in scope.</w:t>
      </w:r>
      <w:r>
        <w:rPr>
          <w:rStyle w:val="FootnoteReference"/>
        </w:rPr>
        <w:footnoteReference w:id="495"/>
      </w:r>
      <w:r>
        <w:t xml:space="preserve">   We have therefore included small incumbent carriers in this RFA analysis, although we emphasize that this RFA action has no effect on the Commission’s analyses and determinations in other, non-RFA contexts.</w:t>
      </w:r>
    </w:p>
    <w:p w14:paraId="73A3A1A7" w14:textId="77777777" w:rsidR="002C75FA" w:rsidRDefault="002C75FA" w:rsidP="002C75FA">
      <w:pPr>
        <w:pStyle w:val="ParaNum"/>
        <w:numPr>
          <w:ilvl w:val="0"/>
          <w:numId w:val="45"/>
        </w:numPr>
        <w:tabs>
          <w:tab w:val="clear" w:pos="1080"/>
        </w:tabs>
      </w:pPr>
      <w:r w:rsidRPr="00877A13">
        <w:rPr>
          <w:i/>
          <w:u w:val="single"/>
        </w:rPr>
        <w:lastRenderedPageBreak/>
        <w:t>Interexchange Carriers.</w:t>
      </w:r>
      <w:r>
        <w:t xml:space="preserve">  Neither the Commission nor the SBA has developed a definition of small entities specifically applicable to providers of interexchange services (IXCs).  The closest applicable definition under the SBA rules is for wired telecommunications carriers.</w:t>
      </w:r>
      <w:r>
        <w:rPr>
          <w:rStyle w:val="FootnoteReference"/>
        </w:rPr>
        <w:footnoteReference w:id="496"/>
      </w:r>
      <w:r>
        <w:t xml:space="preserve">   This provides that a wired telecommunications carrier is a small entity if it employs no more than 1,500 employees.</w:t>
      </w:r>
      <w:r>
        <w:rPr>
          <w:rStyle w:val="FootnoteReference"/>
        </w:rPr>
        <w:footnoteReference w:id="497"/>
      </w:r>
      <w:r>
        <w:t xml:space="preserve">   According to the Commission’s </w:t>
      </w:r>
      <w:r w:rsidRPr="00B43A6B">
        <w:rPr>
          <w:i/>
        </w:rPr>
        <w:t>2010 Trends Report</w:t>
      </w:r>
      <w:r>
        <w:t>, 359 companies reported that they were engaged in the provision of interexchange services.</w:t>
      </w:r>
      <w:r>
        <w:rPr>
          <w:rStyle w:val="FootnoteReference"/>
        </w:rPr>
        <w:footnoteReference w:id="498"/>
      </w:r>
      <w:r>
        <w:t xml:space="preserve">   Of these 300 IXCs, an estimated 317 have 1,500 or few employees and 42 have more than 1,500 employees.</w:t>
      </w:r>
      <w:r>
        <w:rPr>
          <w:rStyle w:val="FootnoteReference"/>
        </w:rPr>
        <w:footnoteReference w:id="499"/>
      </w:r>
      <w:r>
        <w:t xml:space="preserve">   Consequently, the Commission estimates that most providers of interexchange services are small businesses.</w:t>
      </w:r>
    </w:p>
    <w:p w14:paraId="677D775B" w14:textId="77777777" w:rsidR="002C75FA" w:rsidRDefault="002C75FA" w:rsidP="002C75FA">
      <w:pPr>
        <w:pStyle w:val="ParaNum"/>
        <w:numPr>
          <w:ilvl w:val="0"/>
          <w:numId w:val="45"/>
        </w:numPr>
        <w:tabs>
          <w:tab w:val="clear" w:pos="1080"/>
        </w:tabs>
      </w:pPr>
      <w:r w:rsidRPr="00877A13">
        <w:rPr>
          <w:i/>
          <w:u w:val="single"/>
        </w:rPr>
        <w:t>Competitive Access Providers.</w:t>
      </w:r>
      <w:r>
        <w:t xml:space="preserve">  Neither the Commission nor the SBA has developed a definition of small entities specifically applicable to competitive access services providers (CAPs). The closest applicable definition under the SBA rules is for wired telecommunications carriers.</w:t>
      </w:r>
      <w:r>
        <w:rPr>
          <w:rStyle w:val="FootnoteReference"/>
        </w:rPr>
        <w:footnoteReference w:id="500"/>
      </w:r>
      <w:r>
        <w:t xml:space="preserve">   This provides that a wired telecommunications carrier is a small entity if it employs no more than 1,500 employees.</w:t>
      </w:r>
      <w:r>
        <w:rPr>
          <w:rStyle w:val="FootnoteReference"/>
        </w:rPr>
        <w:footnoteReference w:id="501"/>
      </w:r>
      <w:r>
        <w:t xml:space="preserve">   According to the </w:t>
      </w:r>
      <w:r w:rsidRPr="00B43A6B">
        <w:rPr>
          <w:i/>
        </w:rPr>
        <w:t>2010 Trends Report</w:t>
      </w:r>
      <w:r>
        <w:t>, 1,442 CAPs and competitive local exchange carriers (competitive LECs) reported that they were engaged in the provision of competitive local exchange services.</w:t>
      </w:r>
      <w:r>
        <w:rPr>
          <w:rStyle w:val="FootnoteReference"/>
        </w:rPr>
        <w:footnoteReference w:id="502"/>
      </w:r>
      <w:r>
        <w:t xml:space="preserve">   Of these 1,442 CAPs and competitive LECs, an estimated 1,256 have 1,500 or fewer employees and 186 have more than 1,500 employees.</w:t>
      </w:r>
      <w:r>
        <w:rPr>
          <w:rStyle w:val="FootnoteReference"/>
        </w:rPr>
        <w:footnoteReference w:id="503"/>
      </w:r>
      <w:r>
        <w:t xml:space="preserve">   Consequently, the Commission estimates that most providers of competitive exchange services are small businesses.</w:t>
      </w:r>
    </w:p>
    <w:p w14:paraId="5358C948" w14:textId="77777777" w:rsidR="002C75FA" w:rsidRDefault="002C75FA" w:rsidP="002C75FA">
      <w:pPr>
        <w:pStyle w:val="ParaNum"/>
        <w:numPr>
          <w:ilvl w:val="0"/>
          <w:numId w:val="45"/>
        </w:numPr>
        <w:tabs>
          <w:tab w:val="clear" w:pos="1080"/>
        </w:tabs>
      </w:pPr>
      <w:r w:rsidRPr="00877A13">
        <w:rPr>
          <w:i/>
          <w:u w:val="single"/>
        </w:rPr>
        <w:t>Wireless Telecommunications Carriers (except Satellite).</w:t>
      </w:r>
      <w:r>
        <w:t xml:space="preserve">  Since 2007, the Census Bureau has placed wireless firms within this new, broad, economic census category.</w:t>
      </w:r>
      <w:r>
        <w:rPr>
          <w:rStyle w:val="FootnoteReference"/>
        </w:rPr>
        <w:footnoteReference w:id="504"/>
      </w:r>
      <w:r>
        <w:t xml:space="preserve">   Prior to that time, such firms were within the now-superseded categories of “Paging” and “Cellular and Other Wireless </w:t>
      </w:r>
      <w:r>
        <w:lastRenderedPageBreak/>
        <w:t>Telecommunications.”</w:t>
      </w:r>
      <w:r>
        <w:rPr>
          <w:rStyle w:val="FootnoteReference"/>
        </w:rPr>
        <w:footnoteReference w:id="505"/>
      </w:r>
      <w:r>
        <w:t xml:space="preserve">  Under the present and prior categories, the SBA has deemed a wireless business to be small if it has 1,500 or fewer employees.</w:t>
      </w:r>
      <w:r>
        <w:rPr>
          <w:rStyle w:val="FootnoteReference"/>
        </w:rPr>
        <w:footnoteReference w:id="506"/>
      </w:r>
      <w:r>
        <w:t xml:space="preserve">   Because Census Bureau data are not yet available for the new category, we will estimate small business prevalence using the prior categories and associated data.  For the category of Paging, data for 2002 show that there were 807 firms that operated for the entire year.</w:t>
      </w:r>
      <w:r>
        <w:rPr>
          <w:rStyle w:val="FootnoteReference"/>
        </w:rPr>
        <w:footnoteReference w:id="507"/>
      </w:r>
      <w:r>
        <w:t xml:space="preserve">  Of this total, 804 firms had employment of 999 or fewer employees, and three firms had employment of 1,000 employees or more.</w:t>
      </w:r>
      <w:r>
        <w:rPr>
          <w:rStyle w:val="FootnoteReference"/>
        </w:rPr>
        <w:footnoteReference w:id="508"/>
      </w:r>
      <w:r>
        <w:t xml:space="preserve">  For the category of Cellular and Other Wireless Telecommunications, data for 2002 show that there were 1,397 firms that operated for the entire year.</w:t>
      </w:r>
      <w:r>
        <w:rPr>
          <w:rStyle w:val="FootnoteReference"/>
        </w:rPr>
        <w:footnoteReference w:id="509"/>
      </w:r>
      <w:r>
        <w:t xml:space="preserve">   Of this total, 1,378 firms had employment of 999 or fewer employees, and 19 firms had employment of 1,000 employees or more.</w:t>
      </w:r>
      <w:r>
        <w:rPr>
          <w:rStyle w:val="FootnoteReference"/>
        </w:rPr>
        <w:footnoteReference w:id="510"/>
      </w:r>
      <w:r>
        <w:t xml:space="preserve">  Thus, we estimate that the majority of wireless firms are small.</w:t>
      </w:r>
    </w:p>
    <w:p w14:paraId="102EA63A" w14:textId="77777777" w:rsidR="002C75FA" w:rsidRDefault="002C75FA" w:rsidP="002C75FA">
      <w:pPr>
        <w:pStyle w:val="ParaNum"/>
        <w:numPr>
          <w:ilvl w:val="0"/>
          <w:numId w:val="45"/>
        </w:numPr>
        <w:tabs>
          <w:tab w:val="clear" w:pos="1080"/>
        </w:tabs>
      </w:pPr>
      <w:r w:rsidRPr="00877A13">
        <w:rPr>
          <w:i/>
          <w:u w:val="single"/>
        </w:rPr>
        <w:t>Wireless Telephony.</w:t>
      </w:r>
      <w:r>
        <w:t xml:space="preserve">  Wireless telephony includes cellular, personal communications services, and specialized mobile radio telephony carriers.  As noted, the SBA has developed a small business size standard for Wireless Telecommunications Carriers (except Satellite).</w:t>
      </w:r>
      <w:r>
        <w:rPr>
          <w:rStyle w:val="FootnoteReference"/>
        </w:rPr>
        <w:footnoteReference w:id="511"/>
      </w:r>
      <w:r>
        <w:t xml:space="preserve">  Under the SBA small business size standard, a business is small if it has 1,500 or fewer employees.</w:t>
      </w:r>
      <w:r>
        <w:rPr>
          <w:rStyle w:val="FootnoteReference"/>
        </w:rPr>
        <w:footnoteReference w:id="512"/>
      </w:r>
      <w:r>
        <w:t xml:space="preserve">   According to the </w:t>
      </w:r>
      <w:r w:rsidRPr="00B43A6B">
        <w:rPr>
          <w:i/>
        </w:rPr>
        <w:t>2010 Trends Report</w:t>
      </w:r>
      <w:r>
        <w:t>, 413 carriers reported that they were engaged in wireless telephony.</w:t>
      </w:r>
      <w:r>
        <w:rPr>
          <w:rStyle w:val="FootnoteReference"/>
        </w:rPr>
        <w:footnoteReference w:id="513"/>
      </w:r>
      <w:r>
        <w:t xml:space="preserve">   Of these, an estimated 261 have 1,500 or fewer employees and 152 have more than 1,500 employees.</w:t>
      </w:r>
      <w:r>
        <w:rPr>
          <w:rStyle w:val="FootnoteReference"/>
        </w:rPr>
        <w:footnoteReference w:id="514"/>
      </w:r>
      <w:r>
        <w:t xml:space="preserve">   We have estimated that 261 of these are small under the SBA small business size standard.</w:t>
      </w:r>
    </w:p>
    <w:p w14:paraId="68ABB517" w14:textId="77777777" w:rsidR="002C75FA" w:rsidRDefault="002C75FA" w:rsidP="002C75FA">
      <w:pPr>
        <w:pStyle w:val="ParaNum"/>
        <w:numPr>
          <w:ilvl w:val="0"/>
          <w:numId w:val="45"/>
        </w:numPr>
        <w:tabs>
          <w:tab w:val="clear" w:pos="1080"/>
        </w:tabs>
      </w:pPr>
      <w:r w:rsidRPr="00877A13">
        <w:rPr>
          <w:i/>
          <w:u w:val="single"/>
        </w:rPr>
        <w:lastRenderedPageBreak/>
        <w:t>Common Carrier Paging.</w:t>
      </w:r>
      <w:r>
        <w:t xml:space="preserve">  As noted, since 2007 the Census Bureau has placed paging providers within the broad economic census category of Wireless Telecommunications Carriers (except Satellite).</w:t>
      </w:r>
      <w:r>
        <w:rPr>
          <w:rStyle w:val="FootnoteReference"/>
        </w:rPr>
        <w:footnoteReference w:id="515"/>
      </w:r>
      <w:r>
        <w:t xml:space="preserve">   Prior to that time, such firms were within the now-superseded category of “Paging.”</w:t>
      </w:r>
      <w:r>
        <w:rPr>
          <w:rStyle w:val="FootnoteReference"/>
        </w:rPr>
        <w:footnoteReference w:id="516"/>
      </w:r>
      <w:r>
        <w:t xml:space="preserve">   Under the present and prior categories, the SBA has deemed a wireless business to be small if it has 1,500 or fewer employees.</w:t>
      </w:r>
      <w:r>
        <w:rPr>
          <w:rStyle w:val="FootnoteReference"/>
        </w:rPr>
        <w:footnoteReference w:id="517"/>
      </w:r>
      <w:r>
        <w:t xml:space="preserve">   Because Census Bureau data are not yet available for the new category, we will estimate small business prevalence using the prior category and associated data.  The data for 2002 show that there were 807 firms that operated for the entire year.</w:t>
      </w:r>
      <w:r>
        <w:rPr>
          <w:rStyle w:val="FootnoteReference"/>
        </w:rPr>
        <w:footnoteReference w:id="518"/>
      </w:r>
      <w:r>
        <w:t xml:space="preserve">   Of this total, 804 firms had employment of 999 or fewer employees, and three firms had employment of 1,000 employees or more.</w:t>
      </w:r>
      <w:r>
        <w:rPr>
          <w:rStyle w:val="FootnoteReference"/>
        </w:rPr>
        <w:footnoteReference w:id="519"/>
      </w:r>
      <w:r>
        <w:t xml:space="preserve">   Thus, we estimate that the majority of paging firms are small.</w:t>
      </w:r>
    </w:p>
    <w:p w14:paraId="1E4F3223" w14:textId="77777777" w:rsidR="002C75FA" w:rsidRDefault="002C75FA" w:rsidP="002C75FA">
      <w:pPr>
        <w:pStyle w:val="ParaNum"/>
        <w:numPr>
          <w:ilvl w:val="0"/>
          <w:numId w:val="45"/>
        </w:numPr>
        <w:tabs>
          <w:tab w:val="clear" w:pos="1080"/>
        </w:tabs>
      </w:pPr>
      <w:r>
        <w:t xml:space="preserve">In addition, in the </w:t>
      </w:r>
      <w:r w:rsidRPr="00666FC2">
        <w:rPr>
          <w:i/>
        </w:rPr>
        <w:t>Paging Second Report and Order</w:t>
      </w:r>
      <w:r>
        <w:t>, the Commission adopted a size standard for “small businesses” for purposes of determining their eligibility for special provisions such as bidding credits and installment payments.</w:t>
      </w:r>
      <w:r>
        <w:rPr>
          <w:rStyle w:val="FootnoteReference"/>
        </w:rPr>
        <w:footnoteReference w:id="520"/>
      </w:r>
      <w:r>
        <w:t xml:space="preserve">   A small business is an entity that, together with its affiliates and controlling principals, has average gross revenues not exceeding $15 million for the preceding three years.</w:t>
      </w:r>
      <w:r>
        <w:rPr>
          <w:rStyle w:val="FootnoteReference"/>
        </w:rPr>
        <w:footnoteReference w:id="521"/>
      </w:r>
      <w:r>
        <w:t xml:space="preserve">   The SBA has approved this definition.</w:t>
      </w:r>
      <w:r>
        <w:rPr>
          <w:rStyle w:val="FootnoteReference"/>
        </w:rPr>
        <w:footnoteReference w:id="522"/>
      </w:r>
      <w:r>
        <w:t xml:space="preserve">   An initial auction of Metropolitan Economic Area (“MEA”) licenses was conducted in the year 2000.  Of the 2,499 licenses auctioned, 985 were sold.</w:t>
      </w:r>
      <w:r>
        <w:rPr>
          <w:rStyle w:val="FootnoteReference"/>
        </w:rPr>
        <w:footnoteReference w:id="523"/>
      </w:r>
      <w:r>
        <w:t xml:space="preserve">   Fifty-seven companies claiming small business status won 440 </w:t>
      </w:r>
      <w:r>
        <w:lastRenderedPageBreak/>
        <w:t>licenses.</w:t>
      </w:r>
      <w:r>
        <w:rPr>
          <w:rStyle w:val="FootnoteReference"/>
        </w:rPr>
        <w:footnoteReference w:id="524"/>
      </w:r>
      <w:r>
        <w:t xml:space="preserve">   A subsequent auction of MEA and Economic Area (“EA”) licenses was held in the year 2001.  Of the 15,514 licenses auctioned, 5,323 were sold.</w:t>
      </w:r>
      <w:r>
        <w:rPr>
          <w:rStyle w:val="FootnoteReference"/>
        </w:rPr>
        <w:footnoteReference w:id="525"/>
      </w:r>
      <w:r>
        <w:t xml:space="preserve">   One hundred thirty-two companies claiming small business status purchased 3,724 licenses.  A third auction, consisting of 8,874 licenses in each of 175 EAs and 1,328 licenses in all but three of the 51 MEAs, was held in 2003.  Seventy-seven bidders claiming small or very small business status won 2,093 licenses.</w:t>
      </w:r>
      <w:r>
        <w:rPr>
          <w:rStyle w:val="FootnoteReference"/>
        </w:rPr>
        <w:footnoteReference w:id="526"/>
      </w:r>
      <w:r>
        <w:t xml:space="preserve">  </w:t>
      </w:r>
    </w:p>
    <w:p w14:paraId="5F432914" w14:textId="77777777" w:rsidR="002C75FA" w:rsidRDefault="002C75FA" w:rsidP="002C75FA">
      <w:pPr>
        <w:pStyle w:val="ParaNum"/>
        <w:numPr>
          <w:ilvl w:val="0"/>
          <w:numId w:val="45"/>
        </w:numPr>
        <w:tabs>
          <w:tab w:val="clear" w:pos="1080"/>
        </w:tabs>
      </w:pPr>
      <w:r>
        <w:t>Currently, there are approximately 74,000 Common Carrier Paging licenses.  According to the most recent Trends in Telephone Service, 291 carriers reported that they were engaged in the provision of “paging and messaging” services.</w:t>
      </w:r>
      <w:r>
        <w:rPr>
          <w:rStyle w:val="FootnoteReference"/>
        </w:rPr>
        <w:footnoteReference w:id="527"/>
      </w:r>
      <w:r>
        <w:t xml:space="preserve">   Of these, an estimated 289 have 1,500 or fewer employees and two have more than 1,500 employees.</w:t>
      </w:r>
      <w:r>
        <w:rPr>
          <w:rStyle w:val="FootnoteReference"/>
        </w:rPr>
        <w:footnoteReference w:id="528"/>
      </w:r>
      <w:r>
        <w:t xml:space="preserve">   We estimate that the majority of common carrier paging providers would qualify as small entities under the SBA definition.</w:t>
      </w:r>
    </w:p>
    <w:p w14:paraId="2E8BBF3B" w14:textId="77777777" w:rsidR="002C75FA" w:rsidRPr="00877A13" w:rsidRDefault="002C75FA" w:rsidP="002C75FA">
      <w:pPr>
        <w:pStyle w:val="Heading3"/>
        <w:tabs>
          <w:tab w:val="num" w:pos="2160"/>
        </w:tabs>
      </w:pPr>
      <w:bookmarkStart w:id="3381" w:name="_Toc360208948"/>
      <w:bookmarkStart w:id="3382" w:name="_Toc360212081"/>
      <w:bookmarkStart w:id="3383" w:name="_Toc361663153"/>
      <w:bookmarkStart w:id="3384" w:name="_Toc361857729"/>
      <w:bookmarkStart w:id="3385" w:name="_Toc361918821"/>
      <w:bookmarkStart w:id="3386" w:name="_Toc361924302"/>
      <w:bookmarkStart w:id="3387" w:name="_Toc362272596"/>
      <w:r w:rsidRPr="00877A13">
        <w:t>Internet Service Providers</w:t>
      </w:r>
      <w:bookmarkEnd w:id="3381"/>
      <w:bookmarkEnd w:id="3382"/>
      <w:bookmarkEnd w:id="3383"/>
      <w:bookmarkEnd w:id="3384"/>
      <w:bookmarkEnd w:id="3385"/>
      <w:bookmarkEnd w:id="3386"/>
      <w:bookmarkEnd w:id="3387"/>
    </w:p>
    <w:p w14:paraId="4234018A" w14:textId="31248CDA" w:rsidR="002C75FA" w:rsidRDefault="002C75FA" w:rsidP="002C75FA">
      <w:pPr>
        <w:pStyle w:val="ParaNum"/>
        <w:numPr>
          <w:ilvl w:val="0"/>
          <w:numId w:val="45"/>
        </w:numPr>
        <w:tabs>
          <w:tab w:val="clear" w:pos="1080"/>
        </w:tabs>
      </w:pPr>
      <w:r>
        <w:t>The 2007 Economic Census places these firms, whose services might  include voice over Internet protocol (VoIP), in either of two categories, depending on whether the service is provided over the provider’s own telecommunications facilities (</w:t>
      </w:r>
      <w:r w:rsidR="00C06B21" w:rsidRPr="00C06B21">
        <w:rPr>
          <w:i/>
        </w:rPr>
        <w:t>e.g.</w:t>
      </w:r>
      <w:r>
        <w:t>, cable and DSL ISPs), or over client-supplied telecommunications connections (</w:t>
      </w:r>
      <w:r w:rsidR="00C06B21" w:rsidRPr="00C06B21">
        <w:rPr>
          <w:i/>
        </w:rPr>
        <w:t>e.g.</w:t>
      </w:r>
      <w:r>
        <w:t>, dial-up ISPs).  The former are within the category of Wired Telecommunications Carriers,</w:t>
      </w:r>
      <w:r>
        <w:rPr>
          <w:rStyle w:val="FootnoteReference"/>
        </w:rPr>
        <w:footnoteReference w:id="529"/>
      </w:r>
      <w:r>
        <w:t xml:space="preserve"> which has an SBA small business size standard of 1,500 or fewer employees.</w:t>
      </w:r>
      <w:r>
        <w:rPr>
          <w:rStyle w:val="FootnoteReference"/>
        </w:rPr>
        <w:footnoteReference w:id="530"/>
      </w:r>
      <w:r>
        <w:t xml:space="preserve">   The latter are within the category of All Other Telecommunications,</w:t>
      </w:r>
      <w:r>
        <w:rPr>
          <w:rStyle w:val="FootnoteReference"/>
        </w:rPr>
        <w:footnoteReference w:id="531"/>
      </w:r>
      <w:r>
        <w:t xml:space="preserve"> which has a size standard of annual receipts of $25 million or less.</w:t>
      </w:r>
      <w:r>
        <w:rPr>
          <w:rStyle w:val="FootnoteReference"/>
        </w:rPr>
        <w:footnoteReference w:id="532"/>
      </w:r>
      <w:r>
        <w:t xml:space="preserve">   The most current Census Bureau data </w:t>
      </w:r>
      <w:r>
        <w:lastRenderedPageBreak/>
        <w:t>for all such firms, however, are the 2002 data for the previous census category called Internet Service Providers.</w:t>
      </w:r>
      <w:r>
        <w:rPr>
          <w:rStyle w:val="FootnoteReference"/>
        </w:rPr>
        <w:footnoteReference w:id="533"/>
      </w:r>
      <w:r>
        <w:t xml:space="preserve">   That category had a small business size standard of $21 million or less in annual receipts, which was revised in late 2005 to $23 million.  The 2002 data show that there were 2,529 such firms that operated for the entire year.</w:t>
      </w:r>
      <w:r>
        <w:rPr>
          <w:rStyle w:val="FootnoteReference"/>
        </w:rPr>
        <w:footnoteReference w:id="534"/>
      </w:r>
      <w:r>
        <w:t xml:space="preserve">   Of those, 2,437 firms had annual receipts of under $10 million, and an additional 47 firms had receipts of between $10 million and $24,999,999.</w:t>
      </w:r>
      <w:r>
        <w:rPr>
          <w:rStyle w:val="FootnoteReference"/>
        </w:rPr>
        <w:footnoteReference w:id="535"/>
      </w:r>
      <w:r>
        <w:t xml:space="preserve">   Consequently, we estimate that the majority of ISP firms are small entities.</w:t>
      </w:r>
    </w:p>
    <w:p w14:paraId="602BF36E" w14:textId="77777777" w:rsidR="002C75FA" w:rsidRPr="00877A13" w:rsidRDefault="002C75FA" w:rsidP="002C75FA">
      <w:pPr>
        <w:pStyle w:val="Heading3"/>
        <w:tabs>
          <w:tab w:val="num" w:pos="2160"/>
        </w:tabs>
      </w:pPr>
      <w:bookmarkStart w:id="3388" w:name="_Toc360208949"/>
      <w:bookmarkStart w:id="3389" w:name="_Toc360212082"/>
      <w:bookmarkStart w:id="3390" w:name="_Toc361663154"/>
      <w:bookmarkStart w:id="3391" w:name="_Toc361857730"/>
      <w:bookmarkStart w:id="3392" w:name="_Toc361918822"/>
      <w:bookmarkStart w:id="3393" w:name="_Toc361924303"/>
      <w:bookmarkStart w:id="3394" w:name="_Toc362272597"/>
      <w:r w:rsidRPr="00877A13">
        <w:t>Vendors of Internal Connections</w:t>
      </w:r>
      <w:bookmarkEnd w:id="3388"/>
      <w:bookmarkEnd w:id="3389"/>
      <w:bookmarkEnd w:id="3390"/>
      <w:bookmarkEnd w:id="3391"/>
      <w:bookmarkEnd w:id="3392"/>
      <w:bookmarkEnd w:id="3393"/>
      <w:bookmarkEnd w:id="3394"/>
    </w:p>
    <w:p w14:paraId="1126BD2C" w14:textId="77777777" w:rsidR="002C75FA" w:rsidRDefault="002C75FA" w:rsidP="002C75FA">
      <w:pPr>
        <w:pStyle w:val="ParaNum"/>
        <w:numPr>
          <w:ilvl w:val="0"/>
          <w:numId w:val="45"/>
        </w:numPr>
        <w:tabs>
          <w:tab w:val="clear" w:pos="1080"/>
        </w:tabs>
      </w:pPr>
      <w:r w:rsidRPr="00877A13">
        <w:rPr>
          <w:i/>
          <w:u w:val="single"/>
        </w:rPr>
        <w:t>Telephone Apparatus Manufacturing.</w:t>
      </w:r>
      <w:r>
        <w:t xml:space="preserve">  The Census Bureau defines this category as follows:  “This industry comprises establishments primarily engaged in manufacturing wire telephone and data communications equipment. These products may be standalone or board-level components of a larger system. Examples of products made by these establishments are central office switching equipment, cordless telephones (except cellular), PBX equipment, telephones, telephone answering machines, LAN modems, multi-user modems, and other data communications equipment, such as bridges, routers, and gateways.”</w:t>
      </w:r>
      <w:r>
        <w:rPr>
          <w:rStyle w:val="FootnoteReference"/>
        </w:rPr>
        <w:footnoteReference w:id="536"/>
      </w:r>
      <w:r>
        <w:t xml:space="preserve">   The SBA has developed a small business size standard for Telephone Apparatus Manufacturing, which is: all such firms having 1,000 or fewer employees.</w:t>
      </w:r>
      <w:r>
        <w:rPr>
          <w:rStyle w:val="FootnoteReference"/>
        </w:rPr>
        <w:footnoteReference w:id="537"/>
      </w:r>
      <w:r>
        <w:t xml:space="preserve">   According to Census Bureau data for 2002, there were a total of 518 establishments in this category that operated for the entire year.</w:t>
      </w:r>
      <w:r>
        <w:rPr>
          <w:rStyle w:val="FootnoteReference"/>
        </w:rPr>
        <w:footnoteReference w:id="538"/>
      </w:r>
      <w:r>
        <w:t xml:space="preserve">   Of this total, 511 had employment of under 1,000, and an additional seven had employment of 1,000 to 2,499.</w:t>
      </w:r>
      <w:r>
        <w:rPr>
          <w:rStyle w:val="FootnoteReference"/>
        </w:rPr>
        <w:footnoteReference w:id="539"/>
      </w:r>
      <w:r>
        <w:t xml:space="preserve">   Thus, under </w:t>
      </w:r>
      <w:r>
        <w:lastRenderedPageBreak/>
        <w:t>this size standard, the majority of firms can be considered small.</w:t>
      </w:r>
    </w:p>
    <w:p w14:paraId="1633FE47" w14:textId="77777777" w:rsidR="002C75FA" w:rsidRDefault="002C75FA" w:rsidP="002C75FA">
      <w:pPr>
        <w:pStyle w:val="ParaNum"/>
        <w:numPr>
          <w:ilvl w:val="0"/>
          <w:numId w:val="45"/>
        </w:numPr>
        <w:tabs>
          <w:tab w:val="clear" w:pos="1080"/>
        </w:tabs>
      </w:pPr>
      <w:r w:rsidRPr="00877A13">
        <w:rPr>
          <w:i/>
          <w:u w:val="single"/>
        </w:rPr>
        <w:t>Radio and Television Broadcasting and Wireless Communications Equipment Manufacturing.</w:t>
      </w:r>
      <w:r>
        <w:t xml:space="preserve">  The Census Bureau defines this category as follows:  “This industry comprises establishments primarily engaged in manufacturing radio and television broadcast and wireless communications equipment. Examples of products made by these establishments are: transmitting and receiving antennas, cable television equipment, GPS equipment, pagers, cellular phones, mobile communications equipment, and radio and television studio and broadcasting equipment.”</w:t>
      </w:r>
      <w:r>
        <w:rPr>
          <w:rStyle w:val="FootnoteReference"/>
        </w:rPr>
        <w:footnoteReference w:id="540"/>
      </w:r>
      <w:r>
        <w:t xml:space="preserve">   The SBA has developed a small business size standard for firms in this category, which is: all such firms having 750 or fewer employees.</w:t>
      </w:r>
      <w:r>
        <w:rPr>
          <w:rStyle w:val="FootnoteReference"/>
        </w:rPr>
        <w:footnoteReference w:id="541"/>
      </w:r>
      <w:r>
        <w:t xml:space="preserve">   According to Census Bureau data for 2002, there were a total of 1,041 establishments in this category that operated for the entire year.</w:t>
      </w:r>
      <w:r>
        <w:rPr>
          <w:rStyle w:val="FootnoteReference"/>
        </w:rPr>
        <w:footnoteReference w:id="542"/>
      </w:r>
      <w:r>
        <w:t xml:space="preserve">   Of this total, 1,010 had employment of under 500, and an additional 13 had employment of 500 to 999.</w:t>
      </w:r>
      <w:r>
        <w:rPr>
          <w:rStyle w:val="FootnoteReference"/>
        </w:rPr>
        <w:footnoteReference w:id="543"/>
      </w:r>
      <w:r>
        <w:t xml:space="preserve">   Thus, under this size standard, the majority of firms can be considered small.</w:t>
      </w:r>
    </w:p>
    <w:p w14:paraId="63AEB398" w14:textId="77777777" w:rsidR="002C75FA" w:rsidRDefault="002C75FA" w:rsidP="002C75FA">
      <w:pPr>
        <w:pStyle w:val="ParaNum"/>
        <w:numPr>
          <w:ilvl w:val="0"/>
          <w:numId w:val="45"/>
        </w:numPr>
        <w:tabs>
          <w:tab w:val="clear" w:pos="1080"/>
        </w:tabs>
      </w:pPr>
      <w:r w:rsidRPr="00877A13">
        <w:rPr>
          <w:i/>
          <w:u w:val="single"/>
        </w:rPr>
        <w:t>Other Communications Equipment Manufacturing.</w:t>
      </w:r>
      <w:r>
        <w:t xml:space="preserve">  The Census Bureau defines this category as follows:  “This industry comprises establishments primarily engaged in manufacturing communications equipment (except telephone apparatus, and radio and television broadcast, and wireless communications equipment).”</w:t>
      </w:r>
      <w:r>
        <w:rPr>
          <w:rStyle w:val="FootnoteReference"/>
        </w:rPr>
        <w:footnoteReference w:id="544"/>
      </w:r>
      <w:r>
        <w:t xml:space="preserve">   The SBA has developed a small business size standard for Other Communications Equipment Manufacturing, which is having 750 or fewer employees.</w:t>
      </w:r>
      <w:r>
        <w:rPr>
          <w:rStyle w:val="FootnoteReference"/>
        </w:rPr>
        <w:footnoteReference w:id="545"/>
      </w:r>
      <w:r>
        <w:t xml:space="preserve">   According to Census Bureau data for 2002, there were a total of 503 establishments in this category that operated for the entire year.</w:t>
      </w:r>
      <w:r>
        <w:rPr>
          <w:rStyle w:val="FootnoteReference"/>
        </w:rPr>
        <w:footnoteReference w:id="546"/>
      </w:r>
      <w:r>
        <w:t xml:space="preserve">   Of this total, 493 had employment of under 500, and an additional 7 had employment </w:t>
      </w:r>
      <w:r>
        <w:lastRenderedPageBreak/>
        <w:t>of 500 to 999.</w:t>
      </w:r>
      <w:r>
        <w:rPr>
          <w:rStyle w:val="FootnoteReference"/>
        </w:rPr>
        <w:footnoteReference w:id="547"/>
      </w:r>
      <w:r>
        <w:t xml:space="preserve">   Thus, under this size standard, the majority of firms can be considered small.</w:t>
      </w:r>
    </w:p>
    <w:p w14:paraId="402CCB33" w14:textId="77777777" w:rsidR="002C75FA" w:rsidRPr="00877A13" w:rsidRDefault="002C75FA" w:rsidP="002C75FA">
      <w:pPr>
        <w:pStyle w:val="Heading2"/>
      </w:pPr>
      <w:bookmarkStart w:id="3395" w:name="_Toc360208950"/>
      <w:bookmarkStart w:id="3396" w:name="_Toc360212083"/>
      <w:bookmarkStart w:id="3397" w:name="_Toc361663155"/>
      <w:bookmarkStart w:id="3398" w:name="_Toc361857731"/>
      <w:bookmarkStart w:id="3399" w:name="_Toc361918823"/>
      <w:bookmarkStart w:id="3400" w:name="_Toc361924304"/>
      <w:bookmarkStart w:id="3401" w:name="_Toc362272598"/>
      <w:r w:rsidRPr="00877A13">
        <w:t>Description of Projected Reporting, Recordkeeping, an</w:t>
      </w:r>
      <w:r>
        <w:t xml:space="preserve">d Other Compliance Requirements </w:t>
      </w:r>
      <w:r w:rsidRPr="00877A13">
        <w:t>for Small Entities</w:t>
      </w:r>
      <w:bookmarkEnd w:id="3395"/>
      <w:bookmarkEnd w:id="3396"/>
      <w:bookmarkEnd w:id="3397"/>
      <w:bookmarkEnd w:id="3398"/>
      <w:bookmarkEnd w:id="3399"/>
      <w:bookmarkEnd w:id="3400"/>
      <w:bookmarkEnd w:id="3401"/>
    </w:p>
    <w:p w14:paraId="117C3C78" w14:textId="77777777" w:rsidR="002C75FA" w:rsidRDefault="002C75FA" w:rsidP="002C75FA">
      <w:pPr>
        <w:pStyle w:val="ParaNum"/>
        <w:numPr>
          <w:ilvl w:val="0"/>
          <w:numId w:val="45"/>
        </w:numPr>
        <w:tabs>
          <w:tab w:val="clear" w:pos="1080"/>
        </w:tabs>
      </w:pPr>
      <w:r>
        <w:t xml:space="preserve">Several proposals under consideration in the NPRM may, if adopted, result in additional recordkeeping requirements for small entities. It is possible that an increase in purchasing consortia could result in an increase in consortia-imposed additional reporting requirements. Additionally, reducing competitive bidding that results in a single bid would increase the number of price matrices E-rate recipients would be required to prepare. </w:t>
      </w:r>
      <w:r>
        <w:tab/>
      </w:r>
    </w:p>
    <w:p w14:paraId="6628925F" w14:textId="77777777" w:rsidR="002C75FA" w:rsidRPr="00877A13" w:rsidRDefault="002C75FA" w:rsidP="002C75FA">
      <w:pPr>
        <w:pStyle w:val="Heading2"/>
      </w:pPr>
      <w:bookmarkStart w:id="3402" w:name="_Toc360208951"/>
      <w:bookmarkStart w:id="3403" w:name="_Toc360212084"/>
      <w:bookmarkStart w:id="3404" w:name="_Toc361663156"/>
      <w:bookmarkStart w:id="3405" w:name="_Toc361857732"/>
      <w:bookmarkStart w:id="3406" w:name="_Toc361918824"/>
      <w:bookmarkStart w:id="3407" w:name="_Toc361924305"/>
      <w:bookmarkStart w:id="3408" w:name="_Toc362272599"/>
      <w:r w:rsidRPr="00877A13">
        <w:t>Steps Taken to Minimize the Significant Economic Impact on Small Entities, and Significant Alternatives Considered</w:t>
      </w:r>
      <w:bookmarkEnd w:id="3402"/>
      <w:bookmarkEnd w:id="3403"/>
      <w:bookmarkEnd w:id="3404"/>
      <w:bookmarkEnd w:id="3405"/>
      <w:bookmarkEnd w:id="3406"/>
      <w:bookmarkEnd w:id="3407"/>
      <w:bookmarkEnd w:id="3408"/>
    </w:p>
    <w:p w14:paraId="3D842AFE" w14:textId="77777777" w:rsidR="002C75FA" w:rsidRDefault="002C75FA" w:rsidP="002C75FA">
      <w:pPr>
        <w:pStyle w:val="ParaNum"/>
        <w:numPr>
          <w:ilvl w:val="0"/>
          <w:numId w:val="45"/>
        </w:numPr>
        <w:tabs>
          <w:tab w:val="clear" w:pos="1080"/>
        </w:tabs>
      </w:pPr>
      <w:r>
        <w:t>The RFA requires an agency to describe any significant, specifically small business, alternatives that it has considered in reaching its proposed approach, which may include the following four alternatives (among others): “(1) the establishment of differing compliance or reporting requirements or timetables that take into account the resources available to small entities; (2) the clarification, consolidation, or simplification of compliance and reporting requirements under the rule for such small entities; (3) the use of performance rather than design standards; and (4) an exemption from coverage of the rule, or any part thereof, for such small entities.”</w:t>
      </w:r>
      <w:r>
        <w:rPr>
          <w:rStyle w:val="FootnoteReference"/>
        </w:rPr>
        <w:footnoteReference w:id="548"/>
      </w:r>
      <w:r>
        <w:t xml:space="preserve"> </w:t>
      </w:r>
    </w:p>
    <w:p w14:paraId="12721C02" w14:textId="476DD54A" w:rsidR="002C75FA" w:rsidRPr="00003833" w:rsidRDefault="002C75FA" w:rsidP="002C75FA">
      <w:pPr>
        <w:pStyle w:val="ParaNum"/>
        <w:numPr>
          <w:ilvl w:val="0"/>
          <w:numId w:val="45"/>
        </w:numPr>
        <w:tabs>
          <w:tab w:val="clear" w:pos="1080"/>
        </w:tabs>
      </w:pPr>
      <w:r>
        <w:t xml:space="preserve">In this NPRM, we seek comment on a package of potential reforms to the E-rate program that can be implemented in funding year 2013 (July 1, 2013 – June 30, 2014).  We seek to improve and modernize the program by proposing </w:t>
      </w:r>
      <w:r w:rsidRPr="00003833">
        <w:t xml:space="preserve">the goals of </w:t>
      </w:r>
      <w:r w:rsidRPr="00AB6079">
        <w:t>(1) ensuring that schools and libraries have affordable access to 21</w:t>
      </w:r>
      <w:r w:rsidRPr="00FB3C0F">
        <w:rPr>
          <w:vertAlign w:val="superscript"/>
        </w:rPr>
        <w:t>st</w:t>
      </w:r>
      <w:r>
        <w:t xml:space="preserve"> Century broadband</w:t>
      </w:r>
      <w:r w:rsidRPr="00AB6079">
        <w:t xml:space="preserve"> that supports digital learning, (2) maximizing the </w:t>
      </w:r>
      <w:r>
        <w:t>cost-effectiveness</w:t>
      </w:r>
      <w:r w:rsidRPr="00AB6079">
        <w:t xml:space="preserve"> of E-rate funds and (3) </w:t>
      </w:r>
      <w:r w:rsidR="004651C4">
        <w:t>streamlining</w:t>
      </w:r>
      <w:r w:rsidRPr="00AB6079">
        <w:t xml:space="preserve"> the administrati</w:t>
      </w:r>
      <w:r w:rsidR="004651C4">
        <w:t xml:space="preserve">on </w:t>
      </w:r>
      <w:r w:rsidRPr="00AB6079">
        <w:t xml:space="preserve">of the E-rate program. </w:t>
      </w:r>
      <w:r w:rsidRPr="00003833">
        <w:t xml:space="preserve">  </w:t>
      </w:r>
    </w:p>
    <w:p w14:paraId="3EA92203" w14:textId="77777777" w:rsidR="002C75FA" w:rsidRDefault="002C75FA" w:rsidP="002C75FA">
      <w:pPr>
        <w:pStyle w:val="ParaNum"/>
        <w:numPr>
          <w:ilvl w:val="0"/>
          <w:numId w:val="45"/>
        </w:numPr>
        <w:tabs>
          <w:tab w:val="clear" w:pos="1080"/>
        </w:tabs>
      </w:pPr>
      <w:r>
        <w:t xml:space="preserve">We recognize that several of our proposed rules would impact small entities. Most of the rules we propose would lessen reporting burdens on small entities.  In those instances in which a proposed rule would increase these burdens on small entities, we have determined that the benefits from these rules outweigh the increased burdens on small entities. </w:t>
      </w:r>
    </w:p>
    <w:p w14:paraId="798AAA26" w14:textId="77777777" w:rsidR="002C75FA" w:rsidRDefault="002C75FA" w:rsidP="002C75FA">
      <w:pPr>
        <w:pStyle w:val="Heading3"/>
      </w:pPr>
      <w:bookmarkStart w:id="3409" w:name="_Toc360208952"/>
      <w:bookmarkStart w:id="3410" w:name="_Toc360212085"/>
      <w:bookmarkStart w:id="3411" w:name="_Toc361663157"/>
      <w:bookmarkStart w:id="3412" w:name="_Toc361857733"/>
      <w:bookmarkStart w:id="3413" w:name="_Toc361918825"/>
      <w:bookmarkStart w:id="3414" w:name="_Toc361924306"/>
      <w:bookmarkStart w:id="3415" w:name="_Toc362272600"/>
      <w:r>
        <w:lastRenderedPageBreak/>
        <w:t>Proposed rules that lessen reporting burdens</w:t>
      </w:r>
      <w:bookmarkEnd w:id="3409"/>
      <w:bookmarkEnd w:id="3410"/>
      <w:bookmarkEnd w:id="3411"/>
      <w:bookmarkEnd w:id="3412"/>
      <w:bookmarkEnd w:id="3413"/>
      <w:bookmarkEnd w:id="3414"/>
      <w:bookmarkEnd w:id="3415"/>
    </w:p>
    <w:p w14:paraId="57AE6492" w14:textId="77777777" w:rsidR="002C75FA" w:rsidRPr="00DF7B3D" w:rsidRDefault="002C75FA" w:rsidP="002C75FA">
      <w:pPr>
        <w:pStyle w:val="ParaNum"/>
        <w:numPr>
          <w:ilvl w:val="0"/>
          <w:numId w:val="45"/>
        </w:numPr>
        <w:tabs>
          <w:tab w:val="clear" w:pos="1080"/>
        </w:tabs>
      </w:pPr>
      <w:r w:rsidRPr="003518DF">
        <w:rPr>
          <w:i/>
        </w:rPr>
        <w:t>Single filing for multi-year contract</w:t>
      </w:r>
      <w:r>
        <w:t xml:space="preserve">.  Our proposal to allow E-rate applicants with multi-year contracts that are no more than three years in length (including any voluntary extensions) to file a single FCC Form 471 application for the funding year in which the contract commences would lessen reporting burdens on E-rate recipients by relieving them of the obligation to file an FCC Form 471 for some funding years. </w:t>
      </w:r>
      <w:r w:rsidRPr="0064410C">
        <w:rPr>
          <w:szCs w:val="22"/>
        </w:rPr>
        <w:t xml:space="preserve">  </w:t>
      </w:r>
    </w:p>
    <w:p w14:paraId="58551D1D" w14:textId="77777777" w:rsidR="002C75FA" w:rsidRPr="00DB1CF2" w:rsidRDefault="002C75FA" w:rsidP="002C75FA">
      <w:pPr>
        <w:pStyle w:val="ParaNum"/>
        <w:numPr>
          <w:ilvl w:val="0"/>
          <w:numId w:val="45"/>
        </w:numPr>
        <w:tabs>
          <w:tab w:val="clear" w:pos="1080"/>
        </w:tabs>
      </w:pPr>
      <w:r>
        <w:rPr>
          <w:i/>
        </w:rPr>
        <w:t>Internal connections applications by school district.</w:t>
      </w:r>
      <w:r>
        <w:t xml:space="preserve">  Requiring </w:t>
      </w:r>
      <w:r w:rsidRPr="00DF7B3D">
        <w:t>all schools and libraries that are part of the same school district to submit applications for priority two internal connections by school district, rather than by individual schoo</w:t>
      </w:r>
      <w:r>
        <w:t xml:space="preserve">l, would </w:t>
      </w:r>
      <w:r w:rsidRPr="00DF7B3D">
        <w:t xml:space="preserve">streamline the process and simplify the discount calculation for </w:t>
      </w:r>
      <w:r>
        <w:t xml:space="preserve">the applicant.  Rather than making a discount calculation for each school within a district, an applicant would merely be required to make a district-wide discount calculation.  </w:t>
      </w:r>
    </w:p>
    <w:p w14:paraId="544AC6D6" w14:textId="77777777" w:rsidR="002C75FA" w:rsidRDefault="002C75FA" w:rsidP="002C75FA">
      <w:pPr>
        <w:pStyle w:val="ParaNum"/>
        <w:numPr>
          <w:ilvl w:val="0"/>
          <w:numId w:val="45"/>
        </w:numPr>
        <w:tabs>
          <w:tab w:val="clear" w:pos="1080"/>
        </w:tabs>
      </w:pPr>
      <w:r>
        <w:rPr>
          <w:i/>
        </w:rPr>
        <w:t>Phasing out support for certain services.</w:t>
      </w:r>
      <w:r>
        <w:t xml:space="preserve">  Phasing out support for certain services would lessen reporting burdens on small entities because, under this proposal, E-rate applicants would no longer be required to comply with E-rate rules for phased-out services.  There would be no change to reporting burdens for services that are being phased down because E-rate applicants and recipients would still be required to comply with E-rate rules.  </w:t>
      </w:r>
    </w:p>
    <w:p w14:paraId="53BAEFC2" w14:textId="77777777" w:rsidR="002C75FA" w:rsidRPr="003552F0" w:rsidRDefault="002C75FA" w:rsidP="002C75FA">
      <w:pPr>
        <w:pStyle w:val="ParaNum"/>
        <w:numPr>
          <w:ilvl w:val="0"/>
          <w:numId w:val="45"/>
        </w:numPr>
        <w:tabs>
          <w:tab w:val="clear" w:pos="1080"/>
        </w:tabs>
      </w:pPr>
      <w:r>
        <w:rPr>
          <w:i/>
        </w:rPr>
        <w:t>Priority two services</w:t>
      </w:r>
      <w:r w:rsidRPr="00DB1CF2">
        <w:t>.</w:t>
      </w:r>
      <w:r>
        <w:t xml:space="preserve">  Our proposal to require that any school that is part of an organized school district must apply for priority two internal connections by school district, rather than by school, would lessen reporting burdens by simplifying the discount calculation for schools. </w:t>
      </w:r>
    </w:p>
    <w:p w14:paraId="458CD485" w14:textId="77777777" w:rsidR="002C75FA" w:rsidRPr="009A44DA" w:rsidRDefault="002C75FA" w:rsidP="002C75FA">
      <w:pPr>
        <w:pStyle w:val="ParaNum"/>
        <w:numPr>
          <w:ilvl w:val="0"/>
          <w:numId w:val="45"/>
        </w:numPr>
        <w:tabs>
          <w:tab w:val="clear" w:pos="1080"/>
        </w:tabs>
      </w:pPr>
      <w:r w:rsidRPr="003518DF">
        <w:rPr>
          <w:i/>
          <w:szCs w:val="22"/>
        </w:rPr>
        <w:t>Regulatory classification</w:t>
      </w:r>
      <w:r>
        <w:rPr>
          <w:szCs w:val="22"/>
        </w:rPr>
        <w:t xml:space="preserve">.  </w:t>
      </w:r>
      <w:r>
        <w:t>Likewise,</w:t>
      </w:r>
      <w:r>
        <w:rPr>
          <w:szCs w:val="22"/>
        </w:rPr>
        <w:t xml:space="preserve"> our proposal to adopt a rule</w:t>
      </w:r>
      <w:r w:rsidRPr="008E0943">
        <w:rPr>
          <w:szCs w:val="22"/>
        </w:rPr>
        <w:t xml:space="preserve"> that </w:t>
      </w:r>
      <w:r>
        <w:rPr>
          <w:szCs w:val="22"/>
        </w:rPr>
        <w:t>allows</w:t>
      </w:r>
      <w:r w:rsidRPr="008E0943">
        <w:rPr>
          <w:szCs w:val="22"/>
        </w:rPr>
        <w:t xml:space="preserve"> funding for eligible services regardless of regulatory </w:t>
      </w:r>
      <w:r w:rsidRPr="00CA1368">
        <w:t>classification</w:t>
      </w:r>
      <w:r>
        <w:rPr>
          <w:szCs w:val="22"/>
        </w:rPr>
        <w:t xml:space="preserve"> would simplify reporting requirements because E-rate applicants would no longer be required to designate regulatory classifications to seek eligible services from any entity. </w:t>
      </w:r>
    </w:p>
    <w:p w14:paraId="46C1D380" w14:textId="77777777" w:rsidR="002C75FA" w:rsidRDefault="002C75FA" w:rsidP="002C75FA">
      <w:pPr>
        <w:pStyle w:val="ParaNum"/>
        <w:numPr>
          <w:ilvl w:val="0"/>
          <w:numId w:val="45"/>
        </w:numPr>
        <w:tabs>
          <w:tab w:val="clear" w:pos="1080"/>
        </w:tabs>
      </w:pPr>
      <w:r>
        <w:rPr>
          <w:i/>
          <w:szCs w:val="22"/>
        </w:rPr>
        <w:t>Invoicing and disbursement process</w:t>
      </w:r>
      <w:r w:rsidRPr="009A44DA">
        <w:t>.</w:t>
      </w:r>
      <w:r>
        <w:t xml:space="preserve">  We propose to permit applicants who submit a Billed Entity Application for Reimbursement (BEAR) Form to receive reimbursement directly from USAC, rather than receiving reimbursement from the service provider after USAC reimburses it.  This proposal would lessen reporting burdens because the service provider would no longer serve as the </w:t>
      </w:r>
      <w:r w:rsidRPr="00B03906">
        <w:t>pass-through for the reimbursement of funds</w:t>
      </w:r>
      <w:r>
        <w:t xml:space="preserve">.  </w:t>
      </w:r>
    </w:p>
    <w:p w14:paraId="14DB9F88" w14:textId="77777777" w:rsidR="002C75FA" w:rsidRDefault="002C75FA" w:rsidP="002C75FA">
      <w:pPr>
        <w:pStyle w:val="Heading3"/>
        <w:tabs>
          <w:tab w:val="num" w:pos="2160"/>
        </w:tabs>
      </w:pPr>
      <w:bookmarkStart w:id="3416" w:name="_Toc360208953"/>
      <w:bookmarkStart w:id="3417" w:name="_Toc360212086"/>
      <w:bookmarkStart w:id="3418" w:name="_Toc361663158"/>
      <w:bookmarkStart w:id="3419" w:name="_Toc361857734"/>
      <w:bookmarkStart w:id="3420" w:name="_Toc361918826"/>
      <w:bookmarkStart w:id="3421" w:name="_Toc361924307"/>
      <w:bookmarkStart w:id="3422" w:name="_Toc362272601"/>
      <w:r>
        <w:lastRenderedPageBreak/>
        <w:t>Proposed rules that increase reporting burdens</w:t>
      </w:r>
      <w:bookmarkEnd w:id="3416"/>
      <w:bookmarkEnd w:id="3417"/>
      <w:bookmarkEnd w:id="3418"/>
      <w:bookmarkEnd w:id="3419"/>
      <w:bookmarkEnd w:id="3420"/>
      <w:bookmarkEnd w:id="3421"/>
      <w:bookmarkEnd w:id="3422"/>
    </w:p>
    <w:p w14:paraId="4883E991" w14:textId="77777777" w:rsidR="002C75FA" w:rsidRDefault="002C75FA" w:rsidP="002C75FA">
      <w:pPr>
        <w:pStyle w:val="ParaNum"/>
        <w:numPr>
          <w:ilvl w:val="0"/>
          <w:numId w:val="45"/>
        </w:numPr>
        <w:tabs>
          <w:tab w:val="clear" w:pos="1080"/>
        </w:tabs>
      </w:pPr>
      <w:r w:rsidRPr="00D560FF">
        <w:rPr>
          <w:i/>
        </w:rPr>
        <w:t xml:space="preserve">Compliance burdens.  </w:t>
      </w:r>
      <w:r>
        <w:t xml:space="preserve">Implementing any of our proposed rules would impose some burden on small entities by requiring them to become familiar with the new rule to comply with it.  For many proposed rules, such as those to refresh funding priorities, streamline the Eligible Services List,  increase matching funds, redefine “rural,” institute per-student or per-building caps, provide priority one support for the modulating electronics necessary to light dark fiber and amend the formula for determining what discounts some schools and libraries receive, this is the sole additional burden on small entities.  The importance of accomplishing our </w:t>
      </w:r>
      <w:r w:rsidRPr="00003833">
        <w:t xml:space="preserve">goals of </w:t>
      </w:r>
      <w:r w:rsidRPr="00AB6079">
        <w:t>(1) ensuring that schools and libraries have affordable access to 21</w:t>
      </w:r>
      <w:r w:rsidRPr="00FB3C0F">
        <w:rPr>
          <w:vertAlign w:val="superscript"/>
        </w:rPr>
        <w:t>st</w:t>
      </w:r>
      <w:r>
        <w:t xml:space="preserve"> Century broadband</w:t>
      </w:r>
      <w:r w:rsidRPr="00AB6079">
        <w:t xml:space="preserve"> that supports digital learning, (2) maximizing the </w:t>
      </w:r>
      <w:r>
        <w:t>cost-effectiveness</w:t>
      </w:r>
      <w:r w:rsidRPr="00AB6079">
        <w:t xml:space="preserve"> of E-rate funds and (3) </w:t>
      </w:r>
      <w:r>
        <w:t>streamlining the administration of the E-rate program</w:t>
      </w:r>
      <w:r w:rsidRPr="00AB6079">
        <w:t xml:space="preserve"> </w:t>
      </w:r>
      <w:r w:rsidRPr="00003833">
        <w:t xml:space="preserve">outweighs the minimal burden requiring small entities to comply with new rules would impose.  </w:t>
      </w:r>
    </w:p>
    <w:p w14:paraId="07A42C42" w14:textId="77777777" w:rsidR="002C75FA" w:rsidRPr="00003833" w:rsidRDefault="002C75FA" w:rsidP="002C75FA">
      <w:pPr>
        <w:pStyle w:val="ParaNum"/>
        <w:numPr>
          <w:ilvl w:val="0"/>
          <w:numId w:val="45"/>
        </w:numPr>
        <w:tabs>
          <w:tab w:val="clear" w:pos="1080"/>
        </w:tabs>
      </w:pPr>
      <w:r>
        <w:rPr>
          <w:i/>
        </w:rPr>
        <w:t>Increasing transparency of prices.</w:t>
      </w:r>
      <w:r>
        <w:t xml:space="preserve">  Our proposal to increase transparency of prices by either publicly disclosing all bids for E-rate supported services or disclosing all purchase prices would increase reporting burdens on entities required to provide this information to the Administrator, the Universal Service Administrative Company (USAC).  Because E-rate applicants would already have this information, the additional burden reporting it to USAC would be minimal.  The benefit other E-rate applicants would enjoy from being able to compare bids and purchases would far outweigh this minimal burden.  </w:t>
      </w:r>
    </w:p>
    <w:p w14:paraId="40428584" w14:textId="77777777" w:rsidR="002C75FA" w:rsidRDefault="002C75FA" w:rsidP="002C75FA">
      <w:pPr>
        <w:pStyle w:val="ParaNum"/>
        <w:numPr>
          <w:ilvl w:val="0"/>
          <w:numId w:val="45"/>
        </w:numPr>
        <w:tabs>
          <w:tab w:val="clear" w:pos="1080"/>
        </w:tabs>
      </w:pPr>
      <w:r w:rsidRPr="003518DF">
        <w:rPr>
          <w:i/>
        </w:rPr>
        <w:t>Electronic filing</w:t>
      </w:r>
      <w:r>
        <w:t xml:space="preserve">.  Requiring all users to file all E-rate-related forms electronically should benefit E-rate applicants because it would provide a streamlined process and make forms easily accessible. We recognize that requiring electronic filing may burden users who do not have Internet access due to unreliable Internet access or emergency situations.  Because of this, we seek comment on alternative filing requirements for these users.  Ultimately, the cost savings for USAC and added efficiency of requiring electronic filing outweigh but burden of electronic filing on E-rate applicants and recipients. </w:t>
      </w:r>
    </w:p>
    <w:p w14:paraId="5308F2DE" w14:textId="77777777" w:rsidR="002C75FA" w:rsidRPr="00371445" w:rsidRDefault="002C75FA" w:rsidP="002C75FA">
      <w:pPr>
        <w:pStyle w:val="ParaNum"/>
        <w:numPr>
          <w:ilvl w:val="0"/>
          <w:numId w:val="45"/>
        </w:numPr>
        <w:tabs>
          <w:tab w:val="clear" w:pos="1080"/>
        </w:tabs>
      </w:pPr>
      <w:r w:rsidRPr="00371445">
        <w:rPr>
          <w:i/>
        </w:rPr>
        <w:t>Separate filing windows</w:t>
      </w:r>
      <w:r w:rsidRPr="00371445">
        <w:t xml:space="preserve">.  Separating filing windows for priority one and priority two services would increase reporting requirements for the limited number of E-rate recipients who receive priority two services but would decrease reporting burdens for those E-rate recipients whose discount percentage prevents them from receiving priority two services. The benefit of simplifying the application process for those who will not receive priority </w:t>
      </w:r>
      <w:r>
        <w:t>one</w:t>
      </w:r>
      <w:r w:rsidRPr="00371445">
        <w:t xml:space="preserve"> services justifies the added </w:t>
      </w:r>
      <w:r w:rsidRPr="00371445">
        <w:lastRenderedPageBreak/>
        <w:t xml:space="preserve">burden of filing separate applications for those who will receive priority two services. </w:t>
      </w:r>
    </w:p>
    <w:p w14:paraId="195A074B" w14:textId="77777777" w:rsidR="002C75FA" w:rsidRPr="00652B9B" w:rsidRDefault="002C75FA" w:rsidP="002C75FA">
      <w:pPr>
        <w:pStyle w:val="ParaNum"/>
        <w:numPr>
          <w:ilvl w:val="0"/>
          <w:numId w:val="45"/>
        </w:numPr>
        <w:tabs>
          <w:tab w:val="clear" w:pos="1080"/>
        </w:tabs>
      </w:pPr>
      <w:r w:rsidRPr="003518DF">
        <w:rPr>
          <w:i/>
          <w:szCs w:val="22"/>
        </w:rPr>
        <w:t>Document retention</w:t>
      </w:r>
      <w:r>
        <w:rPr>
          <w:i/>
          <w:szCs w:val="22"/>
        </w:rPr>
        <w:t xml:space="preserve"> period</w:t>
      </w:r>
      <w:r>
        <w:rPr>
          <w:szCs w:val="22"/>
        </w:rPr>
        <w:t xml:space="preserve">.  Extending the E-rate document retention requirement from five years after the last day of the delivery of services to ten years after the last day of the delivery of services would increase administrative </w:t>
      </w:r>
      <w:r w:rsidRPr="00CA1368">
        <w:t>burdens</w:t>
      </w:r>
      <w:r>
        <w:rPr>
          <w:szCs w:val="22"/>
        </w:rPr>
        <w:t xml:space="preserve"> on E-rate recipients by requiring them to retain documents for a longer period of time.  The Commission’s interest in combating waste, fraud and abuse by litigating matters under the False Claims Act, which can involve </w:t>
      </w:r>
      <w:r w:rsidRPr="008377D7">
        <w:rPr>
          <w:szCs w:val="22"/>
        </w:rPr>
        <w:t>conduct that relates back substantially more than five years</w:t>
      </w:r>
      <w:r>
        <w:rPr>
          <w:szCs w:val="22"/>
        </w:rPr>
        <w:t xml:space="preserve">, justifies this additional burden. </w:t>
      </w:r>
    </w:p>
    <w:p w14:paraId="2DD67727" w14:textId="77777777" w:rsidR="002C75FA" w:rsidRDefault="002C75FA" w:rsidP="002C75FA">
      <w:pPr>
        <w:pStyle w:val="ParaNum"/>
        <w:numPr>
          <w:ilvl w:val="0"/>
          <w:numId w:val="45"/>
        </w:numPr>
        <w:tabs>
          <w:tab w:val="clear" w:pos="1080"/>
        </w:tabs>
      </w:pPr>
      <w:r>
        <w:rPr>
          <w:i/>
          <w:szCs w:val="22"/>
        </w:rPr>
        <w:t>Competitive bidding documentation</w:t>
      </w:r>
      <w:r w:rsidRPr="00652B9B">
        <w:t>.</w:t>
      </w:r>
      <w:r>
        <w:t xml:space="preserve">  We propose to require applicants to submit to USAC competitive bidding documents, including a copy of each bid received, the bid evaluation criteria, bid sheets, a list of people who evaluated bids, memos, board minutes, or similar documents, and any correspondence with vendors during the bidding, evaluation, and award phase of the process.  P</w:t>
      </w:r>
      <w:r w:rsidRPr="00652B9B">
        <w:t>roviding such documents would impose additional burdens on E-rate applicants and could increase application review time and administrative costs</w:t>
      </w:r>
      <w:r>
        <w:t xml:space="preserve">.  The benefit of allowing USAC to evaluate more fully the competitive bidding process conducted by E-rate applicants and ensure that documentation of the competitive bidding process was retained in the event of an audit outweighs this burden.  </w:t>
      </w:r>
    </w:p>
    <w:p w14:paraId="17A5E1C5" w14:textId="77777777" w:rsidR="002C75FA" w:rsidRPr="008B64F0" w:rsidRDefault="002C75FA" w:rsidP="002C75FA">
      <w:pPr>
        <w:pStyle w:val="ParaNum"/>
        <w:numPr>
          <w:ilvl w:val="0"/>
          <w:numId w:val="45"/>
        </w:numPr>
        <w:tabs>
          <w:tab w:val="clear" w:pos="1080"/>
        </w:tabs>
      </w:pPr>
      <w:r>
        <w:rPr>
          <w:i/>
          <w:szCs w:val="22"/>
        </w:rPr>
        <w:t>FCC Form Signatories.</w:t>
      </w:r>
      <w:r>
        <w:rPr>
          <w:szCs w:val="22"/>
        </w:rPr>
        <w:t xml:space="preserve">  Our proposal</w:t>
      </w:r>
      <w:r w:rsidRPr="00652B9B">
        <w:rPr>
          <w:szCs w:val="22"/>
        </w:rPr>
        <w:t xml:space="preserve"> to require that an officer of the service provider make the required certifications on the FCC Form 472 (BEAR Form), FCC Form 473 (Service Provider Annual Certification Form) and the FCC Form 474 (SPI Form)</w:t>
      </w:r>
      <w:r>
        <w:rPr>
          <w:szCs w:val="22"/>
        </w:rPr>
        <w:t xml:space="preserve"> as well as certify compliance with the lowest corresponding price rule and state and local procurement laws would impose minimal additional burdens on small entities because these entities are already required to ensure compliance with E-rate rules.  The only new requirement under this proposal is for officers to certify that they have complied with E-rate rules.  The benefit of </w:t>
      </w:r>
      <w:r>
        <w:t>ensuring</w:t>
      </w:r>
      <w:r w:rsidRPr="00B4386B">
        <w:rPr>
          <w:color w:val="000000"/>
        </w:rPr>
        <w:t xml:space="preserve"> that the </w:t>
      </w:r>
      <w:r w:rsidRPr="00CA1368">
        <w:t>certification</w:t>
      </w:r>
      <w:r w:rsidRPr="00B4386B">
        <w:rPr>
          <w:color w:val="000000"/>
        </w:rPr>
        <w:t xml:space="preserve"> reflects the service provider’s commitment to understand and comply with the E-rate program rules and requirements</w:t>
      </w:r>
      <w:r>
        <w:rPr>
          <w:color w:val="000000"/>
        </w:rPr>
        <w:t xml:space="preserve"> outweighs this burden.  </w:t>
      </w:r>
      <w:r w:rsidRPr="00371445">
        <w:rPr>
          <w:szCs w:val="22"/>
        </w:rPr>
        <w:t xml:space="preserve">Additionally, we propose to require all E-rate forms submitted by E-rate applicants be signed by someone with authority equivalent to that of a corporate officer.  This proposal would impose the additional burden of requiring corporate officers of small entities </w:t>
      </w:r>
      <w:r>
        <w:rPr>
          <w:szCs w:val="22"/>
        </w:rPr>
        <w:t xml:space="preserve">to </w:t>
      </w:r>
      <w:r w:rsidRPr="00371445">
        <w:rPr>
          <w:szCs w:val="22"/>
        </w:rPr>
        <w:t xml:space="preserve">become familiar enough with E-rate applications that they can make the certifications.  The Commission’s interest in combatting waste, fraud and abuse outweighs this burden.  Because of the burden this proposal may impose on small entities, we seek comment on alternatives to it.  </w:t>
      </w:r>
    </w:p>
    <w:p w14:paraId="51D30ACC" w14:textId="77777777" w:rsidR="002C75FA" w:rsidRDefault="002C75FA" w:rsidP="002C75FA">
      <w:pPr>
        <w:pStyle w:val="ParaNum"/>
        <w:numPr>
          <w:ilvl w:val="0"/>
          <w:numId w:val="45"/>
        </w:numPr>
        <w:tabs>
          <w:tab w:val="clear" w:pos="1080"/>
        </w:tabs>
      </w:pPr>
      <w:r w:rsidRPr="003518DF">
        <w:rPr>
          <w:i/>
          <w:szCs w:val="22"/>
        </w:rPr>
        <w:lastRenderedPageBreak/>
        <w:t>National emergencies</w:t>
      </w:r>
      <w:r>
        <w:rPr>
          <w:szCs w:val="22"/>
        </w:rPr>
        <w:t xml:space="preserve">.  The proposed procedures for national emergencies would require the Commission to waive document retention </w:t>
      </w:r>
      <w:r w:rsidRPr="00CA1368">
        <w:t>requirements</w:t>
      </w:r>
      <w:r>
        <w:rPr>
          <w:szCs w:val="22"/>
        </w:rPr>
        <w:t xml:space="preserve"> for E-rate recipients whose records are destroyed in an Emergency or Major Disaster if the recipients document the loss of their records. Other proposals would require applicants affected by an Emergency or Major Disaster to make certifications regarding the extent of the damage they incurred, the extent of planned repairs, funding for repairs, population changes and funding demand changes to receive additional assistance after an Emergency or Major Disaster.  E-rate recipients affected by an Emergency or Major Disaster would not incur additional requirements if they do not seek additional assistance.  The Commission’s strong interest in preventing waste, fraud and abuse justifies the minimal burdens that documenting the loss of records and making these certifications would impose. </w:t>
      </w:r>
    </w:p>
    <w:p w14:paraId="285211D9" w14:textId="77777777" w:rsidR="002C75FA" w:rsidRDefault="002C75FA" w:rsidP="00EA3723">
      <w:pPr>
        <w:pStyle w:val="ParaNum"/>
        <w:numPr>
          <w:ilvl w:val="0"/>
          <w:numId w:val="45"/>
        </w:numPr>
        <w:tabs>
          <w:tab w:val="clear" w:pos="1080"/>
        </w:tabs>
      </w:pPr>
      <w:r>
        <w:t xml:space="preserve">As noted, we believe the proposals and options being introduced for comment will not have a significant economic impact on small entities under the E-rate program.  Indeed, the proposals and options will benefit small entities by simplifying processes, ensuring access to broadband, maximizing cost-effectiveness and maximizing </w:t>
      </w:r>
      <w:r w:rsidRPr="00003833">
        <w:t>efficiency.  We nonetheless invite commenters, in responding</w:t>
      </w:r>
      <w:r>
        <w:t xml:space="preserve"> to the questions posed and tentative conclusions in the NPRM, to discuss any economic impact that such changes may have on small entities, and possible alternatives.</w:t>
      </w:r>
    </w:p>
    <w:p w14:paraId="6F836E39" w14:textId="77777777" w:rsidR="002C75FA" w:rsidRPr="00DD0B83" w:rsidRDefault="002C75FA" w:rsidP="002C75FA">
      <w:pPr>
        <w:pStyle w:val="Heading2"/>
      </w:pPr>
      <w:bookmarkStart w:id="3423" w:name="_Toc360208954"/>
      <w:bookmarkStart w:id="3424" w:name="_Toc360212087"/>
      <w:bookmarkStart w:id="3425" w:name="_Toc361663159"/>
      <w:bookmarkStart w:id="3426" w:name="_Toc361857735"/>
      <w:bookmarkStart w:id="3427" w:name="_Toc361918827"/>
      <w:bookmarkStart w:id="3428" w:name="_Toc361924308"/>
      <w:bookmarkStart w:id="3429" w:name="_Toc362272602"/>
      <w:r w:rsidRPr="00DD0B83">
        <w:t>Federal Rules that May Duplicate, Overlap, or Conflict with the Proposed Rules</w:t>
      </w:r>
      <w:bookmarkEnd w:id="3423"/>
      <w:bookmarkEnd w:id="3424"/>
      <w:bookmarkEnd w:id="3425"/>
      <w:bookmarkEnd w:id="3426"/>
      <w:bookmarkEnd w:id="3427"/>
      <w:bookmarkEnd w:id="3428"/>
      <w:bookmarkEnd w:id="3429"/>
    </w:p>
    <w:p w14:paraId="202869FC" w14:textId="77777777" w:rsidR="002C75FA" w:rsidRDefault="002C75FA" w:rsidP="002C75FA">
      <w:pPr>
        <w:pStyle w:val="ParaNum"/>
      </w:pPr>
      <w:r>
        <w:t xml:space="preserve">None. </w:t>
      </w:r>
    </w:p>
    <w:p w14:paraId="4976A3F7" w14:textId="77777777" w:rsidR="002C75FA" w:rsidRPr="00DD0B83" w:rsidRDefault="002C75FA" w:rsidP="002C75FA">
      <w:pPr>
        <w:pStyle w:val="ParaNum"/>
        <w:numPr>
          <w:ilvl w:val="0"/>
          <w:numId w:val="0"/>
        </w:numPr>
        <w:ind w:firstLine="720"/>
      </w:pPr>
      <w:r>
        <w:t xml:space="preserve">IT IS ORDERED that the Commission’s Consumer and Governmental Affairs Bureau, Reference Information Center, SHALL SEND a copy of this Notice of Proposed Rulemaking, including the Initial Regulatory Flexibility Analysis, to the Chief Counsel for Advocacy of the Small Business Administration.  </w:t>
      </w:r>
    </w:p>
    <w:p w14:paraId="677D1624" w14:textId="77777777" w:rsidR="002C75FA" w:rsidRPr="00C35EB8" w:rsidRDefault="002C75FA" w:rsidP="002C75FA">
      <w:pPr>
        <w:tabs>
          <w:tab w:val="num" w:pos="1440"/>
        </w:tabs>
      </w:pPr>
    </w:p>
    <w:p w14:paraId="287C5B97" w14:textId="77777777" w:rsidR="00354B60" w:rsidRDefault="00354B60" w:rsidP="00F935B1">
      <w:pPr>
        <w:sectPr w:rsidR="00354B60" w:rsidSect="005E385F">
          <w:footnotePr>
            <w:numRestart w:val="eachSect"/>
          </w:footnotePr>
          <w:endnotePr>
            <w:numFmt w:val="decimal"/>
          </w:endnotePr>
          <w:pgSz w:w="12240" w:h="15840"/>
          <w:pgMar w:top="1440" w:right="1440" w:bottom="720" w:left="1440" w:header="720" w:footer="720" w:gutter="0"/>
          <w:cols w:space="720"/>
          <w:noEndnote/>
        </w:sectPr>
      </w:pPr>
    </w:p>
    <w:p w14:paraId="45D26847" w14:textId="77777777" w:rsidR="00354B60" w:rsidRPr="00354B60" w:rsidRDefault="00354B60" w:rsidP="00354B60">
      <w:pPr>
        <w:autoSpaceDE w:val="0"/>
        <w:autoSpaceDN w:val="0"/>
        <w:adjustRightInd w:val="0"/>
        <w:ind w:left="2880" w:firstLine="720"/>
        <w:rPr>
          <w:b/>
          <w:bCs/>
          <w:color w:val="010101"/>
          <w:szCs w:val="22"/>
        </w:rPr>
      </w:pPr>
      <w:r w:rsidRPr="00354B60">
        <w:rPr>
          <w:b/>
          <w:bCs/>
          <w:color w:val="010101"/>
          <w:szCs w:val="22"/>
        </w:rPr>
        <w:lastRenderedPageBreak/>
        <w:t>STATEMENT OF</w:t>
      </w:r>
    </w:p>
    <w:p w14:paraId="33F73D04" w14:textId="77777777" w:rsidR="00354B60" w:rsidRPr="00354B60" w:rsidRDefault="00354B60" w:rsidP="00354B60">
      <w:pPr>
        <w:autoSpaceDE w:val="0"/>
        <w:autoSpaceDN w:val="0"/>
        <w:adjustRightInd w:val="0"/>
        <w:jc w:val="center"/>
        <w:rPr>
          <w:b/>
          <w:bCs/>
          <w:color w:val="010101"/>
          <w:szCs w:val="22"/>
        </w:rPr>
      </w:pPr>
      <w:r w:rsidRPr="00354B60">
        <w:rPr>
          <w:b/>
          <w:bCs/>
          <w:color w:val="010101"/>
          <w:szCs w:val="22"/>
        </w:rPr>
        <w:t>ACTING CHAIRWOMAN MIGNON L. CLYBURN</w:t>
      </w:r>
    </w:p>
    <w:p w14:paraId="2EEC9866" w14:textId="77777777" w:rsidR="00354B60" w:rsidRPr="00354B60" w:rsidRDefault="00354B60" w:rsidP="00354B60">
      <w:pPr>
        <w:autoSpaceDE w:val="0"/>
        <w:autoSpaceDN w:val="0"/>
        <w:adjustRightInd w:val="0"/>
        <w:jc w:val="center"/>
        <w:rPr>
          <w:b/>
          <w:bCs/>
          <w:color w:val="010101"/>
          <w:szCs w:val="22"/>
        </w:rPr>
      </w:pPr>
    </w:p>
    <w:p w14:paraId="459F41A5" w14:textId="77777777" w:rsidR="00354B60" w:rsidRPr="00354B60" w:rsidRDefault="00354B60" w:rsidP="00354B60">
      <w:pPr>
        <w:autoSpaceDE w:val="0"/>
        <w:autoSpaceDN w:val="0"/>
        <w:adjustRightInd w:val="0"/>
        <w:rPr>
          <w:color w:val="010101"/>
          <w:szCs w:val="22"/>
        </w:rPr>
      </w:pPr>
      <w:r w:rsidRPr="00354B60">
        <w:rPr>
          <w:i/>
          <w:iCs/>
          <w:color w:val="010101"/>
          <w:szCs w:val="22"/>
        </w:rPr>
        <w:t>Re: Modernizing the E-rate Program for Schools and Libraries</w:t>
      </w:r>
      <w:r w:rsidRPr="00354B60">
        <w:rPr>
          <w:color w:val="010101"/>
          <w:szCs w:val="22"/>
        </w:rPr>
        <w:t>, WC Docket No. 13-</w:t>
      </w:r>
      <w:r w:rsidRPr="00354B60">
        <w:rPr>
          <w:szCs w:val="22"/>
        </w:rPr>
        <w:t>184.</w:t>
      </w:r>
    </w:p>
    <w:p w14:paraId="09A62073" w14:textId="77777777" w:rsidR="00354B60" w:rsidRPr="00354B60" w:rsidRDefault="00354B60" w:rsidP="00354B60">
      <w:pPr>
        <w:autoSpaceDE w:val="0"/>
        <w:autoSpaceDN w:val="0"/>
        <w:adjustRightInd w:val="0"/>
        <w:rPr>
          <w:color w:val="010101"/>
          <w:szCs w:val="22"/>
        </w:rPr>
      </w:pPr>
    </w:p>
    <w:p w14:paraId="45379685" w14:textId="77777777" w:rsidR="00354B60" w:rsidRPr="00354B60" w:rsidRDefault="00354B60" w:rsidP="00354B60">
      <w:pPr>
        <w:autoSpaceDE w:val="0"/>
        <w:autoSpaceDN w:val="0"/>
        <w:adjustRightInd w:val="0"/>
        <w:ind w:firstLine="720"/>
        <w:rPr>
          <w:szCs w:val="22"/>
          <w:lang w:val="en"/>
        </w:rPr>
      </w:pPr>
      <w:r w:rsidRPr="00354B60">
        <w:rPr>
          <w:szCs w:val="22"/>
          <w:lang w:val="en"/>
        </w:rPr>
        <w:t xml:space="preserve">This is a pivotal moment. As we’ve heard from Secretary Spellings, </w:t>
      </w:r>
    </w:p>
    <w:p w14:paraId="009655BF" w14:textId="77777777" w:rsidR="00354B60" w:rsidRPr="00354B60" w:rsidRDefault="00354B60" w:rsidP="00354B60">
      <w:pPr>
        <w:autoSpaceDE w:val="0"/>
        <w:autoSpaceDN w:val="0"/>
        <w:adjustRightInd w:val="0"/>
        <w:rPr>
          <w:szCs w:val="22"/>
          <w:lang w:val="en"/>
        </w:rPr>
      </w:pPr>
      <w:r w:rsidRPr="00354B60">
        <w:rPr>
          <w:szCs w:val="22"/>
          <w:lang w:val="en"/>
        </w:rPr>
        <w:t xml:space="preserve">Professor Steyer, and Dr. Word technology has the power to revolutionize education in America. </w:t>
      </w:r>
    </w:p>
    <w:p w14:paraId="2264234E" w14:textId="77777777" w:rsidR="00354B60" w:rsidRPr="00354B60" w:rsidRDefault="00354B60" w:rsidP="00354B60">
      <w:pPr>
        <w:autoSpaceDE w:val="0"/>
        <w:autoSpaceDN w:val="0"/>
        <w:adjustRightInd w:val="0"/>
        <w:ind w:firstLine="720"/>
        <w:rPr>
          <w:szCs w:val="22"/>
          <w:lang w:val="en"/>
        </w:rPr>
      </w:pPr>
    </w:p>
    <w:p w14:paraId="76AB3389" w14:textId="77777777" w:rsidR="00354B60" w:rsidRPr="00354B60" w:rsidRDefault="00354B60" w:rsidP="00354B60">
      <w:pPr>
        <w:autoSpaceDE w:val="0"/>
        <w:autoSpaceDN w:val="0"/>
        <w:adjustRightInd w:val="0"/>
        <w:ind w:firstLine="720"/>
        <w:rPr>
          <w:szCs w:val="22"/>
          <w:lang w:val="en"/>
        </w:rPr>
      </w:pPr>
      <w:r w:rsidRPr="00354B60">
        <w:rPr>
          <w:szCs w:val="22"/>
          <w:lang w:val="en"/>
        </w:rPr>
        <w:t xml:space="preserve">But we are not where we need to be relative to other nations and to the rate of technology adoption in this nation. And one of the biggest obstacles to seizing the opportunities of digital learning in America is inadequate bandwidth at our schools and libraries. Simply put, they need faster high-capacity connections and they need them now. </w:t>
      </w:r>
    </w:p>
    <w:p w14:paraId="20E5100F" w14:textId="77777777" w:rsidR="00354B60" w:rsidRPr="00354B60" w:rsidRDefault="00354B60" w:rsidP="00354B60">
      <w:pPr>
        <w:autoSpaceDE w:val="0"/>
        <w:autoSpaceDN w:val="0"/>
        <w:adjustRightInd w:val="0"/>
        <w:rPr>
          <w:szCs w:val="22"/>
          <w:lang w:val="en"/>
        </w:rPr>
      </w:pPr>
    </w:p>
    <w:p w14:paraId="0EA5E64B" w14:textId="77777777" w:rsidR="00354B60" w:rsidRPr="00354B60" w:rsidRDefault="00354B60" w:rsidP="00354B60">
      <w:pPr>
        <w:autoSpaceDE w:val="0"/>
        <w:autoSpaceDN w:val="0"/>
        <w:adjustRightInd w:val="0"/>
        <w:ind w:firstLine="720"/>
        <w:rPr>
          <w:szCs w:val="22"/>
          <w:lang w:val="en"/>
        </w:rPr>
      </w:pPr>
      <w:r w:rsidRPr="00354B60">
        <w:rPr>
          <w:szCs w:val="22"/>
          <w:lang w:val="en"/>
        </w:rPr>
        <w:t xml:space="preserve">Today, however, we take an important step toward ensuring that our schools and libraries have the bandwidth they need:  we launch a modernization of E-Rate that the times demand and our children deserve. </w:t>
      </w:r>
    </w:p>
    <w:p w14:paraId="0D8092BB" w14:textId="77777777" w:rsidR="00354B60" w:rsidRPr="00354B60" w:rsidRDefault="00354B60" w:rsidP="00354B60">
      <w:pPr>
        <w:autoSpaceDE w:val="0"/>
        <w:autoSpaceDN w:val="0"/>
        <w:adjustRightInd w:val="0"/>
        <w:rPr>
          <w:szCs w:val="22"/>
          <w:lang w:val="en"/>
        </w:rPr>
      </w:pPr>
    </w:p>
    <w:p w14:paraId="1889CE5A" w14:textId="77777777" w:rsidR="00354B60" w:rsidRPr="00354B60" w:rsidRDefault="00354B60" w:rsidP="00354B60">
      <w:pPr>
        <w:autoSpaceDE w:val="0"/>
        <w:autoSpaceDN w:val="0"/>
        <w:adjustRightInd w:val="0"/>
        <w:ind w:firstLine="720"/>
        <w:rPr>
          <w:szCs w:val="22"/>
          <w:lang w:val="en"/>
        </w:rPr>
      </w:pPr>
      <w:r w:rsidRPr="00354B60">
        <w:rPr>
          <w:szCs w:val="22"/>
          <w:lang w:val="en"/>
        </w:rPr>
        <w:t xml:space="preserve">E-rate is one of the FCC’s biggest success stories. This public-private partnership has helped connect nearly every U.S. library and school to the Internet. This includes places like Kenmore Middle School in Arlington, which I visited two years ago. That is where I first met Dr. Word and saw some of the amazing things he and his staff have achieved. It also includes schools like Loris Elementary in my home state of South Carolina.  </w:t>
      </w:r>
    </w:p>
    <w:p w14:paraId="79BE11EE" w14:textId="77777777" w:rsidR="00354B60" w:rsidRPr="00354B60" w:rsidRDefault="00354B60" w:rsidP="00354B60">
      <w:pPr>
        <w:autoSpaceDE w:val="0"/>
        <w:autoSpaceDN w:val="0"/>
        <w:adjustRightInd w:val="0"/>
        <w:ind w:firstLine="720"/>
        <w:rPr>
          <w:szCs w:val="22"/>
          <w:lang w:val="en"/>
        </w:rPr>
      </w:pPr>
    </w:p>
    <w:p w14:paraId="0BC2E35B" w14:textId="77777777" w:rsidR="00354B60" w:rsidRPr="00354B60" w:rsidRDefault="00354B60" w:rsidP="00354B60">
      <w:pPr>
        <w:autoSpaceDE w:val="0"/>
        <w:autoSpaceDN w:val="0"/>
        <w:adjustRightInd w:val="0"/>
        <w:ind w:firstLine="720"/>
        <w:rPr>
          <w:szCs w:val="22"/>
          <w:lang w:val="en"/>
        </w:rPr>
      </w:pPr>
      <w:r w:rsidRPr="00354B60">
        <w:rPr>
          <w:szCs w:val="22"/>
          <w:lang w:val="en"/>
        </w:rPr>
        <w:t xml:space="preserve">You’ve heard about Kenmore so let me tell you a little about Loris, South Carolina. It is a town of about 2,400 people, almost half of whom live in poverty. But the local elementary school is using technology to help their children rise above these circumstances.  </w:t>
      </w:r>
    </w:p>
    <w:p w14:paraId="4E98D254" w14:textId="77777777" w:rsidR="00354B60" w:rsidRPr="00354B60" w:rsidRDefault="00354B60" w:rsidP="00354B60">
      <w:pPr>
        <w:autoSpaceDE w:val="0"/>
        <w:autoSpaceDN w:val="0"/>
        <w:adjustRightInd w:val="0"/>
        <w:rPr>
          <w:szCs w:val="22"/>
          <w:lang w:val="en"/>
        </w:rPr>
      </w:pPr>
      <w:r w:rsidRPr="00354B60">
        <w:rPr>
          <w:szCs w:val="22"/>
          <w:lang w:val="en"/>
        </w:rPr>
        <w:t>Every student in grades three through five has been assigned a laptop loaded with learning software. Teachers are using digital tools to assess each student’s progress in real time and offer differentiated instruction to meet each student’s individual needs. Now, test scores are up and in state rankings of similar schools Loris Elementary rose from 41</w:t>
      </w:r>
      <w:r w:rsidRPr="00354B60">
        <w:rPr>
          <w:szCs w:val="22"/>
          <w:vertAlign w:val="superscript"/>
          <w:lang w:val="en"/>
        </w:rPr>
        <w:t>st</w:t>
      </w:r>
      <w:r w:rsidRPr="00354B60">
        <w:rPr>
          <w:szCs w:val="22"/>
          <w:lang w:val="en"/>
        </w:rPr>
        <w:t xml:space="preserve"> into the top 20. </w:t>
      </w:r>
    </w:p>
    <w:p w14:paraId="57C9CA2A" w14:textId="77777777" w:rsidR="00354B60" w:rsidRPr="00354B60" w:rsidRDefault="00354B60" w:rsidP="00354B60">
      <w:pPr>
        <w:autoSpaceDE w:val="0"/>
        <w:autoSpaceDN w:val="0"/>
        <w:adjustRightInd w:val="0"/>
        <w:rPr>
          <w:szCs w:val="22"/>
          <w:lang w:val="en"/>
        </w:rPr>
      </w:pPr>
    </w:p>
    <w:p w14:paraId="735D8B71" w14:textId="77777777" w:rsidR="00354B60" w:rsidRPr="00354B60" w:rsidRDefault="00354B60" w:rsidP="00354B60">
      <w:pPr>
        <w:autoSpaceDE w:val="0"/>
        <w:autoSpaceDN w:val="0"/>
        <w:adjustRightInd w:val="0"/>
        <w:ind w:firstLine="720"/>
        <w:rPr>
          <w:szCs w:val="22"/>
          <w:lang w:val="en"/>
        </w:rPr>
      </w:pPr>
      <w:r w:rsidRPr="00354B60">
        <w:rPr>
          <w:szCs w:val="22"/>
          <w:lang w:val="en"/>
        </w:rPr>
        <w:t xml:space="preserve">Places like Kenmore Middle and Loris Elementary remind us that broadband has the potential to be the great equalizer for our children. It doesn’t matter whether you live in a rural, </w:t>
      </w:r>
      <w:r w:rsidRPr="00354B60">
        <w:rPr>
          <w:szCs w:val="22"/>
          <w:lang w:val="en"/>
        </w:rPr>
        <w:lastRenderedPageBreak/>
        <w:t xml:space="preserve">low-income area or in a wealthy urban community, connecting a child to the Internet links them to cutting-edge instruction and new learning opportunities.  </w:t>
      </w:r>
    </w:p>
    <w:p w14:paraId="66BB5440" w14:textId="77777777" w:rsidR="00354B60" w:rsidRPr="00354B60" w:rsidRDefault="00354B60" w:rsidP="00354B60">
      <w:pPr>
        <w:autoSpaceDE w:val="0"/>
        <w:autoSpaceDN w:val="0"/>
        <w:adjustRightInd w:val="0"/>
        <w:ind w:firstLine="720"/>
        <w:rPr>
          <w:szCs w:val="22"/>
          <w:lang w:val="en"/>
        </w:rPr>
      </w:pPr>
    </w:p>
    <w:p w14:paraId="3B9C1229" w14:textId="77777777" w:rsidR="00354B60" w:rsidRPr="00354B60" w:rsidRDefault="00354B60" w:rsidP="00354B60">
      <w:pPr>
        <w:autoSpaceDE w:val="0"/>
        <w:autoSpaceDN w:val="0"/>
        <w:adjustRightInd w:val="0"/>
        <w:ind w:firstLine="720"/>
        <w:rPr>
          <w:szCs w:val="22"/>
          <w:lang w:val="en"/>
        </w:rPr>
      </w:pPr>
      <w:r w:rsidRPr="00354B60">
        <w:rPr>
          <w:szCs w:val="22"/>
          <w:lang w:val="en"/>
        </w:rPr>
        <w:t xml:space="preserve">Our goal should be to make this the rule and not the exception.  </w:t>
      </w:r>
    </w:p>
    <w:p w14:paraId="6D7192D9" w14:textId="77777777" w:rsidR="00354B60" w:rsidRPr="00354B60" w:rsidRDefault="00354B60" w:rsidP="00354B60">
      <w:pPr>
        <w:autoSpaceDE w:val="0"/>
        <w:autoSpaceDN w:val="0"/>
        <w:adjustRightInd w:val="0"/>
        <w:rPr>
          <w:szCs w:val="22"/>
          <w:lang w:val="en"/>
        </w:rPr>
      </w:pPr>
    </w:p>
    <w:p w14:paraId="391B7483" w14:textId="77777777" w:rsidR="00354B60" w:rsidRPr="00354B60" w:rsidRDefault="00354B60" w:rsidP="00354B60">
      <w:pPr>
        <w:autoSpaceDE w:val="0"/>
        <w:autoSpaceDN w:val="0"/>
        <w:adjustRightInd w:val="0"/>
        <w:rPr>
          <w:szCs w:val="22"/>
          <w:lang w:val="en"/>
        </w:rPr>
      </w:pPr>
      <w:r w:rsidRPr="00354B60">
        <w:rPr>
          <w:szCs w:val="22"/>
          <w:lang w:val="en"/>
        </w:rPr>
        <w:tab/>
        <w:t>We also need to ensure, similar advances for libraries.  These reference centers are key pieces of the overall education picture because they support kindergarten-through-12</w:t>
      </w:r>
      <w:r w:rsidRPr="00354B60">
        <w:rPr>
          <w:szCs w:val="22"/>
          <w:vertAlign w:val="superscript"/>
          <w:lang w:val="en"/>
        </w:rPr>
        <w:t>th</w:t>
      </w:r>
      <w:r w:rsidRPr="00354B60">
        <w:rPr>
          <w:szCs w:val="22"/>
          <w:lang w:val="en"/>
        </w:rPr>
        <w:t xml:space="preserve"> grade students after school hours with online research resources, interactive online homework help, and digital learning labs.  They also support home-schooled students, distance learners, GED preparation and test-taking, job retraining, and other lifelong learning.  </w:t>
      </w:r>
    </w:p>
    <w:p w14:paraId="6D518BCC" w14:textId="77777777" w:rsidR="00354B60" w:rsidRPr="00354B60" w:rsidRDefault="00354B60" w:rsidP="00354B60">
      <w:pPr>
        <w:autoSpaceDE w:val="0"/>
        <w:autoSpaceDN w:val="0"/>
        <w:adjustRightInd w:val="0"/>
        <w:rPr>
          <w:szCs w:val="22"/>
          <w:lang w:val="en"/>
        </w:rPr>
      </w:pPr>
    </w:p>
    <w:p w14:paraId="6C6CF284" w14:textId="77777777" w:rsidR="00354B60" w:rsidRPr="00354B60" w:rsidRDefault="00354B60" w:rsidP="00354B60">
      <w:pPr>
        <w:autoSpaceDE w:val="0"/>
        <w:autoSpaceDN w:val="0"/>
        <w:adjustRightInd w:val="0"/>
        <w:rPr>
          <w:szCs w:val="22"/>
          <w:lang w:val="en"/>
        </w:rPr>
      </w:pPr>
      <w:r w:rsidRPr="00354B60">
        <w:rPr>
          <w:szCs w:val="22"/>
          <w:lang w:val="en"/>
        </w:rPr>
        <w:tab/>
        <w:t>Libraries are the civic hubs for the information age providing the public with digital literacy training and free Internet access so community members may apply for jobs, learn new skills, and access critical government resources.</w:t>
      </w:r>
    </w:p>
    <w:p w14:paraId="2AA090E4" w14:textId="77777777" w:rsidR="00354B60" w:rsidRPr="00354B60" w:rsidRDefault="00354B60" w:rsidP="00354B60">
      <w:pPr>
        <w:autoSpaceDE w:val="0"/>
        <w:autoSpaceDN w:val="0"/>
        <w:adjustRightInd w:val="0"/>
        <w:ind w:firstLine="720"/>
        <w:rPr>
          <w:szCs w:val="22"/>
          <w:lang w:val="en"/>
        </w:rPr>
      </w:pPr>
    </w:p>
    <w:p w14:paraId="6CE333B2" w14:textId="77777777" w:rsidR="00354B60" w:rsidRPr="00354B60" w:rsidRDefault="00354B60" w:rsidP="00354B60">
      <w:pPr>
        <w:autoSpaceDE w:val="0"/>
        <w:autoSpaceDN w:val="0"/>
        <w:adjustRightInd w:val="0"/>
        <w:ind w:firstLine="720"/>
        <w:rPr>
          <w:szCs w:val="22"/>
        </w:rPr>
      </w:pPr>
      <w:r w:rsidRPr="00354B60">
        <w:rPr>
          <w:szCs w:val="22"/>
          <w:lang w:val="en"/>
        </w:rPr>
        <w:t>While E-rate has made a significant impact on connectivity for schools and libraries over the past 15 years, today’s cutting-edge educational tools and learning platforms were not part of the landscape when the Commission first implemented this Congressional directive.</w:t>
      </w:r>
      <w:r w:rsidRPr="00354B60">
        <w:rPr>
          <w:szCs w:val="22"/>
        </w:rPr>
        <w:t xml:space="preserve">  </w:t>
      </w:r>
    </w:p>
    <w:p w14:paraId="63432EB2" w14:textId="77777777" w:rsidR="00354B60" w:rsidRPr="00354B60" w:rsidRDefault="00354B60" w:rsidP="00354B60">
      <w:pPr>
        <w:autoSpaceDE w:val="0"/>
        <w:autoSpaceDN w:val="0"/>
        <w:adjustRightInd w:val="0"/>
        <w:rPr>
          <w:szCs w:val="22"/>
        </w:rPr>
      </w:pPr>
    </w:p>
    <w:p w14:paraId="2363463F" w14:textId="77777777" w:rsidR="00354B60" w:rsidRPr="00354B60" w:rsidRDefault="00354B60" w:rsidP="00354B60">
      <w:pPr>
        <w:autoSpaceDE w:val="0"/>
        <w:autoSpaceDN w:val="0"/>
        <w:adjustRightInd w:val="0"/>
        <w:ind w:firstLine="720"/>
        <w:rPr>
          <w:szCs w:val="22"/>
          <w:lang w:val="en"/>
        </w:rPr>
      </w:pPr>
      <w:r w:rsidRPr="00354B60">
        <w:rPr>
          <w:color w:val="010101"/>
          <w:szCs w:val="22"/>
        </w:rPr>
        <w:t xml:space="preserve">As educators increasingly integrate digital content into their lesson plans, faster speeds and additional capacity are needed to accommodate all of the interactive, educational uses the Internet offers. Although some schools have sufficient capacity to implement digital learning tools and strategies, too many do not.  </w:t>
      </w:r>
      <w:r w:rsidRPr="00354B60">
        <w:rPr>
          <w:szCs w:val="22"/>
          <w:lang w:val="en"/>
        </w:rPr>
        <w:t>In fact, in a 2010 FCC survey of schools and districts, nearly half of respondents reported lower speed Internet connectivity than the average American home. Similarly, forty-one percent of libraries reported that their connectivity was inadequate to meet patron demand in 2012, and fewer than 10 percent of America’s libraries offer Internet speeds of 100Mbps or faster.</w:t>
      </w:r>
    </w:p>
    <w:p w14:paraId="328AA1B9" w14:textId="77777777" w:rsidR="00354B60" w:rsidRPr="00354B60" w:rsidRDefault="00354B60" w:rsidP="00354B60">
      <w:pPr>
        <w:autoSpaceDE w:val="0"/>
        <w:autoSpaceDN w:val="0"/>
        <w:adjustRightInd w:val="0"/>
        <w:rPr>
          <w:szCs w:val="22"/>
          <w:lang w:val="en"/>
        </w:rPr>
      </w:pPr>
    </w:p>
    <w:p w14:paraId="0B6B10F3" w14:textId="77777777" w:rsidR="00354B60" w:rsidRPr="00354B60" w:rsidRDefault="00354B60" w:rsidP="00354B60">
      <w:pPr>
        <w:autoSpaceDE w:val="0"/>
        <w:autoSpaceDN w:val="0"/>
        <w:adjustRightInd w:val="0"/>
        <w:ind w:firstLine="720"/>
        <w:rPr>
          <w:szCs w:val="22"/>
          <w:lang w:val="en"/>
        </w:rPr>
      </w:pPr>
      <w:r w:rsidRPr="00354B60">
        <w:rPr>
          <w:szCs w:val="22"/>
          <w:lang w:val="en"/>
        </w:rPr>
        <w:t>This is simply not good enough. We must ensure that our young people, teachers, and the millions of citizens that use libraries each year have access to the tools they need to compete and succeed in the digital age. We need to do this for our children and we need to do this for our nation.  The U.S. will fall behind in the 21</w:t>
      </w:r>
      <w:r w:rsidRPr="00354B60">
        <w:rPr>
          <w:szCs w:val="22"/>
          <w:vertAlign w:val="superscript"/>
          <w:lang w:val="en"/>
        </w:rPr>
        <w:t>st</w:t>
      </w:r>
      <w:r w:rsidRPr="00354B60">
        <w:rPr>
          <w:szCs w:val="22"/>
          <w:lang w:val="en"/>
        </w:rPr>
        <w:t xml:space="preserve"> century economy if our classrooms don’t evolve beyond a 19</w:t>
      </w:r>
      <w:r w:rsidRPr="00354B60">
        <w:rPr>
          <w:szCs w:val="22"/>
          <w:vertAlign w:val="superscript"/>
          <w:lang w:val="en"/>
        </w:rPr>
        <w:t>th</w:t>
      </w:r>
      <w:r w:rsidRPr="00354B60">
        <w:rPr>
          <w:szCs w:val="22"/>
          <w:lang w:val="en"/>
        </w:rPr>
        <w:t xml:space="preserve"> century model. </w:t>
      </w:r>
    </w:p>
    <w:p w14:paraId="2575EC7B" w14:textId="77777777" w:rsidR="00354B60" w:rsidRPr="00354B60" w:rsidRDefault="00354B60" w:rsidP="00354B60">
      <w:pPr>
        <w:autoSpaceDE w:val="0"/>
        <w:autoSpaceDN w:val="0"/>
        <w:adjustRightInd w:val="0"/>
        <w:rPr>
          <w:szCs w:val="22"/>
          <w:lang w:val="en"/>
        </w:rPr>
      </w:pPr>
    </w:p>
    <w:p w14:paraId="37FDF8FC" w14:textId="77777777" w:rsidR="00354B60" w:rsidRPr="00354B60" w:rsidRDefault="00354B60" w:rsidP="00354B60">
      <w:pPr>
        <w:autoSpaceDE w:val="0"/>
        <w:autoSpaceDN w:val="0"/>
        <w:adjustRightInd w:val="0"/>
        <w:ind w:firstLine="720"/>
        <w:rPr>
          <w:szCs w:val="22"/>
          <w:lang w:val="en"/>
        </w:rPr>
      </w:pPr>
      <w:r w:rsidRPr="00354B60">
        <w:rPr>
          <w:szCs w:val="22"/>
          <w:lang w:val="en"/>
        </w:rPr>
        <w:t xml:space="preserve">Last month, President Obama went to Mooresville High School in North Carolina and issued a call for action to close our education system’s bandwidth deficit. He announced his ConnectED initiative and called on the FCC to bring high-speed Internet to 99% of U.S. students within five years. </w:t>
      </w:r>
    </w:p>
    <w:p w14:paraId="2545AE45" w14:textId="77777777" w:rsidR="00354B60" w:rsidRPr="00354B60" w:rsidRDefault="00354B60" w:rsidP="00354B60">
      <w:pPr>
        <w:autoSpaceDE w:val="0"/>
        <w:autoSpaceDN w:val="0"/>
        <w:adjustRightInd w:val="0"/>
        <w:ind w:firstLine="720"/>
        <w:rPr>
          <w:szCs w:val="22"/>
          <w:lang w:val="en"/>
        </w:rPr>
      </w:pPr>
    </w:p>
    <w:p w14:paraId="7D3B54EB" w14:textId="77777777" w:rsidR="00354B60" w:rsidRPr="00354B60" w:rsidRDefault="00354B60" w:rsidP="00354B60">
      <w:pPr>
        <w:autoSpaceDE w:val="0"/>
        <w:autoSpaceDN w:val="0"/>
        <w:adjustRightInd w:val="0"/>
        <w:ind w:firstLine="720"/>
        <w:rPr>
          <w:szCs w:val="22"/>
          <w:lang w:val="en"/>
        </w:rPr>
      </w:pPr>
      <w:r w:rsidRPr="00354B60">
        <w:rPr>
          <w:szCs w:val="22"/>
          <w:lang w:val="en"/>
        </w:rPr>
        <w:t xml:space="preserve">Answering the President’s call will require modernizing E-Rate. </w:t>
      </w:r>
    </w:p>
    <w:p w14:paraId="6835C2FD" w14:textId="77777777" w:rsidR="00354B60" w:rsidRPr="00354B60" w:rsidRDefault="00354B60" w:rsidP="00354B60">
      <w:pPr>
        <w:autoSpaceDE w:val="0"/>
        <w:autoSpaceDN w:val="0"/>
        <w:adjustRightInd w:val="0"/>
        <w:ind w:firstLine="720"/>
        <w:rPr>
          <w:szCs w:val="22"/>
          <w:lang w:val="en"/>
        </w:rPr>
      </w:pPr>
    </w:p>
    <w:p w14:paraId="71865B45" w14:textId="77777777" w:rsidR="00354B60" w:rsidRPr="00354B60" w:rsidRDefault="00354B60" w:rsidP="00354B60">
      <w:pPr>
        <w:autoSpaceDE w:val="0"/>
        <w:autoSpaceDN w:val="0"/>
        <w:adjustRightInd w:val="0"/>
        <w:ind w:firstLine="720"/>
        <w:rPr>
          <w:szCs w:val="22"/>
          <w:lang w:val="en"/>
        </w:rPr>
      </w:pPr>
      <w:r w:rsidRPr="00354B60">
        <w:rPr>
          <w:szCs w:val="22"/>
          <w:lang w:val="en"/>
        </w:rPr>
        <w:t xml:space="preserve">Fortunately, the Commission began the process of updating E-Rate in 2010, starting with recommendations outlined in the National Broadband Plan to </w:t>
      </w:r>
      <w:r w:rsidRPr="00354B60">
        <w:rPr>
          <w:szCs w:val="22"/>
        </w:rPr>
        <w:t xml:space="preserve">cut red tape and give schools and libraries flexibility to get higher-capacity and more cost-effective broadband services. </w:t>
      </w:r>
    </w:p>
    <w:p w14:paraId="4A684D78" w14:textId="77777777" w:rsidR="00354B60" w:rsidRPr="00354B60" w:rsidRDefault="00354B60" w:rsidP="00354B60">
      <w:pPr>
        <w:autoSpaceDE w:val="0"/>
        <w:autoSpaceDN w:val="0"/>
        <w:adjustRightInd w:val="0"/>
        <w:rPr>
          <w:szCs w:val="22"/>
          <w:lang w:val="en"/>
        </w:rPr>
      </w:pPr>
    </w:p>
    <w:p w14:paraId="1E70C18C" w14:textId="77777777" w:rsidR="00354B60" w:rsidRPr="00354B60" w:rsidRDefault="00354B60" w:rsidP="00354B60">
      <w:pPr>
        <w:autoSpaceDE w:val="0"/>
        <w:autoSpaceDN w:val="0"/>
        <w:adjustRightInd w:val="0"/>
        <w:ind w:firstLine="720"/>
        <w:rPr>
          <w:szCs w:val="22"/>
          <w:lang w:val="en"/>
        </w:rPr>
      </w:pPr>
      <w:r w:rsidRPr="00354B60">
        <w:rPr>
          <w:szCs w:val="22"/>
          <w:lang w:val="en"/>
        </w:rPr>
        <w:t>But now is the time for a more significant revamp.</w:t>
      </w:r>
    </w:p>
    <w:p w14:paraId="66BDE03D" w14:textId="77777777" w:rsidR="00354B60" w:rsidRPr="00354B60" w:rsidRDefault="00354B60" w:rsidP="00354B60">
      <w:pPr>
        <w:autoSpaceDE w:val="0"/>
        <w:autoSpaceDN w:val="0"/>
        <w:adjustRightInd w:val="0"/>
        <w:rPr>
          <w:szCs w:val="22"/>
          <w:lang w:val="en"/>
        </w:rPr>
      </w:pPr>
    </w:p>
    <w:p w14:paraId="1D506FD6" w14:textId="77777777" w:rsidR="00354B60" w:rsidRPr="00354B60" w:rsidRDefault="00354B60" w:rsidP="00354B60">
      <w:pPr>
        <w:autoSpaceDE w:val="0"/>
        <w:autoSpaceDN w:val="0"/>
        <w:adjustRightInd w:val="0"/>
        <w:ind w:firstLine="720"/>
        <w:rPr>
          <w:szCs w:val="22"/>
          <w:lang w:val="en"/>
        </w:rPr>
      </w:pPr>
      <w:r w:rsidRPr="00354B60">
        <w:rPr>
          <w:szCs w:val="22"/>
          <w:lang w:val="en"/>
        </w:rPr>
        <w:t>Once again, we will roll up our sleeves and do what it takes to ensure that our nation’s schools and libraries have the broadband connections needed to meet their current and future requirements. This item is the critical first step.</w:t>
      </w:r>
    </w:p>
    <w:p w14:paraId="31DF18E5" w14:textId="77777777" w:rsidR="00354B60" w:rsidRPr="00354B60" w:rsidRDefault="00354B60" w:rsidP="00354B60">
      <w:pPr>
        <w:autoSpaceDE w:val="0"/>
        <w:autoSpaceDN w:val="0"/>
        <w:adjustRightInd w:val="0"/>
        <w:rPr>
          <w:szCs w:val="22"/>
          <w:lang w:val="en"/>
        </w:rPr>
      </w:pPr>
    </w:p>
    <w:p w14:paraId="56CACCDA" w14:textId="77777777" w:rsidR="00354B60" w:rsidRPr="00354B60" w:rsidRDefault="00354B60" w:rsidP="00354B60">
      <w:pPr>
        <w:autoSpaceDE w:val="0"/>
        <w:autoSpaceDN w:val="0"/>
        <w:adjustRightInd w:val="0"/>
        <w:ind w:firstLine="720"/>
        <w:rPr>
          <w:szCs w:val="22"/>
          <w:lang w:val="en"/>
        </w:rPr>
      </w:pPr>
      <w:r w:rsidRPr="00354B60">
        <w:rPr>
          <w:szCs w:val="22"/>
          <w:lang w:val="en"/>
        </w:rPr>
        <w:t xml:space="preserve">Today, we propose clear goals and seek comment on a variety of options for modernizing E-rate. This item advocates providing our schools and libraries with affordable access to high-capacity broadband, maximizing the cost effectiveness of purchases, and ensuring the administrative efficiency of E-rate. It also explores how to get better data, and how to use that data to make the best use of the E-rate funds. It inquires about the best ways to distribute funding fairly, considers phasing out support for outdated services and using any savings toward investments in more bandwidth. </w:t>
      </w:r>
    </w:p>
    <w:p w14:paraId="3D21A1DC" w14:textId="77777777" w:rsidR="00354B60" w:rsidRPr="00354B60" w:rsidRDefault="00354B60" w:rsidP="00354B60">
      <w:pPr>
        <w:autoSpaceDE w:val="0"/>
        <w:autoSpaceDN w:val="0"/>
        <w:adjustRightInd w:val="0"/>
        <w:rPr>
          <w:szCs w:val="22"/>
          <w:lang w:val="en"/>
        </w:rPr>
      </w:pPr>
    </w:p>
    <w:p w14:paraId="4E4B4685" w14:textId="77777777" w:rsidR="00354B60" w:rsidRPr="00354B60" w:rsidRDefault="00354B60" w:rsidP="00354B60">
      <w:pPr>
        <w:autoSpaceDE w:val="0"/>
        <w:autoSpaceDN w:val="0"/>
        <w:adjustRightInd w:val="0"/>
        <w:ind w:firstLine="720"/>
        <w:rPr>
          <w:szCs w:val="22"/>
          <w:lang w:val="en"/>
        </w:rPr>
      </w:pPr>
      <w:r w:rsidRPr="00354B60">
        <w:rPr>
          <w:szCs w:val="22"/>
          <w:lang w:val="en"/>
        </w:rPr>
        <w:t xml:space="preserve">The questions posed offer a starting point from which schools and libraries, state and local officials, and all interested stakeholders can share their views with the Commission. We look forward to this conversation and the leveraging of their knowledge and investments in order to establish the foundation for real, positive change in our classrooms and libraries.  </w:t>
      </w:r>
    </w:p>
    <w:p w14:paraId="38DD2EBD" w14:textId="77777777" w:rsidR="00354B60" w:rsidRPr="00354B60" w:rsidRDefault="00354B60" w:rsidP="00354B60">
      <w:pPr>
        <w:autoSpaceDE w:val="0"/>
        <w:autoSpaceDN w:val="0"/>
        <w:adjustRightInd w:val="0"/>
        <w:rPr>
          <w:szCs w:val="22"/>
          <w:lang w:val="en"/>
        </w:rPr>
      </w:pPr>
    </w:p>
    <w:p w14:paraId="1856DB02" w14:textId="77777777" w:rsidR="00354B60" w:rsidRPr="00354B60" w:rsidRDefault="00354B60" w:rsidP="00354B60">
      <w:pPr>
        <w:autoSpaceDE w:val="0"/>
        <w:autoSpaceDN w:val="0"/>
        <w:adjustRightInd w:val="0"/>
        <w:ind w:firstLine="720"/>
        <w:rPr>
          <w:color w:val="010101"/>
          <w:szCs w:val="22"/>
        </w:rPr>
      </w:pPr>
      <w:r w:rsidRPr="00354B60">
        <w:rPr>
          <w:szCs w:val="22"/>
          <w:lang w:val="en"/>
        </w:rPr>
        <w:t xml:space="preserve">I join my colleagues in calling on all stakeholders to work cooperatively to ensure that the culmination of our efforts will be the beginning of a modernized E-rate program that fulfills its promise to our nation’s schoolchildren and library patrons. </w:t>
      </w:r>
    </w:p>
    <w:p w14:paraId="571CA71A" w14:textId="77777777" w:rsidR="00354B60" w:rsidRPr="00354B60" w:rsidRDefault="00354B60" w:rsidP="00354B60">
      <w:pPr>
        <w:autoSpaceDE w:val="0"/>
        <w:autoSpaceDN w:val="0"/>
        <w:adjustRightInd w:val="0"/>
        <w:rPr>
          <w:color w:val="010101"/>
          <w:szCs w:val="22"/>
        </w:rPr>
      </w:pPr>
    </w:p>
    <w:p w14:paraId="01438650" w14:textId="77777777" w:rsidR="00354B60" w:rsidRPr="00354B60" w:rsidRDefault="00354B60" w:rsidP="00354B60">
      <w:pPr>
        <w:autoSpaceDE w:val="0"/>
        <w:autoSpaceDN w:val="0"/>
        <w:adjustRightInd w:val="0"/>
        <w:ind w:firstLine="720"/>
        <w:rPr>
          <w:szCs w:val="22"/>
        </w:rPr>
      </w:pPr>
      <w:r w:rsidRPr="00354B60">
        <w:rPr>
          <w:szCs w:val="22"/>
        </w:rPr>
        <w:lastRenderedPageBreak/>
        <w:t>As I close, I wish to thank Secretary Spellings</w:t>
      </w:r>
      <w:r w:rsidRPr="00354B60" w:rsidDel="00803ECE">
        <w:rPr>
          <w:szCs w:val="22"/>
        </w:rPr>
        <w:t xml:space="preserve"> </w:t>
      </w:r>
      <w:r w:rsidRPr="00354B60">
        <w:rPr>
          <w:szCs w:val="22"/>
        </w:rPr>
        <w:t xml:space="preserve">and Professor Steyer for joining us today, and for all of your work over the past 16 months. The LEAD Commission’s blueprint embodies serious thinking about the opportunities education technology puts within the grasp of our Nation’s children and teachers and how we can seize those opportunities as a nation. </w:t>
      </w:r>
    </w:p>
    <w:p w14:paraId="168453D4" w14:textId="77777777" w:rsidR="00354B60" w:rsidRPr="00354B60" w:rsidRDefault="00354B60" w:rsidP="00354B60">
      <w:pPr>
        <w:autoSpaceDE w:val="0"/>
        <w:autoSpaceDN w:val="0"/>
        <w:adjustRightInd w:val="0"/>
        <w:ind w:firstLine="720"/>
        <w:rPr>
          <w:szCs w:val="22"/>
        </w:rPr>
      </w:pPr>
    </w:p>
    <w:p w14:paraId="6D90984C" w14:textId="77777777" w:rsidR="00354B60" w:rsidRPr="00354B60" w:rsidRDefault="00354B60" w:rsidP="00354B60">
      <w:pPr>
        <w:autoSpaceDE w:val="0"/>
        <w:autoSpaceDN w:val="0"/>
        <w:adjustRightInd w:val="0"/>
        <w:ind w:firstLine="720"/>
        <w:rPr>
          <w:szCs w:val="22"/>
        </w:rPr>
      </w:pPr>
      <w:r w:rsidRPr="00354B60">
        <w:rPr>
          <w:szCs w:val="22"/>
        </w:rPr>
        <w:t xml:space="preserve">Dr. Word, thank you for all that you do each day.  Often when I think that I have a hard job, I think about my father, a former high school teacher and my sister Jennifer, a middle school teacher in South Carolina.  You have the really hard job.  For having 700 kids in your care every day, Dr. Word, we owe you much, and many thanks for coming by on one of your few days off.  </w:t>
      </w:r>
    </w:p>
    <w:p w14:paraId="5F2F8E5C" w14:textId="77777777" w:rsidR="00354B60" w:rsidRPr="00354B60" w:rsidRDefault="00354B60" w:rsidP="00354B60">
      <w:pPr>
        <w:autoSpaceDE w:val="0"/>
        <w:autoSpaceDN w:val="0"/>
        <w:adjustRightInd w:val="0"/>
        <w:ind w:firstLine="720"/>
        <w:rPr>
          <w:szCs w:val="22"/>
        </w:rPr>
      </w:pPr>
    </w:p>
    <w:p w14:paraId="3E75537C" w14:textId="77777777" w:rsidR="00354B60" w:rsidRPr="00354B60" w:rsidRDefault="00354B60" w:rsidP="00354B60">
      <w:pPr>
        <w:autoSpaceDE w:val="0"/>
        <w:autoSpaceDN w:val="0"/>
        <w:adjustRightInd w:val="0"/>
        <w:ind w:firstLine="720"/>
        <w:rPr>
          <w:szCs w:val="22"/>
        </w:rPr>
      </w:pPr>
      <w:r w:rsidRPr="00354B60">
        <w:rPr>
          <w:szCs w:val="22"/>
        </w:rPr>
        <w:t xml:space="preserve">Thank you to E-rate’s supporters on Capitol Hill, in particular Senator Rockefeller and Senator Markey, and former Senator Snowe, who have been champions of E-Rate from its beginning. </w:t>
      </w:r>
    </w:p>
    <w:p w14:paraId="3610A3C0" w14:textId="77777777" w:rsidR="00354B60" w:rsidRPr="00354B60" w:rsidRDefault="00354B60" w:rsidP="00354B60">
      <w:pPr>
        <w:autoSpaceDE w:val="0"/>
        <w:autoSpaceDN w:val="0"/>
        <w:adjustRightInd w:val="0"/>
        <w:ind w:firstLine="720"/>
        <w:rPr>
          <w:szCs w:val="22"/>
        </w:rPr>
      </w:pPr>
    </w:p>
    <w:p w14:paraId="3766BF36" w14:textId="77777777" w:rsidR="00354B60" w:rsidRPr="00354B60" w:rsidRDefault="00354B60" w:rsidP="00354B60">
      <w:pPr>
        <w:autoSpaceDE w:val="0"/>
        <w:autoSpaceDN w:val="0"/>
        <w:adjustRightInd w:val="0"/>
        <w:ind w:firstLine="720"/>
        <w:rPr>
          <w:szCs w:val="22"/>
        </w:rPr>
      </w:pPr>
      <w:r w:rsidRPr="00354B60">
        <w:rPr>
          <w:szCs w:val="22"/>
        </w:rPr>
        <w:t xml:space="preserve">Thank you to my fellow Commissioners, in particular Commissioner Rosenworcel whose passionate advocacy for a vital E-Rate goes back to her days as a Congressional staffer. And  thank you, of course, to the incredibly dedicated and overworked staff of the Wireline Competition Bureau, and my wireline advisor Rebekah Goodheart, we all truly appreciate the tireless work that went into the presentation of this item.  </w:t>
      </w:r>
    </w:p>
    <w:p w14:paraId="7BC258E0" w14:textId="77777777" w:rsidR="00354B60" w:rsidRPr="00C21DBE" w:rsidRDefault="00354B60" w:rsidP="00354B60">
      <w:pPr>
        <w:spacing w:line="360" w:lineRule="auto"/>
        <w:rPr>
          <w:rFonts w:ascii="Arial" w:hAnsi="Arial" w:cs="Arial"/>
          <w:sz w:val="28"/>
          <w:szCs w:val="28"/>
        </w:rPr>
      </w:pPr>
    </w:p>
    <w:p w14:paraId="69D8768B" w14:textId="77777777" w:rsidR="00354B60" w:rsidRDefault="00354B60" w:rsidP="00354B60"/>
    <w:p w14:paraId="6DFCA5B7" w14:textId="77777777" w:rsidR="00354B60" w:rsidRDefault="00354B60" w:rsidP="00F935B1">
      <w:pPr>
        <w:sectPr w:rsidR="00354B60">
          <w:pgSz w:w="12240" w:h="15840"/>
          <w:pgMar w:top="1440" w:right="1440" w:bottom="1440" w:left="1440" w:header="720" w:footer="720" w:gutter="0"/>
          <w:cols w:space="720"/>
          <w:docGrid w:linePitch="360"/>
        </w:sectPr>
      </w:pPr>
    </w:p>
    <w:p w14:paraId="765F3362" w14:textId="77777777" w:rsidR="00706682" w:rsidRPr="00354B60" w:rsidRDefault="00706682" w:rsidP="00706682">
      <w:pPr>
        <w:jc w:val="center"/>
      </w:pPr>
      <w:r w:rsidRPr="00354B60">
        <w:rPr>
          <w:b/>
        </w:rPr>
        <w:lastRenderedPageBreak/>
        <w:t>STATEMENT OF</w:t>
      </w:r>
      <w:r w:rsidRPr="00354B60">
        <w:rPr>
          <w:b/>
        </w:rPr>
        <w:br/>
        <w:t>COMMISSIONER JESSICA ROSENWORCEL</w:t>
      </w:r>
    </w:p>
    <w:p w14:paraId="3D433E4C" w14:textId="77777777" w:rsidR="00706682" w:rsidRPr="00354B60" w:rsidRDefault="00706682" w:rsidP="00706682"/>
    <w:p w14:paraId="57B9C1A6" w14:textId="3553159E" w:rsidR="00965E87" w:rsidRPr="00354B60" w:rsidRDefault="00706682" w:rsidP="00965E87">
      <w:r w:rsidRPr="00354B60">
        <w:t>Re:</w:t>
      </w:r>
      <w:r w:rsidRPr="00354B60">
        <w:tab/>
      </w:r>
      <w:r w:rsidRPr="00354B60">
        <w:rPr>
          <w:i/>
        </w:rPr>
        <w:t>Modernizing the E-Rate Program for Schools and Libraries</w:t>
      </w:r>
      <w:r w:rsidRPr="00354B60">
        <w:t xml:space="preserve">, </w:t>
      </w:r>
      <w:r w:rsidR="00965E87">
        <w:t>WC Docket No. 13-184.</w:t>
      </w:r>
    </w:p>
    <w:p w14:paraId="172DFBCB" w14:textId="77777777" w:rsidR="00706682" w:rsidRPr="00354B60" w:rsidRDefault="00706682" w:rsidP="00706682"/>
    <w:p w14:paraId="5A215FFB" w14:textId="77777777" w:rsidR="00706682" w:rsidRPr="00354B60" w:rsidRDefault="00706682" w:rsidP="00706682">
      <w:r w:rsidRPr="00354B60">
        <w:tab/>
        <w:t>This is big—because here comes E-Rate 2.0.</w:t>
      </w:r>
    </w:p>
    <w:p w14:paraId="4D6BF3BA" w14:textId="77777777" w:rsidR="00706682" w:rsidRPr="00354B60" w:rsidRDefault="00706682" w:rsidP="00706682"/>
    <w:p w14:paraId="417214B7" w14:textId="77777777" w:rsidR="00706682" w:rsidRPr="00354B60" w:rsidRDefault="00706682" w:rsidP="00706682">
      <w:r w:rsidRPr="00354B60">
        <w:tab/>
        <w:t>Over the last several months I have had the opportunity to talk about the E-Rate program at length with teachers, librarians, superintendents, school administrators, education technology providers, network engineers, device manufacturers, and content creators.  They obviously have different interests.  They spend their days in everything from classrooms to cubicles to corner offices.  They work with different educational systems in different communities across the country.  But they have one thing in common.  They believe in the power of E-Rate to bring connectivity to our nation’s schools and libraries.  They believe it is absolutely essential for digital age opportunity—and digital age success.</w:t>
      </w:r>
    </w:p>
    <w:p w14:paraId="50918AC5" w14:textId="77777777" w:rsidR="00706682" w:rsidRPr="00354B60" w:rsidRDefault="00706682" w:rsidP="00706682"/>
    <w:p w14:paraId="7A857CAF" w14:textId="77777777" w:rsidR="00706682" w:rsidRPr="00354B60" w:rsidRDefault="00706682" w:rsidP="00706682">
      <w:r w:rsidRPr="00354B60">
        <w:tab/>
        <w:t xml:space="preserve">I agree.  E-Rate is the nation’s largest education technology program.  Launched seventeen years ago through the vision and leadership of Senator Jay Rockefeller, Senator Olympia Snowe, and then Congressman, now Senator, Ed Markey, E-Rate has helped connect more than 95 percent of classrooms to the Internet.  </w:t>
      </w:r>
    </w:p>
    <w:p w14:paraId="6E0D2C99" w14:textId="77777777" w:rsidR="00706682" w:rsidRPr="00354B60" w:rsidRDefault="00706682" w:rsidP="00706682"/>
    <w:p w14:paraId="0A74E07F" w14:textId="77777777" w:rsidR="00706682" w:rsidRPr="00354B60" w:rsidRDefault="00706682" w:rsidP="00706682">
      <w:r w:rsidRPr="00354B60">
        <w:tab/>
        <w:t xml:space="preserve">Impressive!  But laurels are not good resting places.  Because we are quickly moving from a world where what matters is connectivity to a world where what matters is capacity.  Already, year-in and year-out, the demand for E-Rate support is double the roughly $2.3 billion the Commission now makes available annually.  Moreover, the agency’s own survey indicates that 80 percent of schools and libraries believe that their broadband connections do not meet their current needs.  </w:t>
      </w:r>
    </w:p>
    <w:p w14:paraId="40D525CE" w14:textId="77777777" w:rsidR="00706682" w:rsidRPr="00354B60" w:rsidRDefault="00706682" w:rsidP="00706682"/>
    <w:p w14:paraId="4C18161E" w14:textId="77777777" w:rsidR="00706682" w:rsidRPr="00354B60" w:rsidRDefault="00706682" w:rsidP="00706682">
      <w:r w:rsidRPr="00354B60">
        <w:tab/>
        <w:t>Let’s be honest.  Those needs are only going to grow.  School administrators are facing tough choices about limited bandwidth in the classroom.  How to divvy it up, what grades and classrooms get it, and what programs they can run on it.  This means that without adequate capacity our students are going to fall short.  They will be unable to realize the full potential of digital learning.  That’s a serious problem.</w:t>
      </w:r>
    </w:p>
    <w:p w14:paraId="53156546" w14:textId="77777777" w:rsidR="00706682" w:rsidRPr="00354B60" w:rsidRDefault="00706682" w:rsidP="00706682"/>
    <w:p w14:paraId="76DB093D" w14:textId="77777777" w:rsidR="00706682" w:rsidRPr="00354B60" w:rsidRDefault="00706682" w:rsidP="00706682">
      <w:r w:rsidRPr="00354B60">
        <w:tab/>
        <w:t xml:space="preserve">But this is not just a matter of getting schools and libraries connected; it’s a matter of our global </w:t>
      </w:r>
      <w:r w:rsidRPr="00354B60">
        <w:lastRenderedPageBreak/>
        <w:t>competitiveness.  Welcome to the world that is flat.  Knowledge, jobs, and capital are going to migrate to places where workers have digital age skills, especially those in science, technology, engineering, and math—or STEM fields.  In fact, the Bureau of Labor Statistics tells us that here at home over the next five years we will have over 1 million STEM-related job openings.  STEM jobs are growing at a rate three times faster than all other occupations.  And even opportunities outside of STEM will be increasingly digitized, and students will need technology skills to become competitive in the worldwide workforce.</w:t>
      </w:r>
    </w:p>
    <w:p w14:paraId="4BFE6F0E" w14:textId="77777777" w:rsidR="00706682" w:rsidRPr="00354B60" w:rsidRDefault="00706682" w:rsidP="00706682"/>
    <w:p w14:paraId="7AF75CB3" w14:textId="77777777" w:rsidR="00706682" w:rsidRPr="00354B60" w:rsidRDefault="00706682" w:rsidP="00706682">
      <w:r w:rsidRPr="00354B60">
        <w:tab/>
        <w:t xml:space="preserve">But we fail our students if we expect digital age learning to take place at near dial-up speeds.  A recent Harris survey found that roughly half of E-Rate schools access the Internet at speeds of 3 Megabits or less.  That is too slow for streaming high-definition video and not fast enough for the most innovative teaching tools.  Add to this that in the United States, out of 42,000 high schools, only 2100—five percent—offer computer science courses.  </w:t>
      </w:r>
    </w:p>
    <w:p w14:paraId="7EAC3F73" w14:textId="77777777" w:rsidR="00706682" w:rsidRPr="00354B60" w:rsidRDefault="00706682" w:rsidP="00706682"/>
    <w:p w14:paraId="310B2BB8" w14:textId="77777777" w:rsidR="00706682" w:rsidRPr="00354B60" w:rsidRDefault="00706682" w:rsidP="00706682">
      <w:r w:rsidRPr="00354B60">
        <w:tab/>
        <w:t xml:space="preserve">Contrast this with efforts underway in some of our world neighbors.  They are pouring resources into these subjects, into schools, and connectivity.  </w:t>
      </w:r>
    </w:p>
    <w:p w14:paraId="1498FEF3" w14:textId="77777777" w:rsidR="00706682" w:rsidRPr="00354B60" w:rsidRDefault="00706682" w:rsidP="00706682"/>
    <w:p w14:paraId="4C79603B" w14:textId="77777777" w:rsidR="00706682" w:rsidRPr="00354B60" w:rsidRDefault="00706682" w:rsidP="00706682">
      <w:r w:rsidRPr="00354B60">
        <w:tab/>
        <w:t xml:space="preserve">For example, in Singapore 100 percent of schools are wired with high-speed broadband.  In South Korea, 100 percent of schools are also connected to high-speed broadband.  With so much capacity, an effort is underway to transition all students from traditional textbooks to digital readers in 2016.  In Uruguay, through a national program, nearly all primary and secondary schools have been connected and every primary school student has access to a free laptop.  Uruguay also has revamped its secondary school science and math curricula adding robotics and national math competitions.  In Turkey, the Prime Minister is seeking a provider to supply 10 million tablets to Turkish students by 2015.  In Thailand, the government has established a one tablet per child policy in effort to reduce the education gap between the nation’s urban and rural children.  By the end of next year, the government will have distributed devices to 13 million school children.  </w:t>
      </w:r>
    </w:p>
    <w:p w14:paraId="676D9ADD" w14:textId="77777777" w:rsidR="00706682" w:rsidRPr="00354B60" w:rsidRDefault="00706682" w:rsidP="00706682"/>
    <w:p w14:paraId="72DAEB8C" w14:textId="77777777" w:rsidR="00706682" w:rsidRPr="00354B60" w:rsidRDefault="00706682" w:rsidP="00706682">
      <w:r w:rsidRPr="00354B60">
        <w:tab/>
        <w:t xml:space="preserve">For now, we can recognize that these countries are smaller than the United States.  They have different cultures.  They have different education systems.  But we can still take from these examples that improving broadband capacity to schools for digital age learning must be a national priority.  If we </w:t>
      </w:r>
      <w:r w:rsidRPr="00354B60">
        <w:lastRenderedPageBreak/>
        <w:t>fracture this effort and leave it to every local school jurisdiction we will miss opportunities for scale and savings.  Yet in the end the point is a simple one.  Access to adequate broadband is not a luxury—it is a necessity for our next generation to be able to compete.  Just like in my day you wouldn’t have a classroom without a blackboard, today we shouldn’t have a classroom without broadband.</w:t>
      </w:r>
    </w:p>
    <w:p w14:paraId="538B3CD7" w14:textId="77777777" w:rsidR="00706682" w:rsidRPr="00354B60" w:rsidRDefault="00706682" w:rsidP="00706682"/>
    <w:p w14:paraId="1FA9DC00" w14:textId="77777777" w:rsidR="00706682" w:rsidRPr="00354B60" w:rsidRDefault="00706682" w:rsidP="00706682">
      <w:r w:rsidRPr="00354B60">
        <w:tab/>
        <w:t>We are at a crossroads.  We have a choice.  We can wait and see where the status quo takes us and let other nations lead the way.  Or we can choose a future where all American students have the opportunity to gain the skills they need to compete, no matter who they are, where they live, or where they go to school.</w:t>
      </w:r>
    </w:p>
    <w:p w14:paraId="5269A1F3" w14:textId="77777777" w:rsidR="00706682" w:rsidRPr="00354B60" w:rsidRDefault="00706682" w:rsidP="00706682"/>
    <w:p w14:paraId="3976B8BA" w14:textId="77777777" w:rsidR="00706682" w:rsidRPr="00354B60" w:rsidRDefault="00706682" w:rsidP="00706682">
      <w:r w:rsidRPr="00354B60">
        <w:tab/>
        <w:t>For my part, I believe that it is time to compete.  It is time for E-Rate 2.0.  We need to protect what we have already done, build on it, and put this program on a course to provide higher speeds and greater opportunities in the days ahead.</w:t>
      </w:r>
    </w:p>
    <w:p w14:paraId="1A997C0F" w14:textId="77777777" w:rsidR="00706682" w:rsidRPr="00354B60" w:rsidRDefault="00706682" w:rsidP="00706682"/>
    <w:p w14:paraId="0D38FFAD" w14:textId="77777777" w:rsidR="00706682" w:rsidRPr="00354B60" w:rsidRDefault="00706682" w:rsidP="00706682">
      <w:r w:rsidRPr="00354B60">
        <w:tab/>
        <w:t>So I am especially pleased that today we begin this process with this rulemaking.  In keeping with our tradition here at the FCC, this document is comprehensive.  It reflects the diligent work of many dedicated lawyers.  It covers a lot of important issues.  But there are two issues I believe deserve our immediate focus if we want to see E-Rate 2.0 up and running fast.  We need to focus on setting capacity goals and simplifying the application process.</w:t>
      </w:r>
    </w:p>
    <w:p w14:paraId="5EB55A7A" w14:textId="77777777" w:rsidR="00706682" w:rsidRPr="00354B60" w:rsidRDefault="00706682" w:rsidP="00706682"/>
    <w:p w14:paraId="6E5CD0DC" w14:textId="77777777" w:rsidR="00706682" w:rsidRPr="00354B60" w:rsidRDefault="00706682" w:rsidP="00706682">
      <w:r w:rsidRPr="00354B60">
        <w:tab/>
        <w:t xml:space="preserve">First, E-Rate 2.0 must be built on clear capacity goals.  The fact that we have connected so many schools and libraries with E-Rate is good.  But the job is not done.  A recent survey from Project Tomorrow tells us that only 15 percent of schools believe they have the bandwidth they need for instructional purposes.  It means they are unable to use the most up-to-date educational materials.  We can fix this with capacity goals.  </w:t>
      </w:r>
    </w:p>
    <w:p w14:paraId="79C58041" w14:textId="77777777" w:rsidR="00706682" w:rsidRPr="00354B60" w:rsidRDefault="00706682" w:rsidP="00706682"/>
    <w:p w14:paraId="28D632E1" w14:textId="77777777" w:rsidR="00706682" w:rsidRPr="00354B60" w:rsidRDefault="00706682" w:rsidP="00706682">
      <w:pPr>
        <w:ind w:firstLine="720"/>
      </w:pPr>
      <w:r w:rsidRPr="00354B60">
        <w:t>Furthermore, capacity goals will signal to markets that the Unites States is serious about making digital education a priority.  This will yield more opportunities through greater scale for new services, teaching tools, and devices—everywhere.  We can use them to facilitate public-private partnership opportunities that will bring education enhancing technology to classrooms in communities across the country.</w:t>
      </w:r>
    </w:p>
    <w:p w14:paraId="3C6A9F8E" w14:textId="77777777" w:rsidR="00706682" w:rsidRPr="00354B60" w:rsidRDefault="00706682" w:rsidP="00706682"/>
    <w:p w14:paraId="6177DECE" w14:textId="77777777" w:rsidR="00706682" w:rsidRPr="00354B60" w:rsidRDefault="00706682" w:rsidP="00706682">
      <w:r w:rsidRPr="00354B60">
        <w:tab/>
        <w:t xml:space="preserve">Today’s rulemaking sets out some capacity goals that I have proposed in the past—and fully support.  By the 2015 school </w:t>
      </w:r>
      <w:r w:rsidRPr="00354B60">
        <w:lastRenderedPageBreak/>
        <w:t>year, every school should have access to 100 Megabits per 1000 students.  Before the end of the decade, every school should have access to 1 Gigabit per 1000 students.  Libraries, too, will need access on par with these capacity goals.  And this provides more than just scale for content and device providers.  Because the spillover effect for this kind of broadband in local communities is substantial.  Building Gigabit capacity to anchor institutions like schools and libraries is the ticket to Gigabit cites and the ticket to digital education and economic growth.</w:t>
      </w:r>
    </w:p>
    <w:p w14:paraId="4EAB64F8" w14:textId="77777777" w:rsidR="00706682" w:rsidRPr="00354B60" w:rsidRDefault="00706682" w:rsidP="00706682"/>
    <w:p w14:paraId="204D59A9" w14:textId="77777777" w:rsidR="00706682" w:rsidRPr="00354B60" w:rsidRDefault="00706682" w:rsidP="00706682">
      <w:r w:rsidRPr="00354B60">
        <w:tab/>
        <w:t xml:space="preserve">To get to these goals, we need to take a hard look at the existing program.  We need to collect better data from each of our applicants about what capacity they have and what capacity they need.  Then I think we can make adjustments to how we prioritize funding to ensure that schools shorter on capacity get greater access to support.  </w:t>
      </w:r>
    </w:p>
    <w:p w14:paraId="52755A85" w14:textId="77777777" w:rsidR="00706682" w:rsidRPr="00354B60" w:rsidRDefault="00706682" w:rsidP="00706682"/>
    <w:p w14:paraId="7B1E8E02" w14:textId="77777777" w:rsidR="00706682" w:rsidRPr="00354B60" w:rsidRDefault="00706682" w:rsidP="00706682">
      <w:r w:rsidRPr="00354B60">
        <w:tab/>
        <w:t>As part of this hard look, we should phase down the estimated $600 million we currently spend on outdated services like paging and free up those funds for more high-capacity broadband.  But growing this program is about growing national infrastructure and enhancing educational opportunity for the next generation.  It is a conversation we need to have, because it is where we need to invest now.</w:t>
      </w:r>
    </w:p>
    <w:p w14:paraId="5E3ADFEE" w14:textId="77777777" w:rsidR="00706682" w:rsidRPr="00354B60" w:rsidRDefault="00706682" w:rsidP="00706682"/>
    <w:p w14:paraId="13AD9B62" w14:textId="77777777" w:rsidR="00706682" w:rsidRPr="00354B60" w:rsidRDefault="00706682" w:rsidP="00706682">
      <w:r w:rsidRPr="00354B60">
        <w:tab/>
        <w:t xml:space="preserve">Second, we need ideas from stakeholders far and wide about how to simplify the application process.  I can tell you from my experiences speaking about E-Rate during the last several months that nothing gets applause like the promise of simplifying the process.  I hope we can take a fresh look at how the complexity of our existing system can deter small and rural schools from applying.  To this end, in our rulemaking we ask about the feasibility of multi-year applications.  This could substantially reduce paperwork and administrative expense.  We also ask how to encourage greater use of consortia applications.  This could mean greater scale and more cost-effective purchasing.  I think these are good ideas.  We should be open to others—especially from those who know the challenge of filling out these forms year-in and year-out.  </w:t>
      </w:r>
    </w:p>
    <w:p w14:paraId="062EC3FD" w14:textId="77777777" w:rsidR="00706682" w:rsidRPr="00354B60" w:rsidRDefault="00706682" w:rsidP="00706682"/>
    <w:p w14:paraId="4B217C07" w14:textId="77777777" w:rsidR="00706682" w:rsidRPr="00354B60" w:rsidRDefault="00706682" w:rsidP="00706682">
      <w:r w:rsidRPr="00354B60">
        <w:tab/>
        <w:t xml:space="preserve">As we move forward with our rulemaking, I think E-Rate 2.0 requires us to think big and reach beyond Washington.  We need to hear from educators and technology experts on the front lines in classrooms across the country.  Because as President Obama put it in Mooresville, North Carolina last month, we are “at a moment when the rest of the world is trying to out-educate us[.]”  But it is within our reach to make sure that our young </w:t>
      </w:r>
      <w:r w:rsidRPr="00354B60">
        <w:lastRenderedPageBreak/>
        <w:t xml:space="preserve">people have every tool they need to go as far as their talents and dreams and ambitions and hard work will take them.  </w:t>
      </w:r>
    </w:p>
    <w:p w14:paraId="5E9FFE72" w14:textId="77777777" w:rsidR="00706682" w:rsidRPr="00354B60" w:rsidRDefault="00706682" w:rsidP="00706682"/>
    <w:p w14:paraId="3AF13674" w14:textId="77777777" w:rsidR="00706682" w:rsidRPr="00354B60" w:rsidRDefault="00706682" w:rsidP="00706682">
      <w:r w:rsidRPr="00354B60">
        <w:tab/>
        <w:t xml:space="preserve">So let’s do something audacious.  Let’s seize the powerful combination of broadband, plummeting device costs, and increasing opportunity for cloud-based educational content.  Call it ConnectED, call it E-Rate 2.0, but let’s do it.  </w:t>
      </w:r>
    </w:p>
    <w:p w14:paraId="52C2CE37" w14:textId="77777777" w:rsidR="00706682" w:rsidRPr="00354B60" w:rsidRDefault="00706682" w:rsidP="00706682">
      <w:r w:rsidRPr="00354B60">
        <w:tab/>
      </w:r>
    </w:p>
    <w:p w14:paraId="166DF82A" w14:textId="77777777" w:rsidR="00706682" w:rsidRPr="00354B60" w:rsidRDefault="00706682" w:rsidP="00706682">
      <w:r w:rsidRPr="00354B60">
        <w:tab/>
        <w:t>Thank you to the Wireline Competition Bureau for your hard work on this rulemaking.  Thank you to Professor Jim Steyer and Secretary Margaret Spellings and the LEAD Commission for fostering an important national conversation about the seismic shifts coming in education and technology.  Thank you also Principal John Word for your powerful statement today and of course, your work with students every day.</w:t>
      </w:r>
    </w:p>
    <w:p w14:paraId="13D6111E" w14:textId="77777777" w:rsidR="00706682" w:rsidRPr="00354B60" w:rsidRDefault="00706682" w:rsidP="00706682"/>
    <w:p w14:paraId="165B65AC" w14:textId="77777777" w:rsidR="00706682" w:rsidRPr="00354B60" w:rsidRDefault="00706682" w:rsidP="00706682">
      <w:r w:rsidRPr="00354B60">
        <w:tab/>
        <w:t xml:space="preserve">Finally, thank you to Chairwoman Clyburn and Commissioner Pai for engaging with me on this issue.  I look forward to working together to reboot, reinvigorate, and recharge the E-Rate program.  </w:t>
      </w:r>
    </w:p>
    <w:p w14:paraId="4B582CAF" w14:textId="77777777" w:rsidR="00706682" w:rsidRPr="00354B60" w:rsidRDefault="00706682" w:rsidP="00706682"/>
    <w:p w14:paraId="07EC6599" w14:textId="77777777" w:rsidR="00706682" w:rsidRDefault="00706682" w:rsidP="00354B60">
      <w:pPr>
        <w:autoSpaceDE w:val="0"/>
        <w:autoSpaceDN w:val="0"/>
        <w:adjustRightInd w:val="0"/>
        <w:spacing w:after="120"/>
        <w:jc w:val="center"/>
        <w:rPr>
          <w:b/>
          <w:bCs/>
          <w:color w:val="010101"/>
        </w:rPr>
        <w:sectPr w:rsidR="00706682">
          <w:pgSz w:w="12240" w:h="15840"/>
          <w:pgMar w:top="1440" w:right="1440" w:bottom="1440" w:left="1440" w:header="720" w:footer="720" w:gutter="0"/>
          <w:cols w:space="720"/>
          <w:docGrid w:linePitch="360"/>
        </w:sectPr>
      </w:pPr>
    </w:p>
    <w:p w14:paraId="413159D5" w14:textId="77777777" w:rsidR="00354B60" w:rsidRPr="005550BD" w:rsidRDefault="00354B60" w:rsidP="00354B60">
      <w:pPr>
        <w:autoSpaceDE w:val="0"/>
        <w:autoSpaceDN w:val="0"/>
        <w:adjustRightInd w:val="0"/>
        <w:spacing w:after="120"/>
        <w:jc w:val="center"/>
        <w:rPr>
          <w:b/>
          <w:bCs/>
          <w:color w:val="010101"/>
        </w:rPr>
      </w:pPr>
      <w:r w:rsidRPr="005550BD">
        <w:rPr>
          <w:b/>
          <w:bCs/>
          <w:color w:val="010101"/>
        </w:rPr>
        <w:lastRenderedPageBreak/>
        <w:t>STATEMENT OF</w:t>
      </w:r>
      <w:r w:rsidRPr="005550BD">
        <w:rPr>
          <w:b/>
          <w:bCs/>
          <w:color w:val="010101"/>
        </w:rPr>
        <w:br/>
        <w:t>COMMISSIONER AJIT PAI</w:t>
      </w:r>
    </w:p>
    <w:p w14:paraId="1D5012BA" w14:textId="43803266" w:rsidR="00354B60" w:rsidRDefault="00354B60" w:rsidP="00354B60">
      <w:pPr>
        <w:spacing w:after="120"/>
        <w:ind w:left="720" w:hanging="720"/>
      </w:pPr>
      <w:r>
        <w:t>Re:</w:t>
      </w:r>
      <w:r>
        <w:tab/>
      </w:r>
      <w:r w:rsidRPr="002C45D6">
        <w:rPr>
          <w:i/>
        </w:rPr>
        <w:t>Modernizing the E-rate Program for Schools and Libraries</w:t>
      </w:r>
      <w:r>
        <w:t xml:space="preserve">, </w:t>
      </w:r>
      <w:r w:rsidR="00965E87">
        <w:t>WC</w:t>
      </w:r>
      <w:r>
        <w:t xml:space="preserve"> Docket No. 13-184.</w:t>
      </w:r>
    </w:p>
    <w:p w14:paraId="23EB34F3" w14:textId="77777777" w:rsidR="00354B60" w:rsidRDefault="00354B60" w:rsidP="00957E98">
      <w:pPr>
        <w:spacing w:before="100" w:beforeAutospacing="1" w:after="100" w:afterAutospacing="1"/>
        <w:ind w:firstLine="720"/>
      </w:pPr>
      <w:r>
        <w:t>Sixteen years ago, the FCC established the Schools and Libraries Universal Support Mechanism, or E</w:t>
      </w:r>
      <w:r>
        <w:noBreakHyphen/>
        <w:t>Rate program, to bring advanced services to schools and libraries across America.</w:t>
      </w:r>
      <w:r>
        <w:rPr>
          <w:rStyle w:val="FootnoteReference"/>
        </w:rPr>
        <w:footnoteReference w:id="549"/>
      </w:r>
      <w:r>
        <w:t xml:space="preserve">  In many ways, the program has been a success.  Internet access in public schools has almost tripled since E-Rate’s creation, and speeds have grown alongside availability.</w:t>
      </w:r>
      <w:r>
        <w:rPr>
          <w:rStyle w:val="FootnoteReference"/>
        </w:rPr>
        <w:footnoteReference w:id="550"/>
      </w:r>
      <w:r>
        <w:t xml:space="preserve">  Today, schools across the country depend on E</w:t>
      </w:r>
      <w:r>
        <w:noBreakHyphen/>
        <w:t>Rate for connectivity.</w:t>
      </w:r>
    </w:p>
    <w:p w14:paraId="115B1DC8" w14:textId="77777777" w:rsidR="00354B60" w:rsidRDefault="00354B60" w:rsidP="00957E98">
      <w:pPr>
        <w:spacing w:before="100" w:beforeAutospacing="1" w:after="100" w:afterAutospacing="1"/>
        <w:ind w:firstLine="720"/>
      </w:pPr>
      <w:r>
        <w:t xml:space="preserve">But like all federal programs, E-Rate has had its share of difficulties.  Most of those problems stem from the program’s complexity and lack of transparency.  The application process is too complicated for schools and libraries.  Some give up and don’t bother to apply; others apply but get tangled in red tape and don’t receive their money until years later.  The complicated scheme for distributing funds causes many other challenges.  Money isn’t distributed fairly among schools.  Schools with higher discounts stand at the front of the funding line and have an incentive to overspend, leaving less for everyone else.  And funds for long-distance telephone calls and bandwidth to bus garages are given priority over funds for connecting classrooms.  Meanwhile, we at the FCC can’t get enough information to oversee the program.  </w:t>
      </w:r>
      <w:r w:rsidRPr="00B416D8">
        <w:t xml:space="preserve">Three years ago, the National Broadband Plan </w:t>
      </w:r>
      <w:r>
        <w:t xml:space="preserve">observed that the Commission doesn’t have the means to identify </w:t>
      </w:r>
      <w:r w:rsidRPr="00B416D8">
        <w:t>“the different types or capacities of broadband services that are supported through the E-Rate program.”</w:t>
      </w:r>
      <w:r>
        <w:rPr>
          <w:rStyle w:val="FootnoteReference"/>
        </w:rPr>
        <w:footnoteReference w:id="551"/>
      </w:r>
      <w:r w:rsidRPr="00B416D8">
        <w:t xml:space="preserve"> </w:t>
      </w:r>
      <w:r>
        <w:t xml:space="preserve"> We can see the forest</w:t>
      </w:r>
      <w:r w:rsidRPr="00B416D8">
        <w:t xml:space="preserve">—say, whether funds were spent on telecommunications services or basic maintenance—but </w:t>
      </w:r>
      <w:r>
        <w:t>we can’t see the trees when it comes to specific schools and particular spending practices.  In short, as the E-Rate program has evolved over the years, we have lost sight of what’s important.  A program meant to help kids has instead become too heavily focused on bureaucracy.</w:t>
      </w:r>
    </w:p>
    <w:p w14:paraId="6F922A6A" w14:textId="77777777" w:rsidR="00354B60" w:rsidRDefault="00354B60" w:rsidP="00957E98">
      <w:pPr>
        <w:spacing w:before="100" w:beforeAutospacing="1" w:after="100" w:afterAutospacing="1"/>
        <w:ind w:firstLine="720"/>
      </w:pPr>
      <w:r>
        <w:lastRenderedPageBreak/>
        <w:t xml:space="preserve">But that’s not how it has to be.  This morning, we begin the process of reinvigorating, revitalizing, and revamping E-Rate.  I’m pleased to support today’s Notice for Proposed Rulemaking because it seeks comment on a wide variety of ideas that hold the potential to transform the program.  </w:t>
      </w:r>
      <w:r w:rsidRPr="00B16BF0">
        <w:t>Earlier this week, I shared my vision for a student-centered E-Rate program at the American Enterprise Institute.</w:t>
      </w:r>
      <w:r>
        <w:rPr>
          <w:rStyle w:val="FootnoteReference"/>
        </w:rPr>
        <w:footnoteReference w:id="552"/>
      </w:r>
      <w:r w:rsidRPr="00B16BF0">
        <w:t xml:space="preserve"> </w:t>
      </w:r>
      <w:r>
        <w:t xml:space="preserve"> I’m grateful that my colleagues agreed to seek comment in this item on the plan I outlined.</w:t>
      </w:r>
    </w:p>
    <w:p w14:paraId="55721D84" w14:textId="77777777" w:rsidR="00354B60" w:rsidRDefault="00354B60" w:rsidP="00957E98">
      <w:pPr>
        <w:spacing w:before="100" w:beforeAutospacing="1" w:after="100" w:afterAutospacing="1"/>
        <w:ind w:firstLine="720"/>
      </w:pPr>
      <w:r>
        <w:t xml:space="preserve">What is that plan?  Here’s an abridged version.  In order to create a student-centered E-Rate program, I think that we need to do four things.  </w:t>
      </w:r>
      <w:r w:rsidRPr="00B16BF0">
        <w:rPr>
          <w:i/>
        </w:rPr>
        <w:t>First</w:t>
      </w:r>
      <w:r w:rsidRPr="00B11887">
        <w:t xml:space="preserve">, </w:t>
      </w:r>
      <w:r>
        <w:t>we need to simplify the application process.  Let’s make it easy for all schools (and libraries) to apply for the program.  Under my plan, they would only need to fill out two forms, and the initial application form would only be one page.  Less red tape means fewer delays and more predictability.  Schools also wouldn’t need to rely so heavily on outside help, which would mean more money to spend on kids.</w:t>
      </w:r>
    </w:p>
    <w:p w14:paraId="15E33848" w14:textId="77777777" w:rsidR="00354B60" w:rsidRDefault="00354B60" w:rsidP="00957E98">
      <w:pPr>
        <w:spacing w:before="100" w:beforeAutospacing="1" w:after="100" w:afterAutospacing="1"/>
        <w:ind w:firstLine="720"/>
      </w:pPr>
      <w:r w:rsidRPr="00B64574">
        <w:rPr>
          <w:i/>
        </w:rPr>
        <w:t>Second</w:t>
      </w:r>
      <w:r>
        <w:t>, we need to focus funding on next-generation technologies for kids.  Connecting classrooms should no longer be the program’s lowest priority.  Let’s get rid of the current priority one/priority two system.  Place all eligible services on one consolidated menu and let local schools pick the services that best meet their local needs.</w:t>
      </w:r>
    </w:p>
    <w:p w14:paraId="48F2E824" w14:textId="77777777" w:rsidR="00354B60" w:rsidRDefault="00354B60" w:rsidP="00957E98">
      <w:pPr>
        <w:spacing w:before="100" w:beforeAutospacing="1" w:after="100" w:afterAutospacing="1"/>
        <w:ind w:firstLine="720"/>
      </w:pPr>
      <w:r>
        <w:t xml:space="preserve">That also means no more funding for stand-alone telephone service.  </w:t>
      </w:r>
      <w:r w:rsidRPr="00B64574">
        <w:t>In the last few years</w:t>
      </w:r>
      <w:r>
        <w:t>, the program</w:t>
      </w:r>
      <w:r w:rsidRPr="00B64574">
        <w:t xml:space="preserve"> has committed about $600 million annually to voice telephony services—more than a </w:t>
      </w:r>
      <w:r>
        <w:t>quarter of its annual budget.  But in 2013, E-</w:t>
      </w:r>
      <w:r w:rsidRPr="00B64574">
        <w:t xml:space="preserve">Rate </w:t>
      </w:r>
      <w:r>
        <w:t>should be about</w:t>
      </w:r>
      <w:r w:rsidRPr="00B64574">
        <w:t xml:space="preserve"> funding next-generation infrastructure that will facilitate digital learning, </w:t>
      </w:r>
      <w:r>
        <w:t>not subsidizing long-distance phone calls.  States and localities are of course free to spend their own money on that.  But federal funds should be focused on connecting kids in the classroom.  Congress itself demanded as much when it instructed that the E-Rate program be focused on providing “advanced . . . services” to schools and libraries.</w:t>
      </w:r>
      <w:r>
        <w:rPr>
          <w:rStyle w:val="FootnoteReference"/>
        </w:rPr>
        <w:footnoteReference w:id="553"/>
      </w:r>
    </w:p>
    <w:p w14:paraId="29C07995" w14:textId="77777777" w:rsidR="00354B60" w:rsidRDefault="00354B60" w:rsidP="00957E98">
      <w:pPr>
        <w:spacing w:before="100" w:beforeAutospacing="1" w:after="100" w:afterAutospacing="1"/>
        <w:ind w:firstLine="720"/>
      </w:pPr>
      <w:r w:rsidRPr="000C1AE0">
        <w:rPr>
          <w:i/>
        </w:rPr>
        <w:lastRenderedPageBreak/>
        <w:t>Third</w:t>
      </w:r>
      <w:r>
        <w:t xml:space="preserve">, we need to distribute E-Rate funding more fairly.  </w:t>
      </w:r>
      <w:r w:rsidRPr="000C1AE0">
        <w:t>As the current program stands, the savviest of schools walk away with the lion’s share of funding while</w:t>
      </w:r>
      <w:r>
        <w:t xml:space="preserve"> </w:t>
      </w:r>
      <w:r w:rsidRPr="000C1AE0">
        <w:t>students</w:t>
      </w:r>
      <w:r>
        <w:t xml:space="preserve"> attending other schools that need</w:t>
      </w:r>
      <w:r w:rsidRPr="000C1AE0">
        <w:t xml:space="preserve"> funding </w:t>
      </w:r>
      <w:r>
        <w:t>are deprived</w:t>
      </w:r>
      <w:r w:rsidRPr="000C1AE0">
        <w:t xml:space="preserve"> year after year.  </w:t>
      </w:r>
      <w:r>
        <w:t>We need to retire the complicated discount matrix that distributes money in a haphazard manner and replace it with a simple student-centered system.  Each school should get funding based on its number of students.  Rural students should receive more money than urban students, and low-income students should receive more money than their wealthier counterparts.  And when kids change schools, they should take their funding allocation with them.  The money should follow the child.</w:t>
      </w:r>
    </w:p>
    <w:p w14:paraId="58050E10" w14:textId="77777777" w:rsidR="00354B60" w:rsidRDefault="00354B60" w:rsidP="00957E98">
      <w:pPr>
        <w:spacing w:before="100" w:beforeAutospacing="1" w:after="100" w:afterAutospacing="1"/>
        <w:ind w:firstLine="720"/>
      </w:pPr>
      <w:r w:rsidRPr="00957E98">
        <w:rPr>
          <w:szCs w:val="22"/>
        </w:rPr>
        <w:t>In line with recent reforms to the rural Healthcare Connect Fund, we should also institute a three-</w:t>
      </w:r>
      <w:r w:rsidRPr="000C1AE0">
        <w:t>to-one matching requirement</w:t>
      </w:r>
      <w:r>
        <w:t xml:space="preserve"> for local schools</w:t>
      </w:r>
      <w:r w:rsidRPr="000C1AE0">
        <w:t xml:space="preserve">.  </w:t>
      </w:r>
      <w:r>
        <w:t xml:space="preserve">For every three dollars provided by E-Rate, the local school should be required to spend one.  </w:t>
      </w:r>
      <w:r w:rsidRPr="000C1AE0">
        <w:t xml:space="preserve">With </w:t>
      </w:r>
      <w:r>
        <w:t xml:space="preserve">real </w:t>
      </w:r>
      <w:r w:rsidRPr="000C1AE0">
        <w:t xml:space="preserve">skin in the game and a </w:t>
      </w:r>
      <w:r>
        <w:t>school-by-school budget</w:t>
      </w:r>
      <w:r w:rsidRPr="000C1AE0">
        <w:t xml:space="preserve">, we </w:t>
      </w:r>
      <w:r>
        <w:t>will end the “more you spend, more you get” phenomenon that has led to waste, fraud, and abuse.  And we will encourage more prudent spending.</w:t>
      </w:r>
    </w:p>
    <w:p w14:paraId="54F959D9" w14:textId="77777777" w:rsidR="00354B60" w:rsidRDefault="00354B60" w:rsidP="00957E98">
      <w:pPr>
        <w:spacing w:before="100" w:beforeAutospacing="1" w:after="100" w:afterAutospacing="1"/>
        <w:ind w:firstLine="720"/>
      </w:pPr>
      <w:r>
        <w:t>Now, if we switch to a simplified-allocation approach, some might wonder how very small schools or schools in remote areas would fare.  Well, I believe that u</w:t>
      </w:r>
      <w:r w:rsidRPr="00ED4830">
        <w:t xml:space="preserve">niversal </w:t>
      </w:r>
      <w:r>
        <w:t>s</w:t>
      </w:r>
      <w:r w:rsidRPr="00ED4830">
        <w:t xml:space="preserve">ervice means </w:t>
      </w:r>
      <w:r>
        <w:t xml:space="preserve">what it says: </w:t>
      </w:r>
      <w:r w:rsidRPr="00ED4830">
        <w:t>service for everyone</w:t>
      </w:r>
      <w:r>
        <w:t xml:space="preserve">.  Its promise extends </w:t>
      </w:r>
      <w:r w:rsidRPr="00ED4830">
        <w:t xml:space="preserve">from city schools with thousands of students to villages </w:t>
      </w:r>
      <w:r>
        <w:t xml:space="preserve">in northern Alaska </w:t>
      </w:r>
      <w:r w:rsidRPr="00ED4830">
        <w:t xml:space="preserve">with just </w:t>
      </w:r>
      <w:r>
        <w:t>a few</w:t>
      </w:r>
      <w:r w:rsidRPr="00ED4830">
        <w:t xml:space="preserve">.  </w:t>
      </w:r>
      <w:r>
        <w:t xml:space="preserve">This is why my plan includes </w:t>
      </w:r>
      <w:r w:rsidRPr="00ED4830">
        <w:t xml:space="preserve">a funding floor for small </w:t>
      </w:r>
      <w:r>
        <w:t>schools and extra</w:t>
      </w:r>
      <w:r w:rsidRPr="00ED4830">
        <w:t xml:space="preserve"> </w:t>
      </w:r>
      <w:r>
        <w:t>money for schools in remote areas.  Indeed, a student-centered E-Rate program would treat rural America far better than the status quo.</w:t>
      </w:r>
      <w:r w:rsidRPr="00ED4830">
        <w:t xml:space="preserve">  In 2011, </w:t>
      </w:r>
      <w:r>
        <w:t xml:space="preserve">for example, </w:t>
      </w:r>
      <w:r w:rsidRPr="00ED4830">
        <w:t>South Dakota received 30% less E</w:t>
      </w:r>
      <w:r w:rsidRPr="00ED4830">
        <w:noBreakHyphen/>
        <w:t>Rate funding per student than New Jersey</w:t>
      </w:r>
      <w:r>
        <w:t>, despite the fact that South Dakota is far more rural and has a higher poverty rate than New Jersey.  That would change under my plan.</w:t>
      </w:r>
    </w:p>
    <w:p w14:paraId="7CF8B218" w14:textId="77777777" w:rsidR="00354B60" w:rsidRDefault="00354B60" w:rsidP="00957E98">
      <w:pPr>
        <w:spacing w:before="100" w:beforeAutospacing="1" w:after="100" w:afterAutospacing="1"/>
        <w:ind w:firstLine="720"/>
      </w:pPr>
      <w:r w:rsidRPr="00ED4830">
        <w:rPr>
          <w:i/>
        </w:rPr>
        <w:t>Fourth</w:t>
      </w:r>
      <w:r w:rsidRPr="00ED4830">
        <w:t xml:space="preserve">, </w:t>
      </w:r>
      <w:r>
        <w:t>we need to increase transparency</w:t>
      </w:r>
      <w:r w:rsidRPr="00ED4830">
        <w:t xml:space="preserve">.  By publishing all funding and spending decisions on a centralized, easy-to-access website, we could </w:t>
      </w:r>
      <w:r>
        <w:t xml:space="preserve">allow </w:t>
      </w:r>
      <w:r w:rsidRPr="00ED4830">
        <w:t xml:space="preserve">anyone </w:t>
      </w:r>
      <w:r>
        <w:t>to</w:t>
      </w:r>
      <w:r w:rsidRPr="00ED4830">
        <w:t xml:space="preserve"> check on how a</w:t>
      </w:r>
      <w:r>
        <w:t>ny school in America was spending its federal funds.  That way, the</w:t>
      </w:r>
      <w:r w:rsidRPr="00ED4830">
        <w:t xml:space="preserve"> whole community</w:t>
      </w:r>
      <w:r>
        <w:t>—parents, school board members, journalists, and government watchdogs—</w:t>
      </w:r>
      <w:r w:rsidRPr="00ED4830">
        <w:t>can be involved in effective oversight</w:t>
      </w:r>
      <w:r>
        <w:t xml:space="preserve"> to make sure that money is being used to actually help kids.</w:t>
      </w:r>
    </w:p>
    <w:p w14:paraId="6BD541DF" w14:textId="77777777" w:rsidR="00354B60" w:rsidRPr="00ED4830" w:rsidRDefault="00354B60" w:rsidP="00957E98">
      <w:pPr>
        <w:spacing w:before="100" w:beforeAutospacing="1" w:after="100" w:afterAutospacing="1"/>
        <w:ind w:firstLine="720"/>
      </w:pPr>
      <w:r>
        <w:t xml:space="preserve">This plan would fulfill E-Rate’s statutory mission of bringing advanced services to schools and libraries across this </w:t>
      </w:r>
      <w:r>
        <w:lastRenderedPageBreak/>
        <w:t>country.  And it would do all of this without collecting an extra dime.</w:t>
      </w:r>
    </w:p>
    <w:p w14:paraId="6F4CEB4A" w14:textId="77777777" w:rsidR="00354B60" w:rsidRDefault="00354B60" w:rsidP="00957E98">
      <w:pPr>
        <w:spacing w:before="100" w:beforeAutospacing="1" w:after="100" w:afterAutospacing="1"/>
        <w:ind w:firstLine="720"/>
      </w:pPr>
      <w:r>
        <w:t>On that last point:  I should say a word about the size of the E-Rate program.  I don’t believe that expanding the program is the same as reform.  Instead, what would make for a new E-Rate program is some old-fashioned fiscal responsibility.  Each year, we have hundreds of millions of dollars available for the E-Rate program that we aren’t spending—over $800 million last year alone.</w:t>
      </w:r>
      <w:r w:rsidRPr="00780C3B">
        <w:t xml:space="preserve">  </w:t>
      </w:r>
      <w:r>
        <w:t>As a result of this “red-tape funding gap,” as I’ve called it, billions have been collected from the American people and have been sitting in the E-Rate account, for years in some cases.  And we’re spending hundreds of millions of dollars on outdated services.  If we simplify the program and focus on the right priorities, we can do a lot more with the money we are already collecting.  Indeed, under the first year of my plan, we should be able to spend $1 billion more on next-generation technologies for kids without collecting more money from the American people.  And as we debate expanding the program’s budget, let’s also remember this:  The Universal Service Fund contribution factor has already increased from 9.5% to 15.1% in just the last four-and-half years.</w:t>
      </w:r>
      <w:r>
        <w:rPr>
          <w:rStyle w:val="FootnoteReference"/>
        </w:rPr>
        <w:footnoteReference w:id="554"/>
      </w:r>
      <w:r>
        <w:t xml:space="preserve">  That’s an increase of almost 60%.  Over that same period, median household income has fallen each year.  We cannot ask American consumers to bear an even heavier burden when they pay their monthly phone bills, especially when well-considered structural reforms would obviate the need for us to pose the question.</w:t>
      </w:r>
    </w:p>
    <w:p w14:paraId="74EB69A5" w14:textId="77777777" w:rsidR="00354B60" w:rsidRDefault="00354B60" w:rsidP="00957E98">
      <w:pPr>
        <w:spacing w:before="100" w:beforeAutospacing="1" w:after="100" w:afterAutospacing="1"/>
        <w:ind w:firstLine="720"/>
        <w:rPr>
          <w:rFonts w:cstheme="minorHAnsi"/>
        </w:rPr>
      </w:pPr>
      <w:r>
        <w:t xml:space="preserve">As I </w:t>
      </w:r>
      <w:r w:rsidRPr="00FE7C9F">
        <w:t xml:space="preserve">see it, we stand this morning at a crossroads with respect to the future of the E-Rate program, and this NPRM tees up some fundamental </w:t>
      </w:r>
      <w:r>
        <w:t>questions</w:t>
      </w:r>
      <w:r w:rsidRPr="00FE7C9F">
        <w:t xml:space="preserve">.  Will we simplify the application process?  Will we provide flexibility so that different communities can meet their different needs?  Will we rectify the unfair distribution of E-Rate </w:t>
      </w:r>
      <w:r w:rsidRPr="00FE7C9F">
        <w:rPr>
          <w:rFonts w:cstheme="minorHAnsi"/>
        </w:rPr>
        <w:t xml:space="preserve">funding?  Will we end the incentives for wasteful spending?  Will we practice fiscal responsibility and use more wisely the funds that we are already collecting?  </w:t>
      </w:r>
      <w:r>
        <w:rPr>
          <w:rFonts w:cstheme="minorHAnsi"/>
        </w:rPr>
        <w:t>Will we measure educational outcomes and performance in order to better manage the program?  In short, will we be creative and bold?</w:t>
      </w:r>
    </w:p>
    <w:p w14:paraId="0640D136" w14:textId="77777777" w:rsidR="00354B60" w:rsidRDefault="00354B60" w:rsidP="00957E98">
      <w:pPr>
        <w:spacing w:before="100" w:beforeAutospacing="1" w:after="100" w:afterAutospacing="1"/>
        <w:ind w:firstLine="720"/>
        <w:rPr>
          <w:rFonts w:cstheme="minorHAnsi"/>
        </w:rPr>
      </w:pPr>
      <w:r>
        <w:rPr>
          <w:rFonts w:cstheme="minorHAnsi"/>
        </w:rPr>
        <w:t xml:space="preserve">My approach is to </w:t>
      </w:r>
      <w:r w:rsidRPr="00FE7C9F">
        <w:rPr>
          <w:rFonts w:cstheme="minorHAnsi"/>
        </w:rPr>
        <w:t xml:space="preserve">embrace the </w:t>
      </w:r>
      <w:r>
        <w:rPr>
          <w:rFonts w:cstheme="minorHAnsi"/>
        </w:rPr>
        <w:t>spirit of our 35</w:t>
      </w:r>
      <w:r w:rsidRPr="00714111">
        <w:rPr>
          <w:rFonts w:cstheme="minorHAnsi"/>
          <w:vertAlign w:val="superscript"/>
        </w:rPr>
        <w:t>th</w:t>
      </w:r>
      <w:r w:rsidRPr="00FE7C9F">
        <w:rPr>
          <w:rFonts w:cstheme="minorHAnsi"/>
        </w:rPr>
        <w:t xml:space="preserve"> President</w:t>
      </w:r>
      <w:r>
        <w:rPr>
          <w:rFonts w:cstheme="minorHAnsi"/>
        </w:rPr>
        <w:t>.  To borrow from President Kennedy, w</w:t>
      </w:r>
      <w:r w:rsidRPr="00FE7C9F">
        <w:rPr>
          <w:rFonts w:cstheme="minorHAnsi"/>
        </w:rPr>
        <w:t xml:space="preserve">e should answer yes to each </w:t>
      </w:r>
      <w:r w:rsidRPr="00FE7C9F">
        <w:rPr>
          <w:rFonts w:cstheme="minorHAnsi"/>
        </w:rPr>
        <w:lastRenderedPageBreak/>
        <w:t>of these questions, “</w:t>
      </w:r>
      <w:r w:rsidRPr="00FE7C9F">
        <w:rPr>
          <w:rFonts w:cstheme="minorHAnsi"/>
          <w:color w:val="000000"/>
        </w:rPr>
        <w:t xml:space="preserve">not because they are </w:t>
      </w:r>
      <w:r>
        <w:rPr>
          <w:rFonts w:cstheme="minorHAnsi"/>
          <w:color w:val="000000"/>
        </w:rPr>
        <w:t>easy, but because they are hard,” because the</w:t>
      </w:r>
      <w:r w:rsidRPr="00FE7C9F">
        <w:rPr>
          <w:rFonts w:cstheme="minorHAnsi"/>
          <w:color w:val="000000"/>
        </w:rPr>
        <w:t xml:space="preserve"> goal </w:t>
      </w:r>
      <w:r>
        <w:rPr>
          <w:rFonts w:cstheme="minorHAnsi"/>
          <w:color w:val="000000"/>
        </w:rPr>
        <w:t>of linking technology and education “</w:t>
      </w:r>
      <w:r w:rsidRPr="00FE7C9F">
        <w:rPr>
          <w:rFonts w:cstheme="minorHAnsi"/>
          <w:color w:val="000000"/>
        </w:rPr>
        <w:t>will serve to organize and measure the best of our energies and skills, because that challenge is one that we are willing to accept, one we are unwilling to postpone, and one which we intend to win.”</w:t>
      </w:r>
      <w:r>
        <w:rPr>
          <w:rStyle w:val="FootnoteReference"/>
          <w:rFonts w:cstheme="minorHAnsi"/>
          <w:color w:val="000000"/>
        </w:rPr>
        <w:footnoteReference w:id="555"/>
      </w:r>
      <w:r w:rsidRPr="00FE7C9F">
        <w:rPr>
          <w:rFonts w:cstheme="minorHAnsi"/>
        </w:rPr>
        <w:t xml:space="preserve">  When it comes to our children’s education, we should not be afraid of the hard choices.  </w:t>
      </w:r>
      <w:r>
        <w:rPr>
          <w:rFonts w:cstheme="minorHAnsi"/>
        </w:rPr>
        <w:t xml:space="preserve">We should not tinker around the edges.  </w:t>
      </w:r>
      <w:r w:rsidRPr="00FE7C9F">
        <w:rPr>
          <w:rFonts w:cstheme="minorHAnsi"/>
        </w:rPr>
        <w:t xml:space="preserve">We should shoot for the moon. </w:t>
      </w:r>
      <w:r>
        <w:rPr>
          <w:rFonts w:cstheme="minorHAnsi"/>
        </w:rPr>
        <w:t xml:space="preserve"> And we should aim to win.</w:t>
      </w:r>
    </w:p>
    <w:p w14:paraId="6884A31B" w14:textId="43723154" w:rsidR="00957E98" w:rsidRPr="00187A21" w:rsidRDefault="00354B60" w:rsidP="00957E98">
      <w:pPr>
        <w:spacing w:before="100" w:beforeAutospacing="1" w:after="100" w:afterAutospacing="1"/>
        <w:ind w:firstLine="720"/>
      </w:pPr>
      <w:r>
        <w:t>If we receive the input we need from educators, librarians, parents, and service providers, and if we make the right choices, a student-centered E-Rate program is now within our grasp.  I hope we can make it happen by the time our children return to school in the fall of 2014.</w:t>
      </w:r>
    </w:p>
    <w:p w14:paraId="39F70222" w14:textId="77777777" w:rsidR="00354B60" w:rsidRDefault="00354B60" w:rsidP="00957E98">
      <w:pPr>
        <w:spacing w:before="100" w:beforeAutospacing="1" w:after="100" w:afterAutospacing="1"/>
        <w:ind w:firstLine="720"/>
      </w:pPr>
      <w:r>
        <w:t xml:space="preserve">This proposed rulemaking is a major undertaking, and it would not have been possible without our excellent staff in the Wireless Competition Bureau.  A special thanks to Julie Veach, </w:t>
      </w:r>
      <w:r w:rsidRPr="00BD424E">
        <w:t>James Bachtell</w:t>
      </w:r>
      <w:r>
        <w:t xml:space="preserve">, Rebekah Bina, </w:t>
      </w:r>
      <w:r w:rsidRPr="00BD424E">
        <w:t>Bryan Boyle</w:t>
      </w:r>
      <w:r>
        <w:t xml:space="preserve">, Dana Bradford, </w:t>
      </w:r>
      <w:r w:rsidRPr="00BD424E">
        <w:t>Katori Brown</w:t>
      </w:r>
      <w:r>
        <w:t xml:space="preserve">, </w:t>
      </w:r>
      <w:r w:rsidRPr="00BD424E">
        <w:t>Regina Brown</w:t>
      </w:r>
      <w:r>
        <w:t xml:space="preserve">, </w:t>
      </w:r>
      <w:r w:rsidRPr="00BD424E">
        <w:t>Soumitra Das</w:t>
      </w:r>
      <w:r>
        <w:t xml:space="preserve">, </w:t>
      </w:r>
      <w:r w:rsidRPr="00BD424E">
        <w:t>Chas Eberle</w:t>
      </w:r>
      <w:r>
        <w:t xml:space="preserve">, </w:t>
      </w:r>
      <w:r w:rsidRPr="00BD424E">
        <w:t>Trent Harkrader</w:t>
      </w:r>
      <w:r>
        <w:t xml:space="preserve">, </w:t>
      </w:r>
      <w:r w:rsidRPr="00BD424E">
        <w:t>Christopher Holliman</w:t>
      </w:r>
      <w:r>
        <w:t xml:space="preserve">, </w:t>
      </w:r>
      <w:r w:rsidRPr="00BD424E">
        <w:t>Lisa Hone</w:t>
      </w:r>
      <w:r>
        <w:t xml:space="preserve">, </w:t>
      </w:r>
      <w:r w:rsidRPr="00BD424E">
        <w:t>Mike Jacobs, Carol Mattey</w:t>
      </w:r>
      <w:r>
        <w:t xml:space="preserve">, </w:t>
      </w:r>
      <w:r w:rsidRPr="00BD424E">
        <w:t>Erica Myers</w:t>
      </w:r>
      <w:r>
        <w:t xml:space="preserve">, </w:t>
      </w:r>
      <w:r w:rsidRPr="00BD424E">
        <w:t>Mark Nadel</w:t>
      </w:r>
      <w:r>
        <w:t xml:space="preserve">, </w:t>
      </w:r>
      <w:r w:rsidRPr="00BD424E">
        <w:t>Anita Patankar-Stoll</w:t>
      </w:r>
      <w:r>
        <w:t xml:space="preserve">, </w:t>
      </w:r>
      <w:r w:rsidRPr="00BD424E">
        <w:t>Naomi Riley</w:t>
      </w:r>
      <w:r>
        <w:t xml:space="preserve">, </w:t>
      </w:r>
      <w:r w:rsidRPr="00BD424E">
        <w:t>Kim Scardino</w:t>
      </w:r>
      <w:r>
        <w:t xml:space="preserve">, Michael Steffen, </w:t>
      </w:r>
      <w:r w:rsidRPr="00BD424E">
        <w:t>Cara Voth</w:t>
      </w:r>
      <w:r>
        <w:t xml:space="preserve">, and </w:t>
      </w:r>
      <w:r w:rsidRPr="00BD424E">
        <w:t>Adrian Wright</w:t>
      </w:r>
      <w:r>
        <w:t xml:space="preserve"> for all their hard work on administering the E-Rate program and especially for drafting this item.</w:t>
      </w:r>
    </w:p>
    <w:p w14:paraId="3BBF3E7A" w14:textId="087FA507" w:rsidR="002C75FA" w:rsidRPr="00354B60" w:rsidRDefault="00354B60" w:rsidP="0043297B">
      <w:pPr>
        <w:spacing w:before="100" w:beforeAutospacing="1" w:after="100" w:afterAutospacing="1"/>
        <w:ind w:firstLine="720"/>
      </w:pPr>
      <w:r>
        <w:t>I would like to conclude by sharing an e-mail that I received on Wednesday</w:t>
      </w:r>
      <w:r w:rsidRPr="00FC32ED">
        <w:t xml:space="preserve"> from an IT specialist </w:t>
      </w:r>
      <w:r>
        <w:t>for a</w:t>
      </w:r>
      <w:r w:rsidRPr="00FC32ED">
        <w:t xml:space="preserve"> rural California</w:t>
      </w:r>
      <w:r>
        <w:t xml:space="preserve"> school district after I introduced my proposals</w:t>
      </w:r>
      <w:r w:rsidRPr="00FC32ED">
        <w:t>.  She ex</w:t>
      </w:r>
      <w:r>
        <w:t>pressed her support and told me</w:t>
      </w:r>
      <w:r w:rsidRPr="00FC32ED">
        <w:t xml:space="preserve">: “minimizing the complexity of the process as well as increasing the flexibility of how the funds are spent will make a big difference to all students.”  </w:t>
      </w:r>
      <w:r>
        <w:t>T</w:t>
      </w:r>
      <w:r w:rsidRPr="00FC32ED">
        <w:t>hat</w:t>
      </w:r>
      <w:r>
        <w:t xml:space="preserve">’s exactly what our goal should </w:t>
      </w:r>
      <w:r w:rsidRPr="00FC32ED">
        <w:t>be</w:t>
      </w:r>
      <w:r>
        <w:t xml:space="preserve"> in this endeavor: to m</w:t>
      </w:r>
      <w:r w:rsidRPr="00FC32ED">
        <w:t>ak</w:t>
      </w:r>
      <w:r>
        <w:t>e</w:t>
      </w:r>
      <w:r w:rsidRPr="00FC32ED">
        <w:t xml:space="preserve"> a difference for our kids.</w:t>
      </w:r>
      <w:r>
        <w:t xml:space="preserve">  And that’s why</w:t>
      </w:r>
      <w:r w:rsidRPr="00FC32ED">
        <w:t xml:space="preserve"> I look forward to working together with my </w:t>
      </w:r>
      <w:r>
        <w:t xml:space="preserve">FCC </w:t>
      </w:r>
      <w:r w:rsidRPr="00FC32ED">
        <w:t>colleagues</w:t>
      </w:r>
      <w:r>
        <w:t xml:space="preserve"> and administrators, teachers and technologists, parents and others</w:t>
      </w:r>
      <w:r w:rsidRPr="00FC32ED">
        <w:t xml:space="preserve"> to put in place a stu</w:t>
      </w:r>
      <w:r>
        <w:t>dent-centered E-Rate program.</w:t>
      </w:r>
    </w:p>
    <w:sectPr w:rsidR="002C75FA" w:rsidRPr="00354B60">
      <w:footnotePr>
        <w:numRestart w:val="eachSect"/>
      </w:foot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0A1643" w14:textId="77777777" w:rsidR="00D53389" w:rsidRDefault="00D53389">
      <w:pPr>
        <w:spacing w:line="20" w:lineRule="exact"/>
      </w:pPr>
    </w:p>
  </w:endnote>
  <w:endnote w:type="continuationSeparator" w:id="0">
    <w:p w14:paraId="4042CF68" w14:textId="77777777" w:rsidR="00D53389" w:rsidRDefault="00D53389">
      <w:r>
        <w:t xml:space="preserve"> </w:t>
      </w:r>
    </w:p>
  </w:endnote>
  <w:endnote w:type="continuationNotice" w:id="1">
    <w:p w14:paraId="62E77A34" w14:textId="77777777" w:rsidR="00D53389" w:rsidRDefault="00D53389">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auto"/>
    <w:pitch w:val="variable"/>
    <w:sig w:usb0="E0002AFF" w:usb1="C0007841" w:usb2="00000009" w:usb3="00000000" w:csb0="000001FF" w:csb1="00000000"/>
  </w:font>
  <w:font w:name="Lucida Grande">
    <w:altName w:val="Arial"/>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 Pro W3">
    <w:altName w:val="MS Mincho"/>
    <w:panose1 w:val="00000000000000000000"/>
    <w:charset w:val="80"/>
    <w:family w:val="auto"/>
    <w:notTrueType/>
    <w:pitch w:val="variable"/>
    <w:sig w:usb0="00000001" w:usb1="08070000" w:usb2="00000010" w:usb3="00000000" w:csb0="00020000"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Times New Roman Italic">
    <w:panose1 w:val="02020503050405090304"/>
    <w:charset w:val="00"/>
    <w:family w:val="auto"/>
    <w:pitch w:val="variable"/>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Helvetica-Bold">
    <w:panose1 w:val="00000000000000000000"/>
    <w:charset w:val="00"/>
    <w:family w:val="swiss"/>
    <w:notTrueType/>
    <w:pitch w:val="default"/>
    <w:sig w:usb0="00000003" w:usb1="00000000" w:usb2="00000000" w:usb3="00000000" w:csb0="00000001" w:csb1="00000000"/>
  </w:font>
  <w:font w:name="MS PGothic">
    <w:panose1 w:val="020B0600070205080204"/>
    <w:charset w:val="80"/>
    <w:family w:val="swiss"/>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FA359A" w14:textId="77777777" w:rsidR="00434A8B" w:rsidRDefault="00434A8B" w:rsidP="0055614C">
    <w:pPr>
      <w:pStyle w:val="Footer"/>
      <w:framePr w:wrap="around" w:vAnchor="text" w:hAnchor="margin" w:xAlign="center" w:y="1"/>
    </w:pPr>
    <w:r>
      <w:fldChar w:fldCharType="begin"/>
    </w:r>
    <w:r>
      <w:instrText xml:space="preserve">PAGE  </w:instrText>
    </w:r>
    <w:r>
      <w:fldChar w:fldCharType="end"/>
    </w:r>
  </w:p>
  <w:p w14:paraId="7BE73E84" w14:textId="77777777" w:rsidR="00434A8B" w:rsidRDefault="00434A8B">
    <w:pPr>
      <w:pStyle w:val="Footer"/>
    </w:pPr>
  </w:p>
  <w:p w14:paraId="71564B88" w14:textId="77777777" w:rsidR="00434A8B" w:rsidRDefault="00434A8B"/>
  <w:p w14:paraId="169C8ABB" w14:textId="77777777" w:rsidR="00434A8B" w:rsidRDefault="00434A8B" w:rsidP="00AB168E"/>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899FD1" w14:textId="4B42CDF6" w:rsidR="00434A8B" w:rsidRDefault="00434A8B">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sidR="00A0395D">
      <w:rPr>
        <w:rStyle w:val="PageNumber"/>
        <w:noProof/>
      </w:rPr>
      <w:t>234</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77EB28" w14:textId="77777777" w:rsidR="00434A8B" w:rsidRDefault="00434A8B" w:rsidP="0055614C">
    <w:pPr>
      <w:pStyle w:val="Footer"/>
      <w:framePr w:wrap="around" w:vAnchor="text" w:hAnchor="margin" w:xAlign="center" w:y="1"/>
    </w:pPr>
    <w:r>
      <w:fldChar w:fldCharType="begin"/>
    </w:r>
    <w:r>
      <w:instrText xml:space="preserve">PAGE  </w:instrText>
    </w:r>
    <w:r>
      <w:fldChar w:fldCharType="separate"/>
    </w:r>
    <w:r w:rsidR="00A0395D">
      <w:rPr>
        <w:noProof/>
      </w:rPr>
      <w:t>155</w:t>
    </w:r>
    <w:r>
      <w:rPr>
        <w:noProof/>
      </w:rPr>
      <w:fldChar w:fldCharType="end"/>
    </w:r>
  </w:p>
  <w:p w14:paraId="00852D56" w14:textId="77777777" w:rsidR="00434A8B" w:rsidRDefault="00434A8B" w:rsidP="00AF4ED4"/>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F7E1B8" w14:textId="77777777" w:rsidR="009A79DA" w:rsidRDefault="009A79DA">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62CBAB" w14:textId="176E4702" w:rsidR="00434A8B" w:rsidRDefault="00434A8B">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sidR="00A0395D">
      <w:rPr>
        <w:rStyle w:val="PageNumber"/>
        <w:noProof/>
      </w:rPr>
      <w:t>157</w:t>
    </w:r>
    <w:r>
      <w:rPr>
        <w:rStyle w:val="PageNumber"/>
      </w:rPr>
      <w:fldChar w:fldCharType="end"/>
    </w:r>
  </w:p>
  <w:p w14:paraId="302C58F5" w14:textId="77777777" w:rsidR="00434A8B" w:rsidRDefault="00434A8B">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978357" w14:textId="4B21BD5B" w:rsidR="00434A8B" w:rsidRDefault="00434A8B">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sidR="00A0395D">
      <w:rPr>
        <w:rStyle w:val="PageNumber"/>
        <w:noProof/>
      </w:rPr>
      <w:t>164</w:t>
    </w:r>
    <w:r>
      <w:rPr>
        <w:rStyle w:val="PageNumber"/>
      </w:rPr>
      <w:fldChar w:fldCharType="end"/>
    </w:r>
  </w:p>
  <w:p w14:paraId="77610418" w14:textId="77777777" w:rsidR="00434A8B" w:rsidRDefault="00434A8B">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D6FA4C" w14:textId="4A3CE5BC" w:rsidR="00434A8B" w:rsidRDefault="00434A8B">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sidR="00A0395D">
      <w:rPr>
        <w:rStyle w:val="PageNumber"/>
        <w:noProof/>
      </w:rPr>
      <w:t>173</w:t>
    </w:r>
    <w:r>
      <w:rPr>
        <w:rStyle w:val="PageNumber"/>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2E76BA" w14:textId="1D464C31" w:rsidR="00434A8B" w:rsidRDefault="00434A8B">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sidR="00A0395D">
      <w:rPr>
        <w:rStyle w:val="PageNumber"/>
        <w:noProof/>
      </w:rPr>
      <w:t>175</w:t>
    </w:r>
    <w:r>
      <w:rPr>
        <w:rStyle w:val="PageNumber"/>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FFBEF5" w14:textId="2CE5C70C" w:rsidR="00434A8B" w:rsidRDefault="00434A8B">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sidR="00A0395D">
      <w:rPr>
        <w:rStyle w:val="PageNumber"/>
        <w:noProof/>
      </w:rPr>
      <w:t>178</w:t>
    </w:r>
    <w:r>
      <w:rPr>
        <w:rStyle w:val="PageNumber"/>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02519D" w14:textId="0611E9A2" w:rsidR="00434A8B" w:rsidRDefault="00434A8B">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sidR="00A0395D">
      <w:rPr>
        <w:rStyle w:val="PageNumber"/>
        <w:noProof/>
      </w:rPr>
      <w:t>182</w:t>
    </w:r>
    <w:r>
      <w:rPr>
        <w:rStyle w:val="PageNumber"/>
      </w:rPr>
      <w:fldChar w:fldCharType="end"/>
    </w:r>
  </w:p>
  <w:p w14:paraId="09DBDE2D" w14:textId="77777777" w:rsidR="00434A8B" w:rsidRDefault="00434A8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4873E2" w14:textId="77777777" w:rsidR="00D53389" w:rsidRDefault="00D53389">
      <w:r>
        <w:separator/>
      </w:r>
    </w:p>
  </w:footnote>
  <w:footnote w:type="continuationSeparator" w:id="0">
    <w:p w14:paraId="627E9C55" w14:textId="77777777" w:rsidR="00D53389" w:rsidRDefault="00D53389">
      <w:pPr>
        <w:rPr>
          <w:sz w:val="20"/>
        </w:rPr>
      </w:pPr>
      <w:r>
        <w:rPr>
          <w:sz w:val="20"/>
        </w:rPr>
        <w:t xml:space="preserve">(Continued from previous page)  </w:t>
      </w:r>
      <w:r>
        <w:rPr>
          <w:sz w:val="20"/>
        </w:rPr>
        <w:separator/>
      </w:r>
    </w:p>
  </w:footnote>
  <w:footnote w:type="continuationNotice" w:id="1">
    <w:p w14:paraId="7773C327" w14:textId="77777777" w:rsidR="00D53389" w:rsidRDefault="00D53389" w:rsidP="007A008A">
      <w:pPr>
        <w:jc w:val="right"/>
        <w:rPr>
          <w:sz w:val="20"/>
        </w:rPr>
      </w:pPr>
      <w:r>
        <w:rPr>
          <w:sz w:val="20"/>
        </w:rPr>
        <w:t>(continued…)</w:t>
      </w:r>
    </w:p>
  </w:footnote>
  <w:footnote w:id="2">
    <w:p w14:paraId="00C7ACAC" w14:textId="2B34BA3B" w:rsidR="00434A8B" w:rsidRPr="00C2088B" w:rsidRDefault="00434A8B">
      <w:pPr>
        <w:pStyle w:val="FootnoteText"/>
      </w:pPr>
      <w:r w:rsidRPr="00597A58">
        <w:rPr>
          <w:rStyle w:val="FootnoteReference"/>
          <w:sz w:val="20"/>
        </w:rPr>
        <w:footnoteRef/>
      </w:r>
      <w:r w:rsidRPr="00C2088B">
        <w:t xml:space="preserve"> </w:t>
      </w:r>
      <w:r>
        <w:t>State Educational Technology Directors Association (</w:t>
      </w:r>
      <w:r w:rsidRPr="00C2088B">
        <w:t>SETDA</w:t>
      </w:r>
      <w:r>
        <w:t>)</w:t>
      </w:r>
      <w:r w:rsidRPr="00C2088B">
        <w:t xml:space="preserve">, The Broadband Imperative:  Recommendation to Address K-12 Educational Infrastructure Needs, at 10 (rel. May 21, 2012), </w:t>
      </w:r>
      <w:r w:rsidRPr="00C2088B">
        <w:rPr>
          <w:i/>
        </w:rPr>
        <w:t xml:space="preserve">available at </w:t>
      </w:r>
      <w:hyperlink r:id="rId1" w:history="1">
        <w:r w:rsidRPr="00C2088B">
          <w:rPr>
            <w:rStyle w:val="Hyperlink"/>
          </w:rPr>
          <w:t>http://www.setda.org/web/guest/broadbandimperative</w:t>
        </w:r>
      </w:hyperlink>
      <w:r w:rsidRPr="00C2088B">
        <w:t xml:space="preserve"> (</w:t>
      </w:r>
      <w:r w:rsidRPr="00510855">
        <w:rPr>
          <w:i/>
        </w:rPr>
        <w:t xml:space="preserve"> </w:t>
      </w:r>
      <w:r w:rsidRPr="00510855">
        <w:t xml:space="preserve"> last visited</w:t>
      </w:r>
      <w:r w:rsidRPr="00C2088B">
        <w:t xml:space="preserve"> July 15, 2013) (SETDA Recommendation).</w:t>
      </w:r>
      <w:r>
        <w:t xml:space="preserve">  </w:t>
      </w:r>
      <w:r w:rsidRPr="00C2088B">
        <w:rPr>
          <w:i/>
        </w:rPr>
        <w:t>See generally</w:t>
      </w:r>
      <w:r w:rsidRPr="00C2088B">
        <w:t xml:space="preserve"> Charles M. Davidson and Michael J. Santorelli, The Impact of Broadband on Education:  A Study Commissioned by the U.S</w:t>
      </w:r>
      <w:r>
        <w:t>. Chamber of Commerce (December</w:t>
      </w:r>
      <w:r w:rsidRPr="00C2088B">
        <w:t xml:space="preserve"> 2010) </w:t>
      </w:r>
      <w:r w:rsidRPr="00510855">
        <w:rPr>
          <w:i/>
        </w:rPr>
        <w:t>available at</w:t>
      </w:r>
      <w:r w:rsidRPr="00C2088B">
        <w:t xml:space="preserve"> </w:t>
      </w:r>
      <w:hyperlink r:id="rId2" w:history="1">
        <w:r w:rsidRPr="00C2088B">
          <w:rPr>
            <w:rStyle w:val="Hyperlink"/>
          </w:rPr>
          <w:t>http://www.uschamber.com/sites/default/files/about/US_Chamber_Paper_on_Broadband_and_Education.pdf</w:t>
        </w:r>
      </w:hyperlink>
      <w:r w:rsidRPr="00C2088B">
        <w:t xml:space="preserve"> </w:t>
      </w:r>
      <w:r>
        <w:t xml:space="preserve"> (last visited</w:t>
      </w:r>
      <w:r w:rsidRPr="00C2088B">
        <w:t xml:space="preserve"> July 15, 2013).</w:t>
      </w:r>
    </w:p>
  </w:footnote>
  <w:footnote w:id="3">
    <w:p w14:paraId="77D9A2F1" w14:textId="3E26FEC3" w:rsidR="00434A8B" w:rsidRPr="00C2088B" w:rsidRDefault="00434A8B">
      <w:pPr>
        <w:pStyle w:val="FootnoteText"/>
      </w:pPr>
      <w:r w:rsidRPr="00597A58">
        <w:rPr>
          <w:rStyle w:val="FootnoteReference"/>
          <w:sz w:val="20"/>
        </w:rPr>
        <w:footnoteRef/>
      </w:r>
      <w:r w:rsidRPr="00C2088B">
        <w:t xml:space="preserve"> We use the term </w:t>
      </w:r>
      <w:r>
        <w:t>“</w:t>
      </w:r>
      <w:r w:rsidRPr="00C2088B">
        <w:t>high-capacity broadband</w:t>
      </w:r>
      <w:r>
        <w:t>”</w:t>
      </w:r>
      <w:r w:rsidRPr="00C2088B">
        <w:t xml:space="preserve"> in this NPRM to describe the evolving level of connectivity schools and libraries need as they increasingly adopt new, innovative digital learning strategies.</w:t>
      </w:r>
    </w:p>
  </w:footnote>
  <w:footnote w:id="4">
    <w:p w14:paraId="5B669076" w14:textId="25E19F47" w:rsidR="00434A8B" w:rsidRPr="00C2088B" w:rsidRDefault="00434A8B" w:rsidP="00597A58">
      <w:pPr>
        <w:pStyle w:val="FootnoteText"/>
      </w:pPr>
      <w:r w:rsidRPr="00597A58">
        <w:rPr>
          <w:rStyle w:val="FootnoteReference"/>
          <w:sz w:val="20"/>
        </w:rPr>
        <w:footnoteRef/>
      </w:r>
      <w:r w:rsidRPr="00C2088B">
        <w:t xml:space="preserve"> SETDA, The Broadband Imperative:  Recommendation to Address K-12 Educational Infrastructure Needs, at 10 (rel. May 21, 2012), </w:t>
      </w:r>
      <w:r w:rsidRPr="00C2088B">
        <w:rPr>
          <w:i/>
        </w:rPr>
        <w:t xml:space="preserve">available at </w:t>
      </w:r>
      <w:hyperlink r:id="rId3" w:history="1">
        <w:r w:rsidRPr="00C2088B">
          <w:rPr>
            <w:rStyle w:val="Hyperlink"/>
          </w:rPr>
          <w:t>http://www.setda.org/web/guest/broadbandimperative</w:t>
        </w:r>
      </w:hyperlink>
      <w:r w:rsidRPr="00C2088B">
        <w:t xml:space="preserve"> </w:t>
      </w:r>
      <w:r>
        <w:t xml:space="preserve"> (last visited</w:t>
      </w:r>
      <w:r w:rsidRPr="00C2088B">
        <w:t xml:space="preserve"> July 15, 2013) (SETDA Recommendation).</w:t>
      </w:r>
    </w:p>
  </w:footnote>
  <w:footnote w:id="5">
    <w:p w14:paraId="276FC1EE" w14:textId="73C5931F" w:rsidR="00434A8B" w:rsidRPr="00C2088B" w:rsidRDefault="00434A8B" w:rsidP="00E76718">
      <w:pPr>
        <w:pStyle w:val="FootnoteText"/>
      </w:pPr>
      <w:r w:rsidRPr="00C2088B">
        <w:rPr>
          <w:rStyle w:val="FootnoteReference"/>
          <w:sz w:val="20"/>
        </w:rPr>
        <w:footnoteRef/>
      </w:r>
      <w:r w:rsidRPr="00C2088B">
        <w:t xml:space="preserve"> </w:t>
      </w:r>
      <w:r w:rsidRPr="00C2088B">
        <w:rPr>
          <w:i/>
        </w:rPr>
        <w:t>See</w:t>
      </w:r>
      <w:r w:rsidRPr="00C2088B">
        <w:t xml:space="preserve"> U.S. Department of Education, National Center for Education Statistics, Internet Access in U.S. Public Schools and Classrooms: 1994-2001 (2002), </w:t>
      </w:r>
      <w:r w:rsidRPr="00C2088B">
        <w:rPr>
          <w:i/>
        </w:rPr>
        <w:t>available at</w:t>
      </w:r>
      <w:r w:rsidRPr="00C2088B">
        <w:t xml:space="preserve"> </w:t>
      </w:r>
      <w:hyperlink r:id="rId4" w:history="1">
        <w:r w:rsidRPr="00C2088B">
          <w:rPr>
            <w:rStyle w:val="Hyperlink"/>
          </w:rPr>
          <w:t>http://www.immagic.com/eLibrary/ARCHIVES/GENERAL/US_ED/NCES2018.pdf</w:t>
        </w:r>
      </w:hyperlink>
      <w:r w:rsidRPr="00C2088B">
        <w:t xml:space="preserve"> (last visited July 15, 2013); U.S. Department of Education, Institute of Education Sciences, Internet Access in U.S. Public Schools and Classrooms: 1994-2005, at 4-5, 16 (2006), </w:t>
      </w:r>
      <w:r w:rsidRPr="00C2088B">
        <w:rPr>
          <w:i/>
        </w:rPr>
        <w:t>available at</w:t>
      </w:r>
      <w:r w:rsidRPr="00C2088B">
        <w:t xml:space="preserve"> </w:t>
      </w:r>
      <w:hyperlink r:id="rId5" w:history="1">
        <w:r w:rsidRPr="00C2088B">
          <w:rPr>
            <w:rStyle w:val="Hyperlink"/>
          </w:rPr>
          <w:t>http://nces.ed.gov/pubs2007/2007020.pdf</w:t>
        </w:r>
      </w:hyperlink>
      <w:r w:rsidRPr="00C2088B">
        <w:t xml:space="preserve"> (last visited July 15,  2013).</w:t>
      </w:r>
    </w:p>
  </w:footnote>
  <w:footnote w:id="6">
    <w:p w14:paraId="056FA008" w14:textId="29DB9941" w:rsidR="00434A8B" w:rsidRPr="00C2088B" w:rsidRDefault="00434A8B" w:rsidP="00E76718">
      <w:pPr>
        <w:pStyle w:val="FootnoteText"/>
      </w:pPr>
      <w:r w:rsidRPr="00C2088B">
        <w:rPr>
          <w:rStyle w:val="FootnoteReference"/>
          <w:sz w:val="20"/>
        </w:rPr>
        <w:footnoteRef/>
      </w:r>
      <w:r w:rsidRPr="00C2088B">
        <w:t xml:space="preserve"> </w:t>
      </w:r>
      <w:r w:rsidR="00E33DA7">
        <w:rPr>
          <w:i/>
        </w:rPr>
        <w:t>See i</w:t>
      </w:r>
      <w:r w:rsidRPr="00C2088B">
        <w:rPr>
          <w:i/>
        </w:rPr>
        <w:t>d.</w:t>
      </w:r>
      <w:r w:rsidRPr="00C2088B">
        <w:t xml:space="preserve"> at 4-5.  </w:t>
      </w:r>
    </w:p>
  </w:footnote>
  <w:footnote w:id="7">
    <w:p w14:paraId="265AFAD8" w14:textId="3ED27F7B" w:rsidR="00434A8B" w:rsidRPr="00C2088B" w:rsidRDefault="00434A8B" w:rsidP="00E76718">
      <w:pPr>
        <w:pStyle w:val="FootnoteText"/>
      </w:pPr>
      <w:r w:rsidRPr="00C2088B">
        <w:rPr>
          <w:rStyle w:val="FootnoteReference"/>
          <w:sz w:val="20"/>
        </w:rPr>
        <w:footnoteRef/>
      </w:r>
      <w:r w:rsidRPr="00C2088B">
        <w:t xml:space="preserve"> </w:t>
      </w:r>
      <w:r w:rsidRPr="00C2088B">
        <w:rPr>
          <w:i/>
        </w:rPr>
        <w:t>See</w:t>
      </w:r>
      <w:r w:rsidRPr="00C2088B">
        <w:t xml:space="preserve"> Information Use Management and Policy Institute, College of Information, Florida State University, Public Libraries and the Internet 2006:  Study Results and Findings, at 7 (2006), </w:t>
      </w:r>
      <w:r w:rsidRPr="00C2088B">
        <w:rPr>
          <w:i/>
        </w:rPr>
        <w:t xml:space="preserve">available at </w:t>
      </w:r>
      <w:hyperlink r:id="rId6" w:history="1">
        <w:r w:rsidRPr="00C2088B">
          <w:rPr>
            <w:rStyle w:val="Hyperlink"/>
          </w:rPr>
          <w:t>http://www.ii.fsu.edu/Solutions/Public-Libraries-The-Internet/Reports</w:t>
        </w:r>
      </w:hyperlink>
      <w:r w:rsidRPr="00C2088B">
        <w:t xml:space="preserve"> (last visited July 15, 2013).</w:t>
      </w:r>
    </w:p>
  </w:footnote>
  <w:footnote w:id="8">
    <w:p w14:paraId="0B560331" w14:textId="213DB9AE" w:rsidR="00434A8B" w:rsidRPr="00C2088B" w:rsidRDefault="00434A8B" w:rsidP="00E76718">
      <w:pPr>
        <w:pStyle w:val="FootnoteText"/>
      </w:pPr>
      <w:r w:rsidRPr="00C2088B">
        <w:rPr>
          <w:rStyle w:val="FootnoteReference"/>
          <w:sz w:val="20"/>
        </w:rPr>
        <w:footnoteRef/>
      </w:r>
      <w:r w:rsidRPr="00C2088B">
        <w:t xml:space="preserve"> </w:t>
      </w:r>
      <w:r w:rsidR="00E33DA7" w:rsidRPr="00E33DA7">
        <w:rPr>
          <w:i/>
        </w:rPr>
        <w:t>See, e.g.,</w:t>
      </w:r>
      <w:r w:rsidRPr="00C2088B">
        <w:rPr>
          <w:i/>
        </w:rPr>
        <w:t xml:space="preserve"> </w:t>
      </w:r>
      <w:r w:rsidRPr="00C2088B">
        <w:t xml:space="preserve">Foundation for Excellence in Education, Digital Learning Now! at 11-12 (rel. Dec. 1, 2010), </w:t>
      </w:r>
      <w:r w:rsidRPr="00C2088B">
        <w:rPr>
          <w:i/>
        </w:rPr>
        <w:t>available at</w:t>
      </w:r>
      <w:r w:rsidRPr="00C2088B">
        <w:t xml:space="preserve"> </w:t>
      </w:r>
      <w:hyperlink r:id="rId7" w:history="1">
        <w:r w:rsidRPr="00C2088B">
          <w:rPr>
            <w:rStyle w:val="Hyperlink"/>
          </w:rPr>
          <w:t>http://www.digitallearningnow.com/wp-content/uploads/2011/09/Digital-Learning-Now-Report-FINAL1.pdf</w:t>
        </w:r>
      </w:hyperlink>
      <w:r w:rsidRPr="00C2088B">
        <w:t>) (last visited July 15, 2013).</w:t>
      </w:r>
    </w:p>
  </w:footnote>
  <w:footnote w:id="9">
    <w:p w14:paraId="52B5DDBB" w14:textId="53F10B4D" w:rsidR="00434A8B" w:rsidRPr="00C2088B" w:rsidRDefault="00434A8B" w:rsidP="003E50AF">
      <w:pPr>
        <w:pStyle w:val="FootnoteText"/>
      </w:pPr>
      <w:r w:rsidRPr="00191201">
        <w:rPr>
          <w:rStyle w:val="FootnoteReference"/>
        </w:rPr>
        <w:footnoteRef/>
      </w:r>
      <w:r w:rsidRPr="00A558CB">
        <w:t xml:space="preserve"> </w:t>
      </w:r>
      <w:r w:rsidRPr="00C2088B">
        <w:rPr>
          <w:i/>
        </w:rPr>
        <w:t>See</w:t>
      </w:r>
      <w:r w:rsidRPr="004F322C">
        <w:rPr>
          <w:i/>
        </w:rPr>
        <w:t xml:space="preserve"> </w:t>
      </w:r>
      <w:r w:rsidRPr="00A1184F">
        <w:t xml:space="preserve">American Libraries Association, </w:t>
      </w:r>
      <w:r w:rsidRPr="00A1184F">
        <w:rPr>
          <w:rStyle w:val="Strong"/>
          <w:b w:val="0"/>
          <w:bCs/>
        </w:rPr>
        <w:t xml:space="preserve">Libraries Connect Communities: Public Library Funding &amp; Technology Access Study 2011-2012, </w:t>
      </w:r>
      <w:r w:rsidRPr="00A1184F">
        <w:rPr>
          <w:rStyle w:val="Strong"/>
          <w:b w:val="0"/>
          <w:bCs/>
          <w:i/>
        </w:rPr>
        <w:t>American Libraries Magazine</w:t>
      </w:r>
      <w:r w:rsidRPr="00A1184F">
        <w:rPr>
          <w:rStyle w:val="Strong"/>
          <w:b w:val="0"/>
          <w:bCs/>
        </w:rPr>
        <w:t xml:space="preserve">, </w:t>
      </w:r>
      <w:r w:rsidRPr="00A1184F">
        <w:t xml:space="preserve">at 41 (rel. summer 2012), </w:t>
      </w:r>
      <w:r w:rsidRPr="00A1184F">
        <w:rPr>
          <w:i/>
        </w:rPr>
        <w:t xml:space="preserve">available at </w:t>
      </w:r>
      <w:hyperlink r:id="rId8" w:anchor="/4673a369/1" w:history="1">
        <w:r w:rsidRPr="00C2088B">
          <w:rPr>
            <w:rStyle w:val="Hyperlink"/>
          </w:rPr>
          <w:t>http://viewer.zmags.com/publication/4673a369#/4673a369/1</w:t>
        </w:r>
      </w:hyperlink>
      <w:r w:rsidRPr="00C2088B">
        <w:t xml:space="preserve"> (last visited July 15, 2013) (ALA Summer 2012 Report).</w:t>
      </w:r>
    </w:p>
  </w:footnote>
  <w:footnote w:id="10">
    <w:p w14:paraId="2608397C" w14:textId="53B224AA" w:rsidR="00434A8B" w:rsidRPr="00C2088B" w:rsidRDefault="00434A8B" w:rsidP="003E50AF">
      <w:pPr>
        <w:pStyle w:val="FootnoteText"/>
      </w:pPr>
      <w:r w:rsidRPr="00C2088B">
        <w:rPr>
          <w:rStyle w:val="FootnoteReference"/>
          <w:sz w:val="20"/>
        </w:rPr>
        <w:footnoteRef/>
      </w:r>
      <w:r w:rsidRPr="00C2088B">
        <w:t xml:space="preserve"> Letter from Emily Sheketoff, Executive Director, American Library Association, to the Honorable Barack Obama, President of the United States</w:t>
      </w:r>
      <w:r>
        <w:t>, CC Docket 02-6,</w:t>
      </w:r>
      <w:r w:rsidRPr="00C2088B">
        <w:t xml:space="preserve"> at 1 (dated July 8, 2013). </w:t>
      </w:r>
    </w:p>
  </w:footnote>
  <w:footnote w:id="11">
    <w:p w14:paraId="249208C4" w14:textId="77777777" w:rsidR="00434A8B" w:rsidRPr="00C2088B" w:rsidRDefault="00434A8B" w:rsidP="003E50AF">
      <w:pPr>
        <w:pStyle w:val="FootnoteText"/>
      </w:pPr>
      <w:r w:rsidRPr="00C2088B">
        <w:rPr>
          <w:rStyle w:val="FootnoteReference"/>
          <w:sz w:val="20"/>
        </w:rPr>
        <w:footnoteRef/>
      </w:r>
      <w:r w:rsidRPr="00C2088B">
        <w:t xml:space="preserve"> </w:t>
      </w:r>
      <w:r w:rsidRPr="00C2088B">
        <w:rPr>
          <w:i/>
        </w:rPr>
        <w:t>Id.</w:t>
      </w:r>
    </w:p>
  </w:footnote>
  <w:footnote w:id="12">
    <w:p w14:paraId="1166FBF5" w14:textId="77777777" w:rsidR="00434A8B" w:rsidRPr="00C2088B" w:rsidRDefault="00434A8B" w:rsidP="003E50AF">
      <w:pPr>
        <w:pStyle w:val="FootnoteText"/>
      </w:pPr>
      <w:r w:rsidRPr="00C2088B">
        <w:rPr>
          <w:rStyle w:val="FootnoteReference"/>
          <w:sz w:val="20"/>
        </w:rPr>
        <w:footnoteRef/>
      </w:r>
      <w:r w:rsidRPr="00C2088B">
        <w:t xml:space="preserve"> </w:t>
      </w:r>
      <w:r w:rsidRPr="00C2088B">
        <w:rPr>
          <w:i/>
        </w:rPr>
        <w:t>Id</w:t>
      </w:r>
      <w:r w:rsidRPr="00C2088B">
        <w:t xml:space="preserve">. at 2. </w:t>
      </w:r>
    </w:p>
  </w:footnote>
  <w:footnote w:id="13">
    <w:p w14:paraId="36DC94AF" w14:textId="77777777" w:rsidR="00434A8B" w:rsidRPr="00C2088B" w:rsidRDefault="00434A8B" w:rsidP="003E50AF">
      <w:pPr>
        <w:pStyle w:val="FootnoteText"/>
      </w:pPr>
      <w:r w:rsidRPr="00C2088B">
        <w:rPr>
          <w:rStyle w:val="FootnoteReference"/>
          <w:sz w:val="20"/>
        </w:rPr>
        <w:footnoteRef/>
      </w:r>
      <w:r w:rsidRPr="00C2088B">
        <w:t xml:space="preserve"> </w:t>
      </w:r>
      <w:r w:rsidRPr="00C2088B">
        <w:rPr>
          <w:i/>
        </w:rPr>
        <w:t>Id.</w:t>
      </w:r>
      <w:r w:rsidRPr="00C2088B">
        <w:t xml:space="preserve"> at 1. </w:t>
      </w:r>
    </w:p>
  </w:footnote>
  <w:footnote w:id="14">
    <w:p w14:paraId="40B463E1" w14:textId="3E78E37C" w:rsidR="00434A8B" w:rsidRPr="00C2088B" w:rsidRDefault="00434A8B" w:rsidP="00E76718">
      <w:pPr>
        <w:pStyle w:val="FootnoteText"/>
      </w:pPr>
      <w:r w:rsidRPr="00C2088B">
        <w:rPr>
          <w:rStyle w:val="FootnoteReference"/>
          <w:sz w:val="20"/>
        </w:rPr>
        <w:footnoteRef/>
      </w:r>
      <w:r w:rsidRPr="00C2088B">
        <w:t xml:space="preserve"> </w:t>
      </w:r>
      <w:r w:rsidRPr="00C2088B">
        <w:rPr>
          <w:i/>
        </w:rPr>
        <w:t>See</w:t>
      </w:r>
      <w:r w:rsidRPr="00C2088B">
        <w:t xml:space="preserve"> Federal Communications Commission, 2010 E-rate Program and Broadband Usage Survey: Report, at 4-5 (</w:t>
      </w:r>
      <w:r w:rsidR="0023404A">
        <w:t xml:space="preserve">Wireline Comp. Bur. </w:t>
      </w:r>
      <w:r w:rsidRPr="00C2088B">
        <w:t xml:space="preserve">2011), </w:t>
      </w:r>
      <w:r w:rsidR="0023404A">
        <w:t>26 FCC Rcd 1</w:t>
      </w:r>
      <w:r w:rsidRPr="00C2088B">
        <w:t xml:space="preserve">, </w:t>
      </w:r>
      <w:r w:rsidRPr="00C2088B">
        <w:rPr>
          <w:i/>
        </w:rPr>
        <w:t>available at</w:t>
      </w:r>
      <w:r w:rsidRPr="00C2088B">
        <w:t xml:space="preserve"> </w:t>
      </w:r>
      <w:hyperlink r:id="rId9" w:history="1">
        <w:r w:rsidRPr="00C2088B">
          <w:rPr>
            <w:rStyle w:val="Hyperlink"/>
          </w:rPr>
          <w:t>http://hraunfoss.fcc.gov/edocs_public/attachmatch/DA-10-2414A1.pdf</w:t>
        </w:r>
      </w:hyperlink>
      <w:r w:rsidRPr="00C2088B">
        <w:t xml:space="preserve"> (last visited July 15, 2013) (E-rate Program and Broadband Survey).  </w:t>
      </w:r>
    </w:p>
  </w:footnote>
  <w:footnote w:id="15">
    <w:p w14:paraId="63689623" w14:textId="77777777" w:rsidR="00434A8B" w:rsidRPr="00C2088B" w:rsidRDefault="00434A8B" w:rsidP="00E76718">
      <w:pPr>
        <w:pStyle w:val="FootnoteText"/>
      </w:pPr>
      <w:r w:rsidRPr="00C2088B">
        <w:rPr>
          <w:rStyle w:val="FootnoteReference"/>
          <w:sz w:val="20"/>
        </w:rPr>
        <w:footnoteRef/>
      </w:r>
      <w:r w:rsidRPr="00C2088B">
        <w:t xml:space="preserve"> </w:t>
      </w:r>
      <w:r w:rsidRPr="00C2088B">
        <w:rPr>
          <w:i/>
        </w:rPr>
        <w:t>Id.</w:t>
      </w:r>
      <w:r w:rsidRPr="00C2088B">
        <w:t xml:space="preserve"> at 2, 9.</w:t>
      </w:r>
    </w:p>
  </w:footnote>
  <w:footnote w:id="16">
    <w:p w14:paraId="3E54B008" w14:textId="77777777" w:rsidR="00434A8B" w:rsidRPr="00C2088B" w:rsidRDefault="00434A8B" w:rsidP="00E76718">
      <w:pPr>
        <w:pStyle w:val="FootnoteText"/>
      </w:pPr>
      <w:r w:rsidRPr="00C2088B">
        <w:rPr>
          <w:rStyle w:val="FootnoteReference"/>
          <w:sz w:val="20"/>
        </w:rPr>
        <w:footnoteRef/>
      </w:r>
      <w:r w:rsidRPr="00C2088B">
        <w:t xml:space="preserve"> </w:t>
      </w:r>
      <w:r w:rsidRPr="00C2088B">
        <w:rPr>
          <w:i/>
        </w:rPr>
        <w:t xml:space="preserve">See </w:t>
      </w:r>
      <w:r w:rsidRPr="00C2088B">
        <w:t xml:space="preserve">ALA Summer 2012 Report at 23.  </w:t>
      </w:r>
    </w:p>
  </w:footnote>
  <w:footnote w:id="17">
    <w:p w14:paraId="51F1EB49" w14:textId="53F5B5C1" w:rsidR="00434A8B" w:rsidRPr="00C2088B" w:rsidRDefault="00434A8B" w:rsidP="00E76718">
      <w:pPr>
        <w:pStyle w:val="FootnoteText"/>
      </w:pPr>
      <w:r w:rsidRPr="00C2088B">
        <w:rPr>
          <w:rStyle w:val="FootnoteReference"/>
          <w:sz w:val="20"/>
        </w:rPr>
        <w:footnoteRef/>
      </w:r>
      <w:r w:rsidRPr="00C2088B">
        <w:t xml:space="preserve"> </w:t>
      </w:r>
      <w:r w:rsidRPr="00C2088B">
        <w:rPr>
          <w:i/>
        </w:rPr>
        <w:t>Id.</w:t>
      </w:r>
      <w:r w:rsidRPr="00C2088B">
        <w:t xml:space="preserve"> at 23-24.</w:t>
      </w:r>
    </w:p>
  </w:footnote>
  <w:footnote w:id="18">
    <w:p w14:paraId="48DC3B31" w14:textId="7C59E75A" w:rsidR="00434A8B" w:rsidRPr="006E4474" w:rsidRDefault="00434A8B" w:rsidP="00E76718">
      <w:pPr>
        <w:pStyle w:val="FootnoteText"/>
      </w:pPr>
      <w:r w:rsidRPr="006E4474">
        <w:rPr>
          <w:rStyle w:val="FootnoteReference"/>
          <w:sz w:val="20"/>
        </w:rPr>
        <w:footnoteRef/>
      </w:r>
      <w:r w:rsidRPr="006E4474">
        <w:t xml:space="preserve"> </w:t>
      </w:r>
      <w:r w:rsidRPr="006E4474">
        <w:rPr>
          <w:i/>
        </w:rPr>
        <w:t>See</w:t>
      </w:r>
      <w:r w:rsidRPr="006E4474">
        <w:t xml:space="preserve"> </w:t>
      </w:r>
      <w:r>
        <w:t xml:space="preserve">The White House, Office of the Press Secretary, </w:t>
      </w:r>
      <w:r w:rsidRPr="006E4474">
        <w:rPr>
          <w:i/>
        </w:rPr>
        <w:t>ConnectE</w:t>
      </w:r>
      <w:r>
        <w:rPr>
          <w:i/>
        </w:rPr>
        <w:t>D</w:t>
      </w:r>
      <w:r w:rsidRPr="006E4474">
        <w:rPr>
          <w:i/>
        </w:rPr>
        <w:t>:  President Obama’s plan for Connecting All Schools to the Digital Age</w:t>
      </w:r>
      <w:r w:rsidRPr="006E4474">
        <w:t xml:space="preserve"> </w:t>
      </w:r>
      <w:r w:rsidRPr="00510855">
        <w:rPr>
          <w:i/>
        </w:rPr>
        <w:t>available at</w:t>
      </w:r>
      <w:r w:rsidRPr="006E4474">
        <w:t xml:space="preserve"> </w:t>
      </w:r>
      <w:hyperlink r:id="rId10" w:history="1">
        <w:r w:rsidRPr="006E4474">
          <w:rPr>
            <w:rStyle w:val="Hyperlink"/>
          </w:rPr>
          <w:t>http://www.whitehouse.gov/sites/default/files/docs/connected_fact_sheet.pdf</w:t>
        </w:r>
      </w:hyperlink>
      <w:r w:rsidRPr="006E4474">
        <w:t xml:space="preserve"> (last visited </w:t>
      </w:r>
      <w:r>
        <w:t>July 15</w:t>
      </w:r>
      <w:r w:rsidRPr="006E4474">
        <w:t>, 2013)</w:t>
      </w:r>
      <w:r w:rsidRPr="00C93FF2">
        <w:rPr>
          <w:color w:val="000000"/>
          <w:szCs w:val="24"/>
        </w:rPr>
        <w:t xml:space="preserve"> </w:t>
      </w:r>
      <w:r>
        <w:rPr>
          <w:color w:val="000000"/>
          <w:szCs w:val="24"/>
        </w:rPr>
        <w:t>(ConnectED Fact Sheet)</w:t>
      </w:r>
      <w:r w:rsidRPr="006E4474">
        <w:t>.</w:t>
      </w:r>
    </w:p>
  </w:footnote>
  <w:footnote w:id="19">
    <w:p w14:paraId="43D7A150" w14:textId="77777777" w:rsidR="00434A8B" w:rsidRPr="006E4474" w:rsidRDefault="00434A8B" w:rsidP="00E76718">
      <w:pPr>
        <w:pStyle w:val="FootnoteText"/>
      </w:pPr>
      <w:r w:rsidRPr="006E4474">
        <w:rPr>
          <w:rStyle w:val="FootnoteReference"/>
          <w:sz w:val="20"/>
        </w:rPr>
        <w:footnoteRef/>
      </w:r>
      <w:r w:rsidRPr="006E4474">
        <w:t xml:space="preserve"> </w:t>
      </w:r>
      <w:r w:rsidRPr="006E4474">
        <w:rPr>
          <w:i/>
        </w:rPr>
        <w:t>Id.</w:t>
      </w:r>
    </w:p>
  </w:footnote>
  <w:footnote w:id="20">
    <w:p w14:paraId="42546416" w14:textId="144E9083" w:rsidR="00434A8B" w:rsidRPr="006E4474" w:rsidRDefault="00434A8B" w:rsidP="007F228D">
      <w:pPr>
        <w:pStyle w:val="FootnoteText"/>
        <w:rPr>
          <w:iCs/>
        </w:rPr>
      </w:pPr>
      <w:r w:rsidRPr="006E4474">
        <w:rPr>
          <w:rStyle w:val="FootnoteReference"/>
          <w:sz w:val="20"/>
        </w:rPr>
        <w:footnoteRef/>
      </w:r>
      <w:r w:rsidRPr="006E4474">
        <w:t xml:space="preserve"> </w:t>
      </w:r>
      <w:r w:rsidR="00E33DA7" w:rsidRPr="00E33DA7">
        <w:rPr>
          <w:i/>
        </w:rPr>
        <w:t>See, e.g.,</w:t>
      </w:r>
      <w:r w:rsidRPr="006E4474">
        <w:rPr>
          <w:i/>
        </w:rPr>
        <w:t xml:space="preserve"> </w:t>
      </w:r>
      <w:r w:rsidRPr="006E4474">
        <w:t xml:space="preserve">Press Release, Jay Rockefeller, Promises Made, Promises Kept: Rockefeller Program that Expands Internet Access for WV Schools, Libraries Gets Major Boost (June 6, 2013), </w:t>
      </w:r>
      <w:r w:rsidRPr="004F322C">
        <w:rPr>
          <w:i/>
        </w:rPr>
        <w:t>available at</w:t>
      </w:r>
      <w:r w:rsidRPr="006E4474">
        <w:t xml:space="preserve"> </w:t>
      </w:r>
      <w:hyperlink r:id="rId11" w:history="1">
        <w:r w:rsidRPr="006E4474">
          <w:rPr>
            <w:rStyle w:val="Hyperlink"/>
          </w:rPr>
          <w:t>http://www.rockefeller.senate.gov/public/index.cfm/press-releases?ID=2c487a72-7b98-456f-b723-278fc11a2202</w:t>
        </w:r>
      </w:hyperlink>
      <w:r w:rsidRPr="006E4474">
        <w:t xml:space="preserve"> (</w:t>
      </w:r>
      <w:r>
        <w:t>last visited July 15, 2013</w:t>
      </w:r>
      <w:r w:rsidRPr="006E4474">
        <w:t xml:space="preserve">); Press Release, Statement of NCTA President &amp; CEO Michael Powell Regarding the President’s ConnectED Initiative (June 6, 2013), </w:t>
      </w:r>
      <w:r w:rsidRPr="004F322C">
        <w:rPr>
          <w:i/>
        </w:rPr>
        <w:t xml:space="preserve">available at </w:t>
      </w:r>
      <w:hyperlink r:id="rId12" w:history="1">
        <w:r w:rsidRPr="006E4474">
          <w:rPr>
            <w:rStyle w:val="Hyperlink"/>
          </w:rPr>
          <w:t>http://www.ncta.com/news-and-events/media-room/article/2774</w:t>
        </w:r>
      </w:hyperlink>
      <w:r w:rsidRPr="006E4474">
        <w:t xml:space="preserve"> (</w:t>
      </w:r>
      <w:r>
        <w:t>last visited July 15, 2013</w:t>
      </w:r>
      <w:r w:rsidRPr="006E4474">
        <w:t xml:space="preserve">); Press Release, AT&amp;T Chairman &amp; CEO Randall Stephenson, AT&amp;T Response to President Obama's ConnectED Plan (June 6, 2013), </w:t>
      </w:r>
      <w:r w:rsidRPr="004F322C">
        <w:rPr>
          <w:i/>
        </w:rPr>
        <w:t>available at</w:t>
      </w:r>
      <w:r w:rsidRPr="006E4474">
        <w:t xml:space="preserve">  </w:t>
      </w:r>
      <w:hyperlink r:id="rId13" w:history="1">
        <w:r w:rsidRPr="006E4474">
          <w:rPr>
            <w:rStyle w:val="Hyperlink"/>
          </w:rPr>
          <w:t>http://www.prnewswire.com/news-releases/att-response-to-president-obamas-connected-plan-210464851.html</w:t>
        </w:r>
      </w:hyperlink>
      <w:r w:rsidRPr="006E4474">
        <w:t xml:space="preserve"> (</w:t>
      </w:r>
      <w:r>
        <w:t>last visited July 15, 2013</w:t>
      </w:r>
      <w:r w:rsidRPr="006E4474">
        <w:t xml:space="preserve">); Press Release, Verizon Senior Vice President of Public Policy and Government Affairs, Verizon Response to President Obama’s ConnectED Plan (June 6, 2013) (on file with Commission); Obama Pushes for Higher Speed Broadband in Schools, by Grant Gross, IDG News Service, (June 6, 2013) </w:t>
      </w:r>
      <w:r w:rsidRPr="004F322C">
        <w:rPr>
          <w:i/>
        </w:rPr>
        <w:t>available at</w:t>
      </w:r>
      <w:r w:rsidRPr="006E4474">
        <w:t xml:space="preserve"> </w:t>
      </w:r>
      <w:hyperlink r:id="rId14" w:history="1">
        <w:r w:rsidRPr="006E4474">
          <w:rPr>
            <w:rStyle w:val="Hyperlink"/>
          </w:rPr>
          <w:t>http://www.cio.com/article/734558/Obama_Pushes_for_Higher_Speed_Broadband_in_Schools</w:t>
        </w:r>
      </w:hyperlink>
      <w:r w:rsidRPr="006E4474">
        <w:t xml:space="preserve"> (</w:t>
      </w:r>
      <w:r>
        <w:t>last visited July 15, 2013</w:t>
      </w:r>
      <w:r w:rsidRPr="006E4474">
        <w:t xml:space="preserve">) (quoting Comcast’s Sena Fitzmaurice, vice president of government communications); </w:t>
      </w:r>
      <w:r w:rsidRPr="006E4474">
        <w:rPr>
          <w:rFonts w:eastAsia="Calibri"/>
        </w:rPr>
        <w:t>John Chambers, Cisco Statement on White House E-Rate Announcement,</w:t>
      </w:r>
      <w:r>
        <w:rPr>
          <w:rFonts w:eastAsia="Calibri"/>
        </w:rPr>
        <w:t xml:space="preserve"> </w:t>
      </w:r>
      <w:r w:rsidRPr="004F322C">
        <w:rPr>
          <w:rFonts w:eastAsia="Calibri"/>
        </w:rPr>
        <w:t>Cisco Blog</w:t>
      </w:r>
      <w:r w:rsidRPr="006E4474">
        <w:rPr>
          <w:rFonts w:eastAsia="Calibri"/>
        </w:rPr>
        <w:t xml:space="preserve"> (June 6, 2013, 2:44 PM) </w:t>
      </w:r>
      <w:r w:rsidRPr="004F322C">
        <w:rPr>
          <w:rFonts w:eastAsia="Calibri"/>
          <w:i/>
        </w:rPr>
        <w:t>available at</w:t>
      </w:r>
      <w:r w:rsidRPr="006E4474">
        <w:rPr>
          <w:rFonts w:eastAsia="Calibri"/>
        </w:rPr>
        <w:t xml:space="preserve"> </w:t>
      </w:r>
      <w:hyperlink r:id="rId15" w:history="1">
        <w:r w:rsidRPr="006E4474">
          <w:rPr>
            <w:rStyle w:val="Hyperlink"/>
            <w:rFonts w:eastAsia="Calibri"/>
          </w:rPr>
          <w:t>http://blogs.cisco.com/news/cisco-statement-on-white-house-e-rate-announcement</w:t>
        </w:r>
      </w:hyperlink>
      <w:r w:rsidRPr="006E4474">
        <w:rPr>
          <w:rFonts w:eastAsia="Calibri"/>
        </w:rPr>
        <w:t xml:space="preserve"> (last visited </w:t>
      </w:r>
      <w:r>
        <w:rPr>
          <w:rFonts w:eastAsia="Calibri"/>
        </w:rPr>
        <w:t>July 15</w:t>
      </w:r>
      <w:r w:rsidRPr="006E4474">
        <w:rPr>
          <w:rFonts w:eastAsia="Calibri"/>
        </w:rPr>
        <w:t xml:space="preserve">, 2013); </w:t>
      </w:r>
      <w:r w:rsidRPr="006E4474">
        <w:t xml:space="preserve">Press Release, Statement of LEAD Commission, Lee Bollinger, Jim Coulter, Margaret Spellings, Jim Steyer, Lead Applauds ConnectED Intiative (June 6, 2013), </w:t>
      </w:r>
      <w:r w:rsidRPr="004F322C">
        <w:rPr>
          <w:i/>
        </w:rPr>
        <w:t>available at</w:t>
      </w:r>
      <w:r w:rsidRPr="006E4474">
        <w:t xml:space="preserve"> </w:t>
      </w:r>
      <w:hyperlink r:id="rId16" w:history="1">
        <w:r w:rsidRPr="006E4474">
          <w:rPr>
            <w:rStyle w:val="Hyperlink"/>
          </w:rPr>
          <w:t>http://www.leadcommission.org/news/statement-lead-applauds-connected-initiative</w:t>
        </w:r>
      </w:hyperlink>
      <w:r w:rsidRPr="006E4474">
        <w:t xml:space="preserve"> (</w:t>
      </w:r>
      <w:r>
        <w:t>last visited July 15, 2013</w:t>
      </w:r>
      <w:r w:rsidRPr="006E4474">
        <w:t>); Press Release, CEO of N</w:t>
      </w:r>
      <w:r>
        <w:t>TC</w:t>
      </w:r>
      <w:r w:rsidRPr="006E4474">
        <w:t xml:space="preserve">A Shirley Bloomfield, NTCA CEO Comments on White House ConnectED Initiative (June 6, 2013), </w:t>
      </w:r>
      <w:r w:rsidRPr="004F322C">
        <w:rPr>
          <w:i/>
        </w:rPr>
        <w:t>available at</w:t>
      </w:r>
      <w:r w:rsidRPr="006E4474">
        <w:t xml:space="preserve"> </w:t>
      </w:r>
      <w:hyperlink r:id="rId17" w:history="1">
        <w:r w:rsidRPr="006E4474">
          <w:rPr>
            <w:rStyle w:val="Hyperlink"/>
          </w:rPr>
          <w:t>http://www.ntca.org/2013-press-releases/ntca-ceo-comments-on-white-house-connected-initiative.html</w:t>
        </w:r>
      </w:hyperlink>
      <w:r w:rsidRPr="006E4474">
        <w:t xml:space="preserve"> (</w:t>
      </w:r>
      <w:r>
        <w:t>last visited July 15, 2013</w:t>
      </w:r>
      <w:r w:rsidRPr="006E4474">
        <w:t>); Press Release, CEO of ISTE Brian Lewis, International Society for Technology in Education (ISTE) Applauds President Obama’s ConnectE</w:t>
      </w:r>
      <w:r>
        <w:t>D</w:t>
      </w:r>
      <w:r w:rsidRPr="006E4474">
        <w:t xml:space="preserve"> Initiative (June 6, 2013), </w:t>
      </w:r>
      <w:r w:rsidRPr="004F322C">
        <w:rPr>
          <w:i/>
        </w:rPr>
        <w:t>available at</w:t>
      </w:r>
      <w:r w:rsidRPr="006E4474">
        <w:t xml:space="preserve"> </w:t>
      </w:r>
      <w:hyperlink r:id="rId18" w:history="1">
        <w:r w:rsidRPr="006E4474">
          <w:rPr>
            <w:rStyle w:val="Hyperlink"/>
          </w:rPr>
          <w:t>http://www.iste.org/news/news-details/2013/06/06/international-society-for-technology-in-education-(iste)-applauds-president-obama-s-connected-initiative</w:t>
        </w:r>
      </w:hyperlink>
      <w:r w:rsidRPr="006E4474">
        <w:t xml:space="preserve"> (</w:t>
      </w:r>
      <w:r>
        <w:t>last visited July 15, 2013</w:t>
      </w:r>
      <w:r w:rsidRPr="006E4474">
        <w:t>); Press Release, CEO of Consortium for School Networking (CoSN) Keith Kruger, ‘Giant Leap</w:t>
      </w:r>
      <w:r>
        <w:t>”</w:t>
      </w:r>
      <w:r w:rsidRPr="006E4474">
        <w:t xml:space="preserve"> Forward with ConnectED (June 6, 2013), </w:t>
      </w:r>
      <w:r w:rsidRPr="004F322C">
        <w:rPr>
          <w:i/>
        </w:rPr>
        <w:t xml:space="preserve">available at </w:t>
      </w:r>
      <w:hyperlink r:id="rId19" w:history="1">
        <w:r w:rsidRPr="006E4474">
          <w:rPr>
            <w:rStyle w:val="Hyperlink"/>
          </w:rPr>
          <w:t>http://www.cosn.org/Portals/7/docs/Press%20Releases/2013/CoSNStatementConnectED6June13FINAL.pdf</w:t>
        </w:r>
      </w:hyperlink>
      <w:r w:rsidRPr="006E4474">
        <w:t xml:space="preserve"> (</w:t>
      </w:r>
      <w:r>
        <w:t>last visited July 15, 2013</w:t>
      </w:r>
      <w:r w:rsidRPr="006E4474">
        <w:t xml:space="preserve">); Press Release, National School Boards Association, NSBA Welcomes President’s Plan to Improve Schools’ Internet Access, (June 6, 2013) </w:t>
      </w:r>
      <w:r w:rsidRPr="004F322C">
        <w:rPr>
          <w:i/>
        </w:rPr>
        <w:t>available at</w:t>
      </w:r>
      <w:r w:rsidRPr="006E4474">
        <w:t xml:space="preserve"> </w:t>
      </w:r>
      <w:hyperlink r:id="rId20" w:history="1">
        <w:r w:rsidRPr="006E4474">
          <w:rPr>
            <w:rStyle w:val="Hyperlink"/>
          </w:rPr>
          <w:t>http://www.nsba.org/newsroom/press-releases/nsba-welcomes-presidents-plan-to-improve-schools-internet-access.html.aspx</w:t>
        </w:r>
      </w:hyperlink>
      <w:r w:rsidRPr="006E4474">
        <w:t xml:space="preserve"> (</w:t>
      </w:r>
      <w:r>
        <w:t>last visited July 15, 2013</w:t>
      </w:r>
      <w:r w:rsidRPr="006E4474">
        <w:t xml:space="preserve">); Press Release, American Library Association, ALA welcomes White House call for increased E-rate funding for libraries and schools, (June 6, 2013) </w:t>
      </w:r>
      <w:r w:rsidRPr="004F322C">
        <w:rPr>
          <w:i/>
        </w:rPr>
        <w:t>available at</w:t>
      </w:r>
      <w:r w:rsidRPr="006E4474">
        <w:t xml:space="preserve"> </w:t>
      </w:r>
      <w:hyperlink r:id="rId21" w:history="1">
        <w:r w:rsidRPr="006E4474">
          <w:rPr>
            <w:rStyle w:val="Hyperlink"/>
          </w:rPr>
          <w:t>http://www.ala.org/news/press-releases/2013/06/ala-welcomes-white-house-call-increased-e-rate-funding-libraries-and-schools</w:t>
        </w:r>
      </w:hyperlink>
      <w:r w:rsidRPr="006E4474">
        <w:t xml:space="preserve"> (</w:t>
      </w:r>
      <w:r>
        <w:t>last visited July 15, 2013</w:t>
      </w:r>
      <w:r w:rsidRPr="006E4474">
        <w:t xml:space="preserve">); </w:t>
      </w:r>
      <w:r w:rsidRPr="006E4474">
        <w:rPr>
          <w:iCs/>
        </w:rPr>
        <w:t xml:space="preserve">Press Release, Council of Chief State School Officers, CCSSO Statement on ConnectED Initiative Announcement (June 6, 2013), </w:t>
      </w:r>
      <w:r w:rsidRPr="004F322C">
        <w:rPr>
          <w:i/>
        </w:rPr>
        <w:t>available at</w:t>
      </w:r>
      <w:r w:rsidRPr="006E4474">
        <w:rPr>
          <w:iCs/>
        </w:rPr>
        <w:t xml:space="preserve"> </w:t>
      </w:r>
      <w:hyperlink r:id="rId22" w:history="1">
        <w:r w:rsidRPr="006E4474">
          <w:rPr>
            <w:rStyle w:val="Hyperlink"/>
            <w:iCs/>
          </w:rPr>
          <w:t>http://www.ccsso.org/News_and_Events/Press_Releases/CCSSO_Statement_on_ConnectED_Initiative_Announcement.html</w:t>
        </w:r>
      </w:hyperlink>
      <w:r w:rsidRPr="006E4474">
        <w:rPr>
          <w:iCs/>
        </w:rPr>
        <w:t xml:space="preserve"> (</w:t>
      </w:r>
      <w:r>
        <w:rPr>
          <w:iCs/>
        </w:rPr>
        <w:t>last visited July 15, 2013</w:t>
      </w:r>
      <w:r w:rsidRPr="006E4474">
        <w:rPr>
          <w:iCs/>
        </w:rPr>
        <w:t xml:space="preserve">); </w:t>
      </w:r>
      <w:r w:rsidRPr="006E4474">
        <w:rPr>
          <w:iCs/>
          <w:color w:val="000000"/>
        </w:rPr>
        <w:t>Press Release, President of Alliance for Excellent Education Gov. Bob Wise,</w:t>
      </w:r>
      <w:r w:rsidRPr="006E4474">
        <w:t xml:space="preserve"> </w:t>
      </w:r>
      <w:r w:rsidRPr="006E4474">
        <w:rPr>
          <w:iCs/>
          <w:color w:val="000000"/>
        </w:rPr>
        <w:t xml:space="preserve">Gov. Bob Wise Comments on President Obama’s </w:t>
      </w:r>
      <w:r>
        <w:rPr>
          <w:iCs/>
          <w:color w:val="000000"/>
        </w:rPr>
        <w:t>“</w:t>
      </w:r>
      <w:r w:rsidRPr="006E4474">
        <w:rPr>
          <w:iCs/>
          <w:color w:val="000000"/>
        </w:rPr>
        <w:t>ConnectED</w:t>
      </w:r>
      <w:r>
        <w:rPr>
          <w:iCs/>
          <w:color w:val="000000"/>
        </w:rPr>
        <w:t>”</w:t>
      </w:r>
      <w:r w:rsidRPr="006E4474">
        <w:rPr>
          <w:iCs/>
          <w:color w:val="000000"/>
        </w:rPr>
        <w:t xml:space="preserve"> Plan to Provide Schools with High-Speed Internet Access (June 6, 2013), </w:t>
      </w:r>
      <w:r w:rsidRPr="004F322C">
        <w:rPr>
          <w:i/>
          <w:color w:val="000000"/>
        </w:rPr>
        <w:t>available at</w:t>
      </w:r>
      <w:r w:rsidRPr="006E4474">
        <w:rPr>
          <w:iCs/>
          <w:color w:val="000000"/>
        </w:rPr>
        <w:t xml:space="preserve"> </w:t>
      </w:r>
      <w:hyperlink r:id="rId23" w:history="1">
        <w:r w:rsidRPr="006E4474">
          <w:rPr>
            <w:rStyle w:val="Hyperlink"/>
            <w:iCs/>
          </w:rPr>
          <w:t>http://www.all4ed.org/press_room/press_releases/06062013</w:t>
        </w:r>
      </w:hyperlink>
      <w:r w:rsidRPr="006E4474">
        <w:rPr>
          <w:iCs/>
          <w:color w:val="000000"/>
        </w:rPr>
        <w:t xml:space="preserve"> (</w:t>
      </w:r>
      <w:r>
        <w:rPr>
          <w:iCs/>
          <w:color w:val="000000"/>
        </w:rPr>
        <w:t>last visited July 15, 2013</w:t>
      </w:r>
      <w:r w:rsidRPr="006E4474">
        <w:rPr>
          <w:iCs/>
          <w:color w:val="000000"/>
        </w:rPr>
        <w:t xml:space="preserve">); </w:t>
      </w:r>
      <w:r w:rsidRPr="006E4474">
        <w:t xml:space="preserve">Press Release, National Association of Secondary School Principals, Principals Believe Better Internet Access Will Open More Doors (June 6, 2013), </w:t>
      </w:r>
      <w:r w:rsidRPr="004F322C">
        <w:rPr>
          <w:i/>
        </w:rPr>
        <w:t>available at</w:t>
      </w:r>
      <w:r w:rsidRPr="006E4474">
        <w:t xml:space="preserve">  </w:t>
      </w:r>
      <w:hyperlink r:id="rId24" w:history="1">
        <w:r w:rsidRPr="006E4474">
          <w:rPr>
            <w:rStyle w:val="Hyperlink"/>
          </w:rPr>
          <w:t>http://www.nassp.org/Content.aspx?topic=Principals_Believe_Better_Internet_Access_Will_Open_More_Doors</w:t>
        </w:r>
      </w:hyperlink>
      <w:r w:rsidRPr="006E4474">
        <w:t xml:space="preserve"> (</w:t>
      </w:r>
      <w:r>
        <w:t>last visited July 15, 2013</w:t>
      </w:r>
      <w:r w:rsidRPr="006E4474">
        <w:t>).</w:t>
      </w:r>
    </w:p>
  </w:footnote>
  <w:footnote w:id="21">
    <w:p w14:paraId="3A907AA8" w14:textId="3335C89F" w:rsidR="00434A8B" w:rsidRPr="006E4474" w:rsidRDefault="00434A8B" w:rsidP="00E76718">
      <w:pPr>
        <w:pStyle w:val="FootnoteText"/>
        <w:rPr>
          <w:i/>
        </w:rPr>
      </w:pPr>
      <w:r w:rsidRPr="006E4474">
        <w:rPr>
          <w:rStyle w:val="FootnoteReference"/>
          <w:sz w:val="20"/>
        </w:rPr>
        <w:footnoteRef/>
      </w:r>
      <w:r w:rsidRPr="006E4474">
        <w:t xml:space="preserve"> </w:t>
      </w:r>
      <w:r w:rsidRPr="006E4474">
        <w:rPr>
          <w:i/>
        </w:rPr>
        <w:t>See</w:t>
      </w:r>
      <w:r w:rsidRPr="006E4474">
        <w:t xml:space="preserve"> </w:t>
      </w:r>
      <w:r>
        <w:t xml:space="preserve">Press Release, U.S. Senate Committee on Commerce, Science, &amp; Transportation, </w:t>
      </w:r>
      <w:r w:rsidRPr="004F322C">
        <w:t>Rockefeller says E-rate Should Expand to Connect More Students to High Speed Broadband</w:t>
      </w:r>
      <w:r>
        <w:t xml:space="preserve"> (June 6, 2013), </w:t>
      </w:r>
      <w:r>
        <w:rPr>
          <w:i/>
        </w:rPr>
        <w:t xml:space="preserve">available at </w:t>
      </w:r>
      <w:hyperlink r:id="rId25" w:history="1">
        <w:r w:rsidRPr="006E4474">
          <w:rPr>
            <w:rStyle w:val="Hyperlink"/>
          </w:rPr>
          <w:t>http://www.commerce.senate.gov/public/index.cfm?p=PressReleases&amp;ContentRecord_id=5cb24ad3-281e-4abd-acd0-afb699008e3e&amp;ContentType_id=77eb43da-aa94-497d-a73f-5c951ff72372&amp;Group_id=505cc3fa-a767-40f4-8ac2-4b8326b44e94</w:t>
        </w:r>
      </w:hyperlink>
      <w:r w:rsidRPr="006E4474">
        <w:t xml:space="preserve"> (</w:t>
      </w:r>
      <w:r>
        <w:t>last visited July 15, 2013</w:t>
      </w:r>
      <w:r w:rsidRPr="006E4474">
        <w:t>).</w:t>
      </w:r>
    </w:p>
  </w:footnote>
  <w:footnote w:id="22">
    <w:p w14:paraId="53BE50A1" w14:textId="546C3FEF" w:rsidR="00434A8B" w:rsidRPr="006E4474" w:rsidRDefault="00434A8B" w:rsidP="00E76718">
      <w:pPr>
        <w:pStyle w:val="FootnoteText"/>
      </w:pPr>
      <w:r w:rsidRPr="006E4474">
        <w:rPr>
          <w:rStyle w:val="FootnoteReference"/>
          <w:sz w:val="20"/>
        </w:rPr>
        <w:footnoteRef/>
      </w:r>
      <w:r w:rsidRPr="006E4474">
        <w:t xml:space="preserve"> </w:t>
      </w:r>
      <w:r w:rsidRPr="004F322C">
        <w:rPr>
          <w:i/>
        </w:rPr>
        <w:t>See</w:t>
      </w:r>
      <w:r w:rsidRPr="006E4474">
        <w:t xml:space="preserve"> </w:t>
      </w:r>
      <w:r>
        <w:t xml:space="preserve">LEAD Commission, </w:t>
      </w:r>
      <w:r w:rsidRPr="006E4474">
        <w:rPr>
          <w:i/>
        </w:rPr>
        <w:t>LEAD’s National Educational Technology Initiative – a Five Point Plan</w:t>
      </w:r>
      <w:r w:rsidRPr="006E4474">
        <w:t xml:space="preserve">  </w:t>
      </w:r>
      <w:r w:rsidRPr="00510855">
        <w:rPr>
          <w:i/>
        </w:rPr>
        <w:t>available at</w:t>
      </w:r>
      <w:r w:rsidRPr="006E4474">
        <w:t xml:space="preserve"> </w:t>
      </w:r>
      <w:hyperlink r:id="rId26" w:history="1">
        <w:r w:rsidRPr="006E4474">
          <w:rPr>
            <w:rStyle w:val="Hyperlink"/>
          </w:rPr>
          <w:t>http://www.leadcommission.org/sites/default/files/LEAD%20Commission%20Blueprint.pdf</w:t>
        </w:r>
      </w:hyperlink>
      <w:r w:rsidRPr="006E4474">
        <w:t xml:space="preserve"> (</w:t>
      </w:r>
      <w:r>
        <w:t>last visited July 15, 2013</w:t>
      </w:r>
      <w:r w:rsidRPr="006E4474">
        <w:t>).</w:t>
      </w:r>
    </w:p>
  </w:footnote>
  <w:footnote w:id="23">
    <w:p w14:paraId="472802E9" w14:textId="77777777" w:rsidR="00434A8B" w:rsidRPr="006E4474" w:rsidRDefault="00434A8B" w:rsidP="00E76718">
      <w:pPr>
        <w:pStyle w:val="FootnoteText"/>
      </w:pPr>
      <w:r w:rsidRPr="006E4474">
        <w:rPr>
          <w:rStyle w:val="FootnoteReference"/>
          <w:sz w:val="20"/>
        </w:rPr>
        <w:footnoteRef/>
      </w:r>
      <w:r w:rsidRPr="006E4474">
        <w:t xml:space="preserve"> Each funding year (FY) runs from July 1 of that year through June 30 of the following year.</w:t>
      </w:r>
    </w:p>
  </w:footnote>
  <w:footnote w:id="24">
    <w:p w14:paraId="650476FD" w14:textId="4CD7474E" w:rsidR="00434A8B" w:rsidRPr="006E4474" w:rsidRDefault="00434A8B" w:rsidP="00E76718">
      <w:pPr>
        <w:pStyle w:val="FootnoteText"/>
      </w:pPr>
      <w:r w:rsidRPr="006E4474">
        <w:rPr>
          <w:rStyle w:val="FootnoteReference"/>
          <w:sz w:val="20"/>
        </w:rPr>
        <w:footnoteRef/>
      </w:r>
      <w:r w:rsidRPr="006E4474">
        <w:t xml:space="preserve"> </w:t>
      </w:r>
      <w:r w:rsidRPr="004F322C">
        <w:rPr>
          <w:i/>
        </w:rPr>
        <w:t>See</w:t>
      </w:r>
      <w:r w:rsidRPr="006E4474">
        <w:t xml:space="preserve"> Letter from Mel Blackwell, Vice President, USAC, to Julie Veach, Chief, Wireline Competition Bureau</w:t>
      </w:r>
      <w:r>
        <w:t xml:space="preserve"> (April 22, 2013)</w:t>
      </w:r>
      <w:r w:rsidRPr="006E4474">
        <w:t xml:space="preserve">, </w:t>
      </w:r>
      <w:r w:rsidRPr="006E4474">
        <w:rPr>
          <w:i/>
        </w:rPr>
        <w:t xml:space="preserve">available at </w:t>
      </w:r>
      <w:hyperlink r:id="rId27" w:history="1">
        <w:r w:rsidRPr="006E4474">
          <w:rPr>
            <w:color w:val="0000FF"/>
            <w:u w:val="single"/>
          </w:rPr>
          <w:t>http://www.usac.org/_res/documents/sl/pdf/tools/news/FY2013-Demand-Estimate.pdf</w:t>
        </w:r>
      </w:hyperlink>
      <w:r w:rsidRPr="006E4474">
        <w:t xml:space="preserve"> (</w:t>
      </w:r>
      <w:r>
        <w:t>last visited July 15, 2013</w:t>
      </w:r>
      <w:r w:rsidRPr="006E4474">
        <w:t xml:space="preserve">) (2013 USAC Demand Letter).  </w:t>
      </w:r>
    </w:p>
  </w:footnote>
  <w:footnote w:id="25">
    <w:p w14:paraId="7755B9A6" w14:textId="06459807" w:rsidR="00434A8B" w:rsidRPr="006E4474" w:rsidRDefault="00434A8B" w:rsidP="00E76718">
      <w:pPr>
        <w:pStyle w:val="FootnoteText"/>
      </w:pPr>
      <w:r w:rsidRPr="006E4474">
        <w:rPr>
          <w:rStyle w:val="FootnoteReference"/>
          <w:sz w:val="20"/>
        </w:rPr>
        <w:footnoteRef/>
      </w:r>
      <w:r w:rsidRPr="006E4474">
        <w:t xml:space="preserve"> </w:t>
      </w:r>
      <w:r w:rsidRPr="006E4474">
        <w:rPr>
          <w:i/>
        </w:rPr>
        <w:t>See</w:t>
      </w:r>
      <w:r w:rsidRPr="006E4474">
        <w:t xml:space="preserve"> </w:t>
      </w:r>
      <w:r>
        <w:rPr>
          <w:i/>
        </w:rPr>
        <w:t>Federal-State Joint Board on Universal Service</w:t>
      </w:r>
      <w:r>
        <w:t>, CC Docket No. 96-45, Report and Order, 12 FCC Rcd 8776, 9054-55 at paras. 529-31</w:t>
      </w:r>
      <w:r>
        <w:rPr>
          <w:i/>
        </w:rPr>
        <w:t xml:space="preserve"> </w:t>
      </w:r>
      <w:r>
        <w:t>(</w:t>
      </w:r>
      <w:r w:rsidRPr="006E4474">
        <w:rPr>
          <w:i/>
        </w:rPr>
        <w:t>Universal Service First Report and Order</w:t>
      </w:r>
      <w:r>
        <w:t>).</w:t>
      </w:r>
      <w:r w:rsidRPr="006E4474">
        <w:t xml:space="preserve"> </w:t>
      </w:r>
      <w:r>
        <w:t xml:space="preserve"> </w:t>
      </w:r>
      <w:r w:rsidRPr="006E4474">
        <w:t xml:space="preserve">As discussed below, the Commission began indexing the cap to inflation in 2010, and in </w:t>
      </w:r>
      <w:r>
        <w:t xml:space="preserve">2003 </w:t>
      </w:r>
      <w:r w:rsidRPr="006E4474">
        <w:t xml:space="preserve">the Commission provided for unused funds for previous years to be carried forward to subsequent funding years.  </w:t>
      </w:r>
      <w:r w:rsidRPr="006E4474">
        <w:rPr>
          <w:i/>
        </w:rPr>
        <w:t xml:space="preserve">See </w:t>
      </w:r>
      <w:r w:rsidR="00C248B6" w:rsidRPr="00C248B6">
        <w:rPr>
          <w:i/>
        </w:rPr>
        <w:t>infra</w:t>
      </w:r>
      <w:r w:rsidR="00E34777">
        <w:t xml:space="preserve"> </w:t>
      </w:r>
      <w:r>
        <w:t xml:space="preserve">paras. </w:t>
      </w:r>
      <w:r>
        <w:fldChar w:fldCharType="begin"/>
      </w:r>
      <w:r>
        <w:instrText xml:space="preserve"> REF _Ref360201178 \r \h </w:instrText>
      </w:r>
      <w:r>
        <w:fldChar w:fldCharType="separate"/>
      </w:r>
      <w:r w:rsidR="00A0395D">
        <w:t>59</w:t>
      </w:r>
      <w:r>
        <w:fldChar w:fldCharType="end"/>
      </w:r>
      <w:r>
        <w:t xml:space="preserve">, </w:t>
      </w:r>
      <w:r>
        <w:fldChar w:fldCharType="begin"/>
      </w:r>
      <w:r>
        <w:instrText xml:space="preserve"> REF _Ref360201235 \r \h </w:instrText>
      </w:r>
      <w:r>
        <w:fldChar w:fldCharType="separate"/>
      </w:r>
      <w:r w:rsidR="00A0395D">
        <w:t>62</w:t>
      </w:r>
      <w:r>
        <w:fldChar w:fldCharType="end"/>
      </w:r>
      <w:r>
        <w:t>-</w:t>
      </w:r>
      <w:r>
        <w:fldChar w:fldCharType="begin"/>
      </w:r>
      <w:r>
        <w:instrText xml:space="preserve"> REF _Ref361216677 \r \h </w:instrText>
      </w:r>
      <w:r>
        <w:fldChar w:fldCharType="separate"/>
      </w:r>
      <w:r w:rsidR="00A0395D">
        <w:t>63</w:t>
      </w:r>
      <w:r>
        <w:fldChar w:fldCharType="end"/>
      </w:r>
      <w:r>
        <w:t xml:space="preserve">; </w:t>
      </w:r>
      <w:r>
        <w:rPr>
          <w:i/>
        </w:rPr>
        <w:t>see also</w:t>
      </w:r>
      <w:r>
        <w:t xml:space="preserve"> E-rate Funding Requested vs. Available and Disbursed Chart (FY 1998-2011) (Appendix C).</w:t>
      </w:r>
    </w:p>
  </w:footnote>
  <w:footnote w:id="26">
    <w:p w14:paraId="2EC00B2B" w14:textId="48F77353" w:rsidR="00434A8B" w:rsidRPr="00DE7C42" w:rsidRDefault="00434A8B" w:rsidP="00E76718">
      <w:pPr>
        <w:spacing w:after="120"/>
        <w:rPr>
          <w:sz w:val="20"/>
        </w:rPr>
      </w:pPr>
      <w:r w:rsidRPr="006E4474">
        <w:rPr>
          <w:rStyle w:val="FootnoteReference"/>
          <w:sz w:val="20"/>
        </w:rPr>
        <w:footnoteRef/>
      </w:r>
      <w:r w:rsidRPr="006E4474">
        <w:rPr>
          <w:sz w:val="20"/>
        </w:rPr>
        <w:t xml:space="preserve"> </w:t>
      </w:r>
      <w:r w:rsidRPr="004F322C">
        <w:rPr>
          <w:sz w:val="20"/>
        </w:rPr>
        <w:t>Federal Communications Commission,  Connecting America: The Nation</w:t>
      </w:r>
      <w:r w:rsidRPr="00A149EE">
        <w:rPr>
          <w:sz w:val="20"/>
        </w:rPr>
        <w:t xml:space="preserve">al Broadband Plan, </w:t>
      </w:r>
      <w:r w:rsidRPr="004F322C">
        <w:rPr>
          <w:sz w:val="20"/>
        </w:rPr>
        <w:t xml:space="preserve">(National Broadband Plan), </w:t>
      </w:r>
      <w:r w:rsidRPr="004F322C">
        <w:rPr>
          <w:i/>
          <w:sz w:val="20"/>
        </w:rPr>
        <w:t xml:space="preserve">available at </w:t>
      </w:r>
      <w:hyperlink r:id="rId28" w:history="1">
        <w:r w:rsidRPr="004F322C">
          <w:rPr>
            <w:rStyle w:val="Hyperlink"/>
            <w:sz w:val="20"/>
          </w:rPr>
          <w:t>http://www.broadband.gov/download-plan</w:t>
        </w:r>
      </w:hyperlink>
      <w:r w:rsidRPr="004F322C">
        <w:rPr>
          <w:sz w:val="20"/>
        </w:rPr>
        <w:t xml:space="preserve"> (last visited July 15, 2013)</w:t>
      </w:r>
      <w:r>
        <w:rPr>
          <w:sz w:val="20"/>
        </w:rPr>
        <w:t xml:space="preserve">; </w:t>
      </w:r>
      <w:r w:rsidRPr="006E4474">
        <w:rPr>
          <w:i/>
          <w:sz w:val="20"/>
        </w:rPr>
        <w:t>Schools and Libraries Universal Service Support Mechanism, A National Broadband Plan for our Future</w:t>
      </w:r>
      <w:r w:rsidRPr="006E4474">
        <w:rPr>
          <w:sz w:val="20"/>
        </w:rPr>
        <w:t>, CC Docket No. 02-6, GN Docket No. 09-51, Order, 25 FCC Rcd 18762 (2010) (</w:t>
      </w:r>
      <w:r w:rsidRPr="006E4474">
        <w:rPr>
          <w:i/>
          <w:sz w:val="20"/>
        </w:rPr>
        <w:t>Schools and Libraries Sixth Report and Order</w:t>
      </w:r>
      <w:r w:rsidRPr="006E4474">
        <w:rPr>
          <w:sz w:val="20"/>
        </w:rPr>
        <w:t>).</w:t>
      </w:r>
    </w:p>
  </w:footnote>
  <w:footnote w:id="27">
    <w:p w14:paraId="18793FD3" w14:textId="30282193" w:rsidR="00434A8B" w:rsidRPr="00A1184F" w:rsidRDefault="00434A8B" w:rsidP="00E76718">
      <w:pPr>
        <w:pStyle w:val="FootnoteText"/>
      </w:pPr>
      <w:r w:rsidRPr="006E4474">
        <w:rPr>
          <w:rStyle w:val="FootnoteReference"/>
          <w:sz w:val="20"/>
        </w:rPr>
        <w:footnoteRef/>
      </w:r>
      <w:r w:rsidRPr="006E4474">
        <w:t xml:space="preserve"> </w:t>
      </w:r>
      <w:r w:rsidR="00A1184F" w:rsidRPr="006E4474">
        <w:rPr>
          <w:i/>
        </w:rPr>
        <w:t>Schools and Libraries Sixth Report and Order</w:t>
      </w:r>
      <w:r w:rsidR="00A1184F">
        <w:t xml:space="preserve">, </w:t>
      </w:r>
      <w:r w:rsidR="00A1184F" w:rsidRPr="006E4474">
        <w:t>25 FCC Rcd</w:t>
      </w:r>
      <w:r w:rsidR="00A1184F">
        <w:t xml:space="preserve"> at 18764-65, para. 6. </w:t>
      </w:r>
    </w:p>
  </w:footnote>
  <w:footnote w:id="28">
    <w:p w14:paraId="7E9234E6" w14:textId="77777777" w:rsidR="00434A8B" w:rsidRPr="006E4474" w:rsidRDefault="00434A8B" w:rsidP="00E76718">
      <w:pPr>
        <w:pStyle w:val="FootnoteText"/>
      </w:pPr>
      <w:r w:rsidRPr="006E4474">
        <w:rPr>
          <w:rStyle w:val="FootnoteReference"/>
          <w:sz w:val="20"/>
        </w:rPr>
        <w:footnoteRef/>
      </w:r>
      <w:r w:rsidRPr="006E4474">
        <w:t xml:space="preserve"> </w:t>
      </w:r>
      <w:r w:rsidRPr="006E4474">
        <w:rPr>
          <w:i/>
        </w:rPr>
        <w:t>Id.</w:t>
      </w:r>
      <w:r w:rsidRPr="006E4474">
        <w:t xml:space="preserve"> at 18765-73, paras. 8-19.</w:t>
      </w:r>
    </w:p>
  </w:footnote>
  <w:footnote w:id="29">
    <w:p w14:paraId="4A04650C" w14:textId="77777777" w:rsidR="00434A8B" w:rsidRPr="006E4474" w:rsidRDefault="00434A8B" w:rsidP="00E76718">
      <w:pPr>
        <w:pStyle w:val="FootnoteText"/>
      </w:pPr>
      <w:r w:rsidRPr="006E4474">
        <w:rPr>
          <w:rStyle w:val="FootnoteReference"/>
          <w:sz w:val="20"/>
        </w:rPr>
        <w:footnoteRef/>
      </w:r>
      <w:r w:rsidRPr="006E4474">
        <w:t xml:space="preserve"> </w:t>
      </w:r>
      <w:r w:rsidRPr="006E4474">
        <w:rPr>
          <w:i/>
        </w:rPr>
        <w:t>Id.</w:t>
      </w:r>
      <w:r w:rsidRPr="006E4474">
        <w:t xml:space="preserve"> at 18773-77, paras. 20-27.</w:t>
      </w:r>
    </w:p>
  </w:footnote>
  <w:footnote w:id="30">
    <w:p w14:paraId="25A56330" w14:textId="77777777" w:rsidR="00434A8B" w:rsidRPr="006E4474" w:rsidRDefault="00434A8B" w:rsidP="00E76718">
      <w:pPr>
        <w:pStyle w:val="FootnoteText"/>
      </w:pPr>
      <w:r w:rsidRPr="006E4474">
        <w:rPr>
          <w:rStyle w:val="FootnoteReference"/>
          <w:sz w:val="20"/>
        </w:rPr>
        <w:footnoteRef/>
      </w:r>
      <w:r w:rsidRPr="006E4474">
        <w:t xml:space="preserve"> </w:t>
      </w:r>
      <w:r w:rsidRPr="006E4474">
        <w:rPr>
          <w:i/>
        </w:rPr>
        <w:t>Id.</w:t>
      </w:r>
      <w:r w:rsidRPr="006E4474">
        <w:t xml:space="preserve"> at 18783-87, paras. 41-50.</w:t>
      </w:r>
    </w:p>
  </w:footnote>
  <w:footnote w:id="31">
    <w:p w14:paraId="54DAFC82" w14:textId="77777777" w:rsidR="00434A8B" w:rsidRPr="006E4474" w:rsidRDefault="00434A8B" w:rsidP="00E76718">
      <w:pPr>
        <w:pStyle w:val="FootnoteText"/>
      </w:pPr>
      <w:r w:rsidRPr="00AF1B01">
        <w:rPr>
          <w:rStyle w:val="FootnoteReference"/>
          <w:sz w:val="20"/>
        </w:rPr>
        <w:footnoteRef/>
      </w:r>
      <w:r w:rsidRPr="006E4474">
        <w:t xml:space="preserve"> </w:t>
      </w:r>
      <w:r w:rsidRPr="006E4474">
        <w:rPr>
          <w:i/>
        </w:rPr>
        <w:t>See</w:t>
      </w:r>
      <w:r w:rsidRPr="006E4474">
        <w:t xml:space="preserve"> </w:t>
      </w:r>
      <w:r w:rsidRPr="006E4474">
        <w:rPr>
          <w:i/>
        </w:rPr>
        <w:t xml:space="preserve">Connect America Fund et al., </w:t>
      </w:r>
      <w:r w:rsidRPr="006E4474">
        <w:t>WC Docket No. 10-90 et al., Report and Order and Further Notice of Proposed Rulemaking, 26 FCC Rcd 17663, 17681-17683, paras. 48-59 (2011) (</w:t>
      </w:r>
      <w:r w:rsidRPr="006E4474">
        <w:rPr>
          <w:i/>
        </w:rPr>
        <w:t>USF/ICC Transformation Order</w:t>
      </w:r>
      <w:r w:rsidRPr="006E4474">
        <w:t>);</w:t>
      </w:r>
      <w:r w:rsidRPr="006E4474">
        <w:rPr>
          <w:i/>
        </w:rPr>
        <w:t xml:space="preserve"> Lifeline and Link Up Reform and Modernization et al</w:t>
      </w:r>
      <w:r w:rsidRPr="006E4474">
        <w:t>., WC Docket Nos. 12-23, 11-42, 03-109, CC Docket No. 96-45, Report and Order and Further Notice of Proposed Rulemaking, 27 FCC Rcd 6656, 6671-77, paras. 27-43 (2012) (</w:t>
      </w:r>
      <w:r w:rsidRPr="006E4474">
        <w:rPr>
          <w:i/>
        </w:rPr>
        <w:t>Lifeline Reform Order</w:t>
      </w:r>
      <w:r w:rsidRPr="006E4474">
        <w:t xml:space="preserve">); </w:t>
      </w:r>
      <w:r w:rsidRPr="004F322C">
        <w:rPr>
          <w:i/>
        </w:rPr>
        <w:t>Rural Health Care Support Mechanism</w:t>
      </w:r>
      <w:r w:rsidRPr="006E4474">
        <w:t>, WC Docket No. 02-60, Report and Order, 27 FCC Rcd 16678, 16696-99, paras. 34-43 (2012) (</w:t>
      </w:r>
      <w:r w:rsidRPr="006E4474">
        <w:rPr>
          <w:i/>
        </w:rPr>
        <w:t>Healthcare Connect Fund Order</w:t>
      </w:r>
      <w:r w:rsidRPr="006E4474">
        <w:t>).</w:t>
      </w:r>
    </w:p>
  </w:footnote>
  <w:footnote w:id="32">
    <w:p w14:paraId="31BC3571" w14:textId="77777777" w:rsidR="00434A8B" w:rsidRPr="006E4474" w:rsidRDefault="00434A8B" w:rsidP="00856B63">
      <w:pPr>
        <w:pStyle w:val="FootnoteText"/>
      </w:pPr>
      <w:r w:rsidRPr="006E4474">
        <w:rPr>
          <w:rStyle w:val="FootnoteReference"/>
          <w:sz w:val="20"/>
        </w:rPr>
        <w:footnoteRef/>
      </w:r>
      <w:r w:rsidRPr="006E4474">
        <w:t xml:space="preserve"> 47 U.S.C. § 254(h)(2)(A).</w:t>
      </w:r>
    </w:p>
  </w:footnote>
  <w:footnote w:id="33">
    <w:p w14:paraId="1C5B0E63" w14:textId="77777777" w:rsidR="00434A8B" w:rsidRPr="006E4474" w:rsidRDefault="00434A8B" w:rsidP="00856B63">
      <w:pPr>
        <w:pStyle w:val="FootnoteText"/>
      </w:pPr>
      <w:r w:rsidRPr="006E4474">
        <w:rPr>
          <w:rStyle w:val="FootnoteReference"/>
          <w:sz w:val="20"/>
        </w:rPr>
        <w:footnoteRef/>
      </w:r>
      <w:r w:rsidRPr="006E4474">
        <w:t xml:space="preserve"> </w:t>
      </w:r>
      <w:r w:rsidRPr="006E4474">
        <w:rPr>
          <w:i/>
        </w:rPr>
        <w:t>See</w:t>
      </w:r>
      <w:r w:rsidRPr="006E4474">
        <w:t xml:space="preserve"> 47 U.S.C. §§ 254(b), (h)(1)(B).  </w:t>
      </w:r>
    </w:p>
  </w:footnote>
  <w:footnote w:id="34">
    <w:p w14:paraId="6C43B9BD" w14:textId="085AAC38" w:rsidR="00434A8B" w:rsidRPr="006E4474" w:rsidRDefault="00434A8B" w:rsidP="00856B63">
      <w:pPr>
        <w:pStyle w:val="FootnoteText"/>
      </w:pPr>
      <w:r w:rsidRPr="006E4474">
        <w:rPr>
          <w:rStyle w:val="FootnoteReference"/>
          <w:sz w:val="20"/>
        </w:rPr>
        <w:footnoteRef/>
      </w:r>
      <w:r w:rsidRPr="006E4474">
        <w:t xml:space="preserve"> </w:t>
      </w:r>
      <w:r w:rsidRPr="006E4474">
        <w:rPr>
          <w:i/>
        </w:rPr>
        <w:t>See</w:t>
      </w:r>
      <w:r w:rsidRPr="006E4474">
        <w:t xml:space="preserve"> 47 U.S.C. §§ 254(b)(1),</w:t>
      </w:r>
      <w:r>
        <w:t xml:space="preserve"> </w:t>
      </w:r>
      <w:r w:rsidRPr="006E4474">
        <w:t>(b)(6), (h)(1)(B).</w:t>
      </w:r>
    </w:p>
  </w:footnote>
  <w:footnote w:id="35">
    <w:p w14:paraId="7D397653" w14:textId="77777777" w:rsidR="00434A8B" w:rsidRPr="006E4474" w:rsidRDefault="00434A8B" w:rsidP="00856B63">
      <w:pPr>
        <w:pStyle w:val="FootnoteText"/>
      </w:pPr>
      <w:r w:rsidRPr="006E4474">
        <w:rPr>
          <w:rStyle w:val="FootnoteReference"/>
          <w:sz w:val="20"/>
        </w:rPr>
        <w:footnoteRef/>
      </w:r>
      <w:r w:rsidRPr="006E4474">
        <w:t xml:space="preserve"> </w:t>
      </w:r>
      <w:r w:rsidRPr="006E4474">
        <w:rPr>
          <w:i/>
        </w:rPr>
        <w:t>See</w:t>
      </w:r>
      <w:r w:rsidRPr="006E4474">
        <w:t xml:space="preserve"> 47 U.S.C. § 254(b)(5).</w:t>
      </w:r>
    </w:p>
  </w:footnote>
  <w:footnote w:id="36">
    <w:p w14:paraId="207D594C" w14:textId="072A1248" w:rsidR="00434A8B" w:rsidRPr="00DE7C42" w:rsidRDefault="00434A8B" w:rsidP="00856B63">
      <w:pPr>
        <w:autoSpaceDE w:val="0"/>
        <w:autoSpaceDN w:val="0"/>
        <w:adjustRightInd w:val="0"/>
        <w:spacing w:after="120"/>
        <w:rPr>
          <w:sz w:val="20"/>
        </w:rPr>
      </w:pPr>
      <w:r w:rsidRPr="006E4474">
        <w:rPr>
          <w:rStyle w:val="FootnoteReference"/>
          <w:sz w:val="20"/>
        </w:rPr>
        <w:footnoteRef/>
      </w:r>
      <w:r w:rsidRPr="006E4474">
        <w:rPr>
          <w:sz w:val="20"/>
        </w:rPr>
        <w:t xml:space="preserve"> </w:t>
      </w:r>
      <w:r w:rsidRPr="006E4474">
        <w:rPr>
          <w:i/>
          <w:sz w:val="20"/>
        </w:rPr>
        <w:t xml:space="preserve">See </w:t>
      </w:r>
      <w:r>
        <w:rPr>
          <w:i/>
          <w:iCs/>
          <w:sz w:val="20"/>
        </w:rPr>
        <w:t>Universal Service First Report and Order</w:t>
      </w:r>
      <w:r w:rsidRPr="006E4474">
        <w:rPr>
          <w:iCs/>
          <w:sz w:val="20"/>
        </w:rPr>
        <w:t xml:space="preserve">, 12 FCC Rcd </w:t>
      </w:r>
      <w:r>
        <w:rPr>
          <w:iCs/>
          <w:sz w:val="20"/>
        </w:rPr>
        <w:t xml:space="preserve">at </w:t>
      </w:r>
      <w:r w:rsidRPr="006E4474">
        <w:rPr>
          <w:iCs/>
          <w:sz w:val="20"/>
        </w:rPr>
        <w:t xml:space="preserve">9002, para. 424 (1997). </w:t>
      </w:r>
      <w:r w:rsidRPr="006E4474">
        <w:rPr>
          <w:sz w:val="20"/>
        </w:rPr>
        <w:t xml:space="preserve"> To implement this goal, the Commission established funding priorities for the E-rate program, placing a higher priority on funding for telecommunications and Internet access (priority one services) than on internal connections (priority two services).  </w:t>
      </w:r>
      <w:r w:rsidRPr="006E4474">
        <w:rPr>
          <w:i/>
          <w:sz w:val="20"/>
        </w:rPr>
        <w:t>See</w:t>
      </w:r>
      <w:r w:rsidRPr="006E4474">
        <w:rPr>
          <w:sz w:val="20"/>
        </w:rPr>
        <w:t xml:space="preserve"> </w:t>
      </w:r>
      <w:r w:rsidRPr="006E4474">
        <w:rPr>
          <w:i/>
          <w:iCs/>
          <w:sz w:val="20"/>
        </w:rPr>
        <w:t>Federal-State Joint Board on Universal Service</w:t>
      </w:r>
      <w:r w:rsidRPr="006E4474">
        <w:rPr>
          <w:sz w:val="20"/>
        </w:rPr>
        <w:t>, CC Docket No. 96-45, Fifth Order on Reconsideration and Fourth Report and Order, 13 FCC Rcd 14915, 14938, para. 36 (1998) (</w:t>
      </w:r>
      <w:r w:rsidRPr="006E4474">
        <w:rPr>
          <w:i/>
          <w:sz w:val="20"/>
        </w:rPr>
        <w:t>Fourth Report and Order</w:t>
      </w:r>
      <w:r w:rsidRPr="006E4474">
        <w:rPr>
          <w:sz w:val="20"/>
        </w:rPr>
        <w:t xml:space="preserve">); 47 C.F.R. § 54.507(g).  The Commission also determined that schools with a higher poverty rate and schools located in rural areas would receive additional funding to assist them in meeting their telecommunications and information services needs.  </w:t>
      </w:r>
      <w:r>
        <w:rPr>
          <w:i/>
          <w:sz w:val="20"/>
        </w:rPr>
        <w:t xml:space="preserve">Id. </w:t>
      </w:r>
      <w:r w:rsidRPr="006E4474">
        <w:rPr>
          <w:sz w:val="20"/>
        </w:rPr>
        <w:t>at 9049-50, paras. 520-21.</w:t>
      </w:r>
    </w:p>
  </w:footnote>
  <w:footnote w:id="37">
    <w:p w14:paraId="03D777EE" w14:textId="30E7F350" w:rsidR="00434A8B" w:rsidRDefault="00434A8B" w:rsidP="00856B63">
      <w:pPr>
        <w:pStyle w:val="FootnoteText"/>
      </w:pPr>
      <w:r w:rsidRPr="006E4474">
        <w:rPr>
          <w:rStyle w:val="FootnoteReference"/>
          <w:sz w:val="20"/>
        </w:rPr>
        <w:footnoteRef/>
      </w:r>
      <w:r w:rsidRPr="006E4474">
        <w:t xml:space="preserve"> Government Performance and Results Act of 1993, Pub. L. No. 103-62, 107 Stat. 285 (1993) (GPRA).  Under GPRA, federal agencies must develop strategic plans with long-term, outcome related goals and objectives, develop annual goals linked to the long-term goals, and measure progress toward the achievement of those goals in annual performance plans and report annually on their progress in program performance reports.  </w:t>
      </w:r>
      <w:r w:rsidRPr="006E4474">
        <w:rPr>
          <w:i/>
        </w:rPr>
        <w:t xml:space="preserve">See </w:t>
      </w:r>
      <w:r w:rsidRPr="006E4474">
        <w:t xml:space="preserve">GPRA Modernization Act of 2010, Pub. L. </w:t>
      </w:r>
      <w:r>
        <w:t xml:space="preserve">No. </w:t>
      </w:r>
      <w:r w:rsidRPr="006E4474">
        <w:t>111-352, 124 Stat. 3866 (2011) (GPRA Modernization Act).</w:t>
      </w:r>
      <w:r w:rsidRPr="00AE799A">
        <w:t xml:space="preserve">  </w:t>
      </w:r>
    </w:p>
  </w:footnote>
  <w:footnote w:id="38">
    <w:p w14:paraId="7C20853A" w14:textId="0D065E18" w:rsidR="00434A8B" w:rsidRPr="006E4474" w:rsidRDefault="00434A8B" w:rsidP="00856B63">
      <w:pPr>
        <w:pStyle w:val="FootnoteText"/>
      </w:pPr>
      <w:r w:rsidRPr="006E4474">
        <w:rPr>
          <w:rStyle w:val="FootnoteReference"/>
          <w:sz w:val="20"/>
        </w:rPr>
        <w:footnoteRef/>
      </w:r>
      <w:r w:rsidRPr="006E4474">
        <w:t xml:space="preserve"> </w:t>
      </w:r>
      <w:r w:rsidRPr="006E4474">
        <w:rPr>
          <w:i/>
        </w:rPr>
        <w:t>See</w:t>
      </w:r>
      <w:r w:rsidRPr="006E4474">
        <w:t xml:space="preserve"> U.S. </w:t>
      </w:r>
      <w:r>
        <w:t>Gov’t</w:t>
      </w:r>
      <w:r w:rsidRPr="006E4474">
        <w:t xml:space="preserve"> Accountability Office, Telecommunications: Greater Involvement Needed by FCC in the Management and Oversight of the E-rate Program, GAO-05-151, at 19 (Feb. 2005).</w:t>
      </w:r>
      <w:r w:rsidRPr="006E4474">
        <w:rPr>
          <w:i/>
        </w:rPr>
        <w:t xml:space="preserve"> </w:t>
      </w:r>
    </w:p>
  </w:footnote>
  <w:footnote w:id="39">
    <w:p w14:paraId="06A402E0" w14:textId="22D83646" w:rsidR="00434A8B" w:rsidRPr="00DE7C42" w:rsidRDefault="00434A8B" w:rsidP="00856B63">
      <w:pPr>
        <w:spacing w:after="120"/>
        <w:rPr>
          <w:sz w:val="20"/>
        </w:rPr>
      </w:pPr>
      <w:r w:rsidRPr="006E4474">
        <w:rPr>
          <w:rStyle w:val="FootnoteReference"/>
          <w:sz w:val="20"/>
        </w:rPr>
        <w:footnoteRef/>
      </w:r>
      <w:r w:rsidRPr="006E4474">
        <w:rPr>
          <w:sz w:val="20"/>
        </w:rPr>
        <w:t xml:space="preserve"> </w:t>
      </w:r>
      <w:r w:rsidRPr="006E4474">
        <w:rPr>
          <w:i/>
          <w:sz w:val="20"/>
        </w:rPr>
        <w:t>See Comprehensive Review of Universal Service Fund Management, Administration, and Oversight</w:t>
      </w:r>
      <w:r w:rsidRPr="006E4474">
        <w:rPr>
          <w:sz w:val="20"/>
        </w:rPr>
        <w:t>, WC Docket No. 05-195, Order, 22 FCC Rcd 16372 (2007) (</w:t>
      </w:r>
      <w:r w:rsidRPr="004F322C">
        <w:rPr>
          <w:i/>
          <w:sz w:val="20"/>
        </w:rPr>
        <w:t>2007</w:t>
      </w:r>
      <w:r>
        <w:rPr>
          <w:sz w:val="20"/>
        </w:rPr>
        <w:t xml:space="preserve"> </w:t>
      </w:r>
      <w:r w:rsidRPr="006E4474">
        <w:rPr>
          <w:i/>
          <w:sz w:val="20"/>
        </w:rPr>
        <w:t>USF Program Management Order</w:t>
      </w:r>
      <w:r w:rsidRPr="006E4474">
        <w:rPr>
          <w:sz w:val="20"/>
        </w:rPr>
        <w:t xml:space="preserve">).  In 2008, the Commission sought further comment, among other things, on ways to further strengthen management, administration, and oversight of the USF, how to define more clearly the short-term and long-term goals of the USF, and to identify any additional quantifiable performance measures that may be necessary or desirable.  </w:t>
      </w:r>
      <w:r w:rsidRPr="006E4474">
        <w:rPr>
          <w:i/>
          <w:sz w:val="20"/>
        </w:rPr>
        <w:t>See Comprehensive Review of Universal Service Fund Management, Administration, and Oversight</w:t>
      </w:r>
      <w:r w:rsidRPr="006E4474">
        <w:rPr>
          <w:sz w:val="20"/>
        </w:rPr>
        <w:t>, WC Docket No. 05-195, Notice of Inquiry, 23 FCC Rcd 13583 (2008) (</w:t>
      </w:r>
      <w:r w:rsidRPr="006E4474">
        <w:rPr>
          <w:i/>
          <w:sz w:val="20"/>
        </w:rPr>
        <w:t>USF Program Management Notice of Inquiry</w:t>
      </w:r>
      <w:r w:rsidRPr="006E4474">
        <w:rPr>
          <w:sz w:val="20"/>
        </w:rPr>
        <w:t xml:space="preserve">).  </w:t>
      </w:r>
    </w:p>
  </w:footnote>
  <w:footnote w:id="40">
    <w:p w14:paraId="5D0F0824" w14:textId="54FCF820" w:rsidR="00434A8B" w:rsidRPr="006E4474" w:rsidRDefault="00434A8B" w:rsidP="00856B63">
      <w:pPr>
        <w:pStyle w:val="FootnoteText"/>
      </w:pPr>
      <w:r w:rsidRPr="006E4474">
        <w:rPr>
          <w:rStyle w:val="FootnoteReference"/>
          <w:sz w:val="20"/>
        </w:rPr>
        <w:footnoteRef/>
      </w:r>
      <w:r w:rsidRPr="006E4474">
        <w:t xml:space="preserve"> </w:t>
      </w:r>
      <w:r w:rsidRPr="006E4474">
        <w:rPr>
          <w:i/>
        </w:rPr>
        <w:t>See</w:t>
      </w:r>
      <w:r w:rsidRPr="006E4474">
        <w:t xml:space="preserve"> U.S. </w:t>
      </w:r>
      <w:r>
        <w:t>Gov’t</w:t>
      </w:r>
      <w:r w:rsidRPr="006E4474">
        <w:t xml:space="preserve"> Accountability Office, </w:t>
      </w:r>
      <w:r>
        <w:t>GAO-09-253,</w:t>
      </w:r>
      <w:r w:rsidRPr="006E4474">
        <w:t xml:space="preserve"> Telecommunications: Long-term Strategic Vision Would Help Ensure Targeting of E-rate Funds to Highest-Priority Uses (2009).</w:t>
      </w:r>
    </w:p>
  </w:footnote>
  <w:footnote w:id="41">
    <w:p w14:paraId="24B832D5" w14:textId="7B616B3E" w:rsidR="00434A8B" w:rsidRPr="006E4474" w:rsidRDefault="00434A8B">
      <w:pPr>
        <w:pStyle w:val="FootnoteText"/>
      </w:pPr>
      <w:r w:rsidRPr="00AF1B01">
        <w:rPr>
          <w:rStyle w:val="FootnoteReference"/>
          <w:sz w:val="20"/>
        </w:rPr>
        <w:footnoteRef/>
      </w:r>
      <w:r w:rsidRPr="006E4474">
        <w:t xml:space="preserve"> </w:t>
      </w:r>
      <w:r w:rsidRPr="006E4474">
        <w:rPr>
          <w:i/>
        </w:rPr>
        <w:t>See</w:t>
      </w:r>
      <w:r>
        <w:t xml:space="preserve"> </w:t>
      </w:r>
      <w:r w:rsidRPr="004F322C">
        <w:rPr>
          <w:i/>
        </w:rPr>
        <w:t>supra</w:t>
      </w:r>
      <w:r>
        <w:t xml:space="preserve"> n.</w:t>
      </w:r>
      <w:r>
        <w:fldChar w:fldCharType="begin"/>
      </w:r>
      <w:r>
        <w:instrText xml:space="preserve"> NOTEREF _Ref360205281 \h </w:instrText>
      </w:r>
      <w:r>
        <w:fldChar w:fldCharType="separate"/>
      </w:r>
      <w:r w:rsidR="00A0395D">
        <w:t>30</w:t>
      </w:r>
      <w:r>
        <w:fldChar w:fldCharType="end"/>
      </w:r>
      <w:r>
        <w:t>.</w:t>
      </w:r>
    </w:p>
  </w:footnote>
  <w:footnote w:id="42">
    <w:p w14:paraId="3D375F00" w14:textId="40C818F6" w:rsidR="00434A8B" w:rsidRPr="006E4474" w:rsidRDefault="00434A8B" w:rsidP="00856B63">
      <w:pPr>
        <w:pStyle w:val="FootnoteText"/>
      </w:pPr>
      <w:r w:rsidRPr="006E4474">
        <w:rPr>
          <w:rStyle w:val="FootnoteReference"/>
          <w:sz w:val="20"/>
        </w:rPr>
        <w:footnoteRef/>
      </w:r>
      <w:r w:rsidRPr="006E4474">
        <w:t xml:space="preserve"> </w:t>
      </w:r>
      <w:r w:rsidRPr="006E4474">
        <w:rPr>
          <w:i/>
        </w:rPr>
        <w:t>See supra</w:t>
      </w:r>
      <w:r w:rsidRPr="006E4474">
        <w:t xml:space="preserve"> paras. </w:t>
      </w:r>
      <w:r>
        <w:fldChar w:fldCharType="begin"/>
      </w:r>
      <w:r>
        <w:instrText xml:space="preserve"> REF _Ref360188317 \r \h </w:instrText>
      </w:r>
      <w:r>
        <w:fldChar w:fldCharType="separate"/>
      </w:r>
      <w:r w:rsidR="00A0395D">
        <w:t>3</w:t>
      </w:r>
      <w:r>
        <w:fldChar w:fldCharType="end"/>
      </w:r>
      <w:r>
        <w:t>-</w:t>
      </w:r>
      <w:r>
        <w:fldChar w:fldCharType="begin"/>
      </w:r>
      <w:r>
        <w:instrText xml:space="preserve"> REF _Ref360188325 \r \h </w:instrText>
      </w:r>
      <w:r>
        <w:fldChar w:fldCharType="separate"/>
      </w:r>
      <w:r w:rsidR="00A0395D">
        <w:t>4</w:t>
      </w:r>
      <w:r>
        <w:fldChar w:fldCharType="end"/>
      </w:r>
      <w:r>
        <w:t>.</w:t>
      </w:r>
      <w:r w:rsidRPr="006E4474">
        <w:rPr>
          <w:lang w:val="pt-BR"/>
        </w:rPr>
        <w:t xml:space="preserve"> </w:t>
      </w:r>
    </w:p>
  </w:footnote>
  <w:footnote w:id="43">
    <w:p w14:paraId="1044666F" w14:textId="77777777" w:rsidR="00434A8B" w:rsidRPr="006E4474" w:rsidRDefault="00434A8B" w:rsidP="00856B63">
      <w:pPr>
        <w:pStyle w:val="FootnoteText"/>
      </w:pPr>
      <w:r w:rsidRPr="00AF1B01">
        <w:rPr>
          <w:rStyle w:val="FootnoteReference"/>
          <w:sz w:val="20"/>
        </w:rPr>
        <w:footnoteRef/>
      </w:r>
      <w:r w:rsidRPr="006E4474">
        <w:t xml:space="preserve"> </w:t>
      </w:r>
      <w:r w:rsidRPr="006E4474">
        <w:rPr>
          <w:i/>
        </w:rPr>
        <w:t>See</w:t>
      </w:r>
      <w:r w:rsidRPr="006E4474">
        <w:t xml:space="preserve"> 47 U.S.C. § 254 (h)(2)(A).  </w:t>
      </w:r>
    </w:p>
  </w:footnote>
  <w:footnote w:id="44">
    <w:p w14:paraId="2B1A653A" w14:textId="77777777" w:rsidR="00434A8B" w:rsidRPr="006E4474" w:rsidRDefault="00434A8B" w:rsidP="00856B63">
      <w:pPr>
        <w:pStyle w:val="FootnoteText"/>
      </w:pPr>
      <w:r w:rsidRPr="00AF1B01">
        <w:rPr>
          <w:rStyle w:val="FootnoteReference"/>
          <w:sz w:val="20"/>
        </w:rPr>
        <w:footnoteRef/>
      </w:r>
      <w:r w:rsidRPr="006E4474">
        <w:t xml:space="preserve"> </w:t>
      </w:r>
      <w:r w:rsidRPr="006E4474">
        <w:rPr>
          <w:i/>
        </w:rPr>
        <w:t>See</w:t>
      </w:r>
      <w:r w:rsidRPr="006E4474">
        <w:t xml:space="preserve"> 47 U.S.C. § 254 (h)(1)(B).  </w:t>
      </w:r>
    </w:p>
  </w:footnote>
  <w:footnote w:id="45">
    <w:p w14:paraId="2EAA1EB0" w14:textId="77777777" w:rsidR="00434A8B" w:rsidRPr="006E4474" w:rsidRDefault="00434A8B" w:rsidP="00856B63">
      <w:pPr>
        <w:pStyle w:val="FootnoteText"/>
      </w:pPr>
      <w:r w:rsidRPr="00AF1B01">
        <w:rPr>
          <w:rStyle w:val="FootnoteReference"/>
          <w:sz w:val="20"/>
        </w:rPr>
        <w:footnoteRef/>
      </w:r>
      <w:r w:rsidRPr="006E4474">
        <w:t xml:space="preserve"> </w:t>
      </w:r>
      <w:r w:rsidRPr="006E4474">
        <w:rPr>
          <w:i/>
        </w:rPr>
        <w:t>See</w:t>
      </w:r>
      <w:r w:rsidRPr="006E4474">
        <w:t xml:space="preserve"> 47 U.S.C. § 254 (h)(2)(A).  </w:t>
      </w:r>
    </w:p>
  </w:footnote>
  <w:footnote w:id="46">
    <w:p w14:paraId="48E66C8C" w14:textId="2D3FF332" w:rsidR="00434A8B" w:rsidRPr="006E4474" w:rsidRDefault="00434A8B">
      <w:pPr>
        <w:pStyle w:val="FootnoteText"/>
      </w:pPr>
      <w:r w:rsidRPr="00AF1B01">
        <w:rPr>
          <w:rStyle w:val="FootnoteReference"/>
          <w:sz w:val="20"/>
        </w:rPr>
        <w:footnoteRef/>
      </w:r>
      <w:r w:rsidRPr="006E4474">
        <w:t xml:space="preserve"> Information on the Measuring Broadband America program is available from the Commission’s website, </w:t>
      </w:r>
      <w:r w:rsidRPr="006E4474">
        <w:rPr>
          <w:i/>
        </w:rPr>
        <w:t>available at</w:t>
      </w:r>
      <w:r w:rsidRPr="006E4474">
        <w:t xml:space="preserve"> </w:t>
      </w:r>
      <w:hyperlink r:id="rId29" w:history="1">
        <w:r w:rsidRPr="006E4474">
          <w:rPr>
            <w:rStyle w:val="Hyperlink"/>
          </w:rPr>
          <w:t>http://www.fcc.gov/measuring-broadband-america</w:t>
        </w:r>
      </w:hyperlink>
      <w:r w:rsidRPr="006E4474">
        <w:t xml:space="preserve"> (last visited on </w:t>
      </w:r>
      <w:r>
        <w:t>July 15</w:t>
      </w:r>
      <w:r w:rsidRPr="006E4474">
        <w:t>, 2013) (Measuring Broadband America Program).</w:t>
      </w:r>
    </w:p>
  </w:footnote>
  <w:footnote w:id="47">
    <w:p w14:paraId="58DA108F" w14:textId="43ED0446" w:rsidR="00434A8B" w:rsidRPr="006E4474" w:rsidRDefault="00434A8B" w:rsidP="002F3FCC">
      <w:pPr>
        <w:pStyle w:val="FootnoteText"/>
      </w:pPr>
      <w:r w:rsidRPr="00AF1B01">
        <w:rPr>
          <w:rStyle w:val="FootnoteReference"/>
          <w:sz w:val="20"/>
        </w:rPr>
        <w:footnoteRef/>
      </w:r>
      <w:r w:rsidRPr="006E4474">
        <w:t xml:space="preserve"> </w:t>
      </w:r>
      <w:r>
        <w:rPr>
          <w:i/>
          <w:color w:val="000000"/>
          <w:szCs w:val="24"/>
        </w:rPr>
        <w:t>See</w:t>
      </w:r>
      <w:r>
        <w:rPr>
          <w:color w:val="000000"/>
          <w:szCs w:val="24"/>
        </w:rPr>
        <w:t xml:space="preserve"> ConnectED Fact Sheet.</w:t>
      </w:r>
    </w:p>
  </w:footnote>
  <w:footnote w:id="48">
    <w:p w14:paraId="40BA1624" w14:textId="77777777" w:rsidR="00434A8B" w:rsidRPr="006E4474" w:rsidRDefault="00434A8B" w:rsidP="002F3FCC">
      <w:pPr>
        <w:pStyle w:val="FootnoteText"/>
      </w:pPr>
      <w:r w:rsidRPr="006E4474">
        <w:rPr>
          <w:rStyle w:val="FootnoteReference"/>
          <w:sz w:val="20"/>
        </w:rPr>
        <w:footnoteRef/>
      </w:r>
      <w:r w:rsidRPr="006E4474">
        <w:t xml:space="preserve"> </w:t>
      </w:r>
      <w:r w:rsidRPr="006E4474">
        <w:rPr>
          <w:i/>
        </w:rPr>
        <w:t xml:space="preserve">See </w:t>
      </w:r>
      <w:r w:rsidRPr="006E4474">
        <w:t>SETDA Recommendation at 2.</w:t>
      </w:r>
    </w:p>
  </w:footnote>
  <w:footnote w:id="49">
    <w:p w14:paraId="3DF0405D" w14:textId="16F55B24" w:rsidR="00434A8B" w:rsidRPr="006E4474" w:rsidRDefault="00434A8B" w:rsidP="002F3FCC">
      <w:pPr>
        <w:pStyle w:val="FootnoteText"/>
      </w:pPr>
      <w:r w:rsidRPr="00AF1B01">
        <w:rPr>
          <w:rStyle w:val="FootnoteReference"/>
          <w:sz w:val="20"/>
        </w:rPr>
        <w:footnoteRef/>
      </w:r>
      <w:r w:rsidRPr="006E4474">
        <w:t xml:space="preserve"> </w:t>
      </w:r>
      <w:r>
        <w:rPr>
          <w:i/>
        </w:rPr>
        <w:t>Id.</w:t>
      </w:r>
    </w:p>
  </w:footnote>
  <w:footnote w:id="50">
    <w:p w14:paraId="44E20F18" w14:textId="02935D93" w:rsidR="00434A8B" w:rsidRPr="003E7A1B" w:rsidRDefault="00434A8B" w:rsidP="002F3FCC">
      <w:pPr>
        <w:pStyle w:val="FootnoteText"/>
      </w:pPr>
      <w:r w:rsidRPr="00AF1B01">
        <w:rPr>
          <w:rStyle w:val="FootnoteReference"/>
          <w:sz w:val="20"/>
        </w:rPr>
        <w:footnoteRef/>
      </w:r>
      <w:r w:rsidRPr="003E7A1B">
        <w:t xml:space="preserve"> </w:t>
      </w:r>
      <w:r>
        <w:rPr>
          <w:i/>
        </w:rPr>
        <w:t>Id</w:t>
      </w:r>
      <w:r w:rsidRPr="003E7A1B">
        <w:t>.</w:t>
      </w:r>
    </w:p>
  </w:footnote>
  <w:footnote w:id="51">
    <w:p w14:paraId="2F69E75B" w14:textId="77777777" w:rsidR="00434A8B" w:rsidRPr="003E7A1B" w:rsidRDefault="00434A8B" w:rsidP="002F3FCC">
      <w:pPr>
        <w:pStyle w:val="FootnoteText"/>
      </w:pPr>
      <w:r w:rsidRPr="003E7A1B">
        <w:rPr>
          <w:rStyle w:val="FootnoteReference"/>
          <w:sz w:val="20"/>
        </w:rPr>
        <w:footnoteRef/>
      </w:r>
      <w:r w:rsidRPr="003E7A1B">
        <w:t xml:space="preserve"> </w:t>
      </w:r>
      <w:r w:rsidRPr="003E7A1B">
        <w:rPr>
          <w:i/>
        </w:rPr>
        <w:t>Id.</w:t>
      </w:r>
    </w:p>
  </w:footnote>
  <w:footnote w:id="52">
    <w:p w14:paraId="0CDD6D85" w14:textId="3277C1EC" w:rsidR="00434A8B" w:rsidRPr="003E7A1B" w:rsidRDefault="00434A8B" w:rsidP="002F3FCC">
      <w:pPr>
        <w:pStyle w:val="FootnoteText"/>
      </w:pPr>
      <w:r w:rsidRPr="003E7A1B">
        <w:rPr>
          <w:rStyle w:val="FootnoteReference"/>
          <w:sz w:val="20"/>
        </w:rPr>
        <w:footnoteRef/>
      </w:r>
      <w:r w:rsidRPr="003E7A1B">
        <w:t xml:space="preserve"> </w:t>
      </w:r>
      <w:r w:rsidRPr="003E7A1B">
        <w:rPr>
          <w:i/>
        </w:rPr>
        <w:t xml:space="preserve">See </w:t>
      </w:r>
      <w:r w:rsidR="00C248B6" w:rsidRPr="00C248B6">
        <w:rPr>
          <w:i/>
        </w:rPr>
        <w:t>infra</w:t>
      </w:r>
      <w:r w:rsidRPr="003E7A1B">
        <w:t xml:space="preserve"> </w:t>
      </w:r>
      <w:r>
        <w:t xml:space="preserve">paras. </w:t>
      </w:r>
      <w:r>
        <w:fldChar w:fldCharType="begin"/>
      </w:r>
      <w:r>
        <w:instrText xml:space="preserve"> REF _Ref360202400 \r \h </w:instrText>
      </w:r>
      <w:r>
        <w:fldChar w:fldCharType="separate"/>
      </w:r>
      <w:r w:rsidR="00A0395D">
        <w:t>72</w:t>
      </w:r>
      <w:r>
        <w:fldChar w:fldCharType="end"/>
      </w:r>
      <w:r>
        <w:t>-</w:t>
      </w:r>
      <w:r>
        <w:fldChar w:fldCharType="begin"/>
      </w:r>
      <w:r>
        <w:instrText xml:space="preserve"> REF _Ref360202409 \r \h </w:instrText>
      </w:r>
      <w:r>
        <w:fldChar w:fldCharType="separate"/>
      </w:r>
      <w:r w:rsidR="00A0395D">
        <w:t>75</w:t>
      </w:r>
      <w:r>
        <w:fldChar w:fldCharType="end"/>
      </w:r>
      <w:r>
        <w:t xml:space="preserve"> </w:t>
      </w:r>
      <w:r w:rsidRPr="003E7A1B">
        <w:t>for further discussion and requests for comments on the cost of deployment of fiber and other high-capacity platforms to schools and libraries and on the recurring costs of high-capacity services.</w:t>
      </w:r>
    </w:p>
  </w:footnote>
  <w:footnote w:id="53">
    <w:p w14:paraId="25BF4A87" w14:textId="54015230" w:rsidR="00434A8B" w:rsidRPr="003E7A1B" w:rsidRDefault="00434A8B" w:rsidP="002F3FCC">
      <w:pPr>
        <w:pStyle w:val="FootnoteText"/>
      </w:pPr>
      <w:r w:rsidRPr="003E7A1B">
        <w:rPr>
          <w:rStyle w:val="FootnoteReference"/>
          <w:sz w:val="20"/>
        </w:rPr>
        <w:footnoteRef/>
      </w:r>
      <w:r w:rsidRPr="003E7A1B">
        <w:t xml:space="preserve"> </w:t>
      </w:r>
      <w:r w:rsidRPr="003E7A1B">
        <w:rPr>
          <w:i/>
        </w:rPr>
        <w:t xml:space="preserve">See </w:t>
      </w:r>
      <w:r w:rsidRPr="003E7A1B">
        <w:t xml:space="preserve">Letter from Karen Archer Perry, Senior Program Officer, U.S. Libraries Program, Bill &amp; Melinda Gates Foundation, to Ms. Marlene Dortch, Secretary, </w:t>
      </w:r>
      <w:r>
        <w:t>Federal Communications Commission</w:t>
      </w:r>
      <w:r w:rsidRPr="003E7A1B">
        <w:t xml:space="preserve">, </w:t>
      </w:r>
      <w:r>
        <w:t xml:space="preserve">WC Docket No. 10-90 et al., </w:t>
      </w:r>
      <w:r w:rsidRPr="003E7A1B">
        <w:t>at 7-9 (filed Aug. 2, 2011) (Gates Ex Parte Letter).</w:t>
      </w:r>
    </w:p>
  </w:footnote>
  <w:footnote w:id="54">
    <w:p w14:paraId="6C7D3CB9" w14:textId="681C7CEC" w:rsidR="00434A8B" w:rsidRPr="00C2088B" w:rsidRDefault="00434A8B" w:rsidP="004F322C">
      <w:pPr>
        <w:pStyle w:val="InsideAddress"/>
        <w:spacing w:after="120" w:line="240" w:lineRule="auto"/>
        <w:rPr>
          <w:color w:val="000000"/>
          <w:sz w:val="20"/>
        </w:rPr>
      </w:pPr>
      <w:r w:rsidRPr="00B9652C">
        <w:rPr>
          <w:rStyle w:val="FootnoteReference"/>
          <w:sz w:val="20"/>
        </w:rPr>
        <w:footnoteRef/>
      </w:r>
      <w:r w:rsidRPr="003E7A1B">
        <w:t xml:space="preserve"> </w:t>
      </w:r>
      <w:r w:rsidRPr="00C2088B">
        <w:rPr>
          <w:i/>
          <w:spacing w:val="0"/>
          <w:sz w:val="20"/>
        </w:rPr>
        <w:t xml:space="preserve">See </w:t>
      </w:r>
      <w:r w:rsidRPr="004F322C">
        <w:rPr>
          <w:spacing w:val="0"/>
          <w:sz w:val="20"/>
        </w:rPr>
        <w:t>ConnectED Fact Sheet at 2</w:t>
      </w:r>
      <w:r>
        <w:rPr>
          <w:spacing w:val="0"/>
          <w:sz w:val="20"/>
        </w:rPr>
        <w:t xml:space="preserve">; </w:t>
      </w:r>
      <w:r>
        <w:rPr>
          <w:i/>
          <w:spacing w:val="0"/>
          <w:sz w:val="20"/>
        </w:rPr>
        <w:t>see also</w:t>
      </w:r>
      <w:r>
        <w:rPr>
          <w:spacing w:val="0"/>
          <w:sz w:val="20"/>
        </w:rPr>
        <w:t xml:space="preserve"> Lead Commission, Paving a Path Forward for Digital Learning in the United States</w:t>
      </w:r>
      <w:r w:rsidRPr="002E4B58">
        <w:rPr>
          <w:spacing w:val="0"/>
          <w:kern w:val="28"/>
          <w:sz w:val="22"/>
        </w:rPr>
        <w:t xml:space="preserve"> </w:t>
      </w:r>
      <w:r w:rsidRPr="00510855">
        <w:rPr>
          <w:i/>
          <w:spacing w:val="0"/>
          <w:sz w:val="20"/>
        </w:rPr>
        <w:t>available at</w:t>
      </w:r>
      <w:r w:rsidRPr="002E4B58">
        <w:rPr>
          <w:spacing w:val="0"/>
          <w:sz w:val="20"/>
        </w:rPr>
        <w:t xml:space="preserve"> </w:t>
      </w:r>
      <w:hyperlink r:id="rId30" w:history="1">
        <w:r w:rsidRPr="002E4B58">
          <w:rPr>
            <w:rStyle w:val="Hyperlink"/>
            <w:spacing w:val="0"/>
            <w:sz w:val="20"/>
          </w:rPr>
          <w:t>http://www.leadcommission.org/sites/default/files/LEAD%20Commission%20Blueprint_0.pdf</w:t>
        </w:r>
      </w:hyperlink>
      <w:r w:rsidRPr="002E4B58">
        <w:rPr>
          <w:spacing w:val="0"/>
          <w:sz w:val="20"/>
        </w:rPr>
        <w:t xml:space="preserve"> (last visited July 18, 2013)</w:t>
      </w:r>
      <w:r w:rsidRPr="00C2088B">
        <w:rPr>
          <w:i/>
          <w:spacing w:val="0"/>
          <w:sz w:val="20"/>
        </w:rPr>
        <w:t>.</w:t>
      </w:r>
    </w:p>
  </w:footnote>
  <w:footnote w:id="55">
    <w:p w14:paraId="1A1EF70C" w14:textId="7CCE1100" w:rsidR="00434A8B" w:rsidRPr="00C2088B" w:rsidRDefault="00434A8B" w:rsidP="00DD3D1A">
      <w:pPr>
        <w:pStyle w:val="FootnoteText"/>
      </w:pPr>
      <w:r w:rsidRPr="00C2088B">
        <w:rPr>
          <w:rStyle w:val="FootnoteReference"/>
          <w:sz w:val="20"/>
        </w:rPr>
        <w:footnoteRef/>
      </w:r>
      <w:r w:rsidRPr="00C2088B">
        <w:t xml:space="preserve"> We note that the </w:t>
      </w:r>
      <w:r w:rsidRPr="00C2088B">
        <w:rPr>
          <w:i/>
        </w:rPr>
        <w:t xml:space="preserve">USF/ICC Transformation Order </w:t>
      </w:r>
      <w:r w:rsidRPr="00C2088B">
        <w:t xml:space="preserve">required that ETCs offer sufficiently low latency to enable real time applications, such as Voice over Internet Protocol (VoIP).  The Commission observed that broadband measurement tests showed that most terrestrial wireline technologies could reliably provide latency of l00 Mbps or less.  </w:t>
      </w:r>
      <w:r w:rsidRPr="00C2088B">
        <w:rPr>
          <w:i/>
        </w:rPr>
        <w:t>See</w:t>
      </w:r>
      <w:r w:rsidRPr="00C2088B">
        <w:t xml:space="preserve"> </w:t>
      </w:r>
      <w:r w:rsidRPr="00C2088B">
        <w:rPr>
          <w:i/>
        </w:rPr>
        <w:t>USF/ICC Transformation Order</w:t>
      </w:r>
      <w:r w:rsidRPr="00C2088B">
        <w:t>, 27 FCC Rcd. at 17702-3, para. 105.</w:t>
      </w:r>
    </w:p>
  </w:footnote>
  <w:footnote w:id="56">
    <w:p w14:paraId="4ADF150B" w14:textId="0AAFD981" w:rsidR="00434A8B" w:rsidRPr="00C2088B" w:rsidRDefault="00434A8B" w:rsidP="00856B63">
      <w:pPr>
        <w:pStyle w:val="FootnoteText"/>
      </w:pPr>
      <w:r w:rsidRPr="00C2088B">
        <w:rPr>
          <w:rStyle w:val="FootnoteReference"/>
          <w:sz w:val="20"/>
        </w:rPr>
        <w:footnoteRef/>
      </w:r>
      <w:r w:rsidRPr="00C2088B">
        <w:t xml:space="preserve"> </w:t>
      </w:r>
      <w:r w:rsidRPr="00C2088B">
        <w:rPr>
          <w:i/>
        </w:rPr>
        <w:t xml:space="preserve">See </w:t>
      </w:r>
      <w:r w:rsidRPr="00C2088B">
        <w:t xml:space="preserve">Schools and Libraries Universal Service, </w:t>
      </w:r>
      <w:r w:rsidRPr="00C2088B">
        <w:rPr>
          <w:bCs/>
        </w:rPr>
        <w:t xml:space="preserve">Instructions for Completing the Schools and Libraries Universal Service Services Ordered and Certification Form, OMB 3060-0806 (Oct. 2010), at 9-10, </w:t>
      </w:r>
      <w:r w:rsidRPr="00C2088B">
        <w:rPr>
          <w:bCs/>
          <w:i/>
        </w:rPr>
        <w:t>available at</w:t>
      </w:r>
      <w:r w:rsidRPr="00C2088B">
        <w:rPr>
          <w:bCs/>
        </w:rPr>
        <w:t xml:space="preserve"> </w:t>
      </w:r>
      <w:hyperlink r:id="rId31" w:history="1">
        <w:r w:rsidRPr="00C2088B">
          <w:rPr>
            <w:rStyle w:val="Hyperlink"/>
            <w:bCs/>
          </w:rPr>
          <w:t>http://www.usac.org/_res/documents/sl/pdf/forms/471i_fy05.pdf</w:t>
        </w:r>
      </w:hyperlink>
      <w:r w:rsidRPr="00C2088B">
        <w:rPr>
          <w:bCs/>
        </w:rPr>
        <w:t xml:space="preserve"> (last visited July 15, 2013).</w:t>
      </w:r>
    </w:p>
  </w:footnote>
  <w:footnote w:id="57">
    <w:p w14:paraId="2D4CBA39" w14:textId="28C73339" w:rsidR="00434A8B" w:rsidRPr="00C2088B" w:rsidRDefault="00434A8B">
      <w:pPr>
        <w:pStyle w:val="FootnoteText"/>
      </w:pPr>
      <w:r w:rsidRPr="00C2088B">
        <w:rPr>
          <w:rStyle w:val="FootnoteReference"/>
          <w:sz w:val="20"/>
        </w:rPr>
        <w:footnoteRef/>
      </w:r>
      <w:r w:rsidRPr="00C2088B">
        <w:t xml:space="preserve"> </w:t>
      </w:r>
      <w:r w:rsidRPr="00C2088B">
        <w:rPr>
          <w:i/>
          <w:iCs/>
          <w:snapToGrid w:val="0"/>
        </w:rPr>
        <w:t>See</w:t>
      </w:r>
      <w:r w:rsidRPr="00C2088B">
        <w:rPr>
          <w:snapToGrid w:val="0"/>
        </w:rPr>
        <w:t xml:space="preserve"> </w:t>
      </w:r>
      <w:r w:rsidRPr="00C2088B">
        <w:rPr>
          <w:i/>
          <w:iCs/>
          <w:snapToGrid w:val="0"/>
        </w:rPr>
        <w:t xml:space="preserve">Wireline Competition Bureau Seeks Comment on Revisions to FCC Forms 470 and 471, </w:t>
      </w:r>
      <w:r w:rsidRPr="00C2088B">
        <w:rPr>
          <w:snapToGrid w:val="0"/>
        </w:rPr>
        <w:t>CC Docket No. 02-6, Public Notice, DA 13-1590 (</w:t>
      </w:r>
      <w:r>
        <w:rPr>
          <w:snapToGrid w:val="0"/>
        </w:rPr>
        <w:t xml:space="preserve">Wireline Comp. Bur. </w:t>
      </w:r>
      <w:r w:rsidRPr="00C2088B">
        <w:rPr>
          <w:snapToGrid w:val="0"/>
        </w:rPr>
        <w:t>rel. July 17, 2013). </w:t>
      </w:r>
    </w:p>
  </w:footnote>
  <w:footnote w:id="58">
    <w:p w14:paraId="6B372D32" w14:textId="6A3F85EB" w:rsidR="00434A8B" w:rsidRPr="006E4474" w:rsidRDefault="00434A8B">
      <w:pPr>
        <w:pStyle w:val="FootnoteText"/>
      </w:pPr>
      <w:r w:rsidRPr="00AF1B01">
        <w:rPr>
          <w:rStyle w:val="FootnoteReference"/>
          <w:sz w:val="20"/>
        </w:rPr>
        <w:footnoteRef/>
      </w:r>
      <w:r w:rsidRPr="006E4474">
        <w:t xml:space="preserve"> On </w:t>
      </w:r>
      <w:r>
        <w:t>July 17,</w:t>
      </w:r>
      <w:r w:rsidRPr="006E4474">
        <w:t xml:space="preserve"> as part of seeking a renewal of our authority from the Office of Management and Budget (OMB) to collect the information on FCC Form 471 application, we sought comment on proposed revisions to the FCC Form 471 that would change the broadband information collection provisions of that form.  </w:t>
      </w:r>
      <w:r w:rsidRPr="00CA1368">
        <w:rPr>
          <w:i/>
        </w:rPr>
        <w:t>See</w:t>
      </w:r>
      <w:r w:rsidRPr="00CA1368">
        <w:t xml:space="preserve"> </w:t>
      </w:r>
      <w:r>
        <w:rPr>
          <w:i/>
        </w:rPr>
        <w:t>id.</w:t>
      </w:r>
      <w:r w:rsidRPr="006E4474">
        <w:t xml:space="preserve"> </w:t>
      </w:r>
      <w:r w:rsidR="007A26DF">
        <w:t xml:space="preserve"> </w:t>
      </w:r>
      <w:r>
        <w:t>H</w:t>
      </w:r>
      <w:r w:rsidRPr="006E4474">
        <w:t>ere we invite comments on both the current form and the proposed one.</w:t>
      </w:r>
    </w:p>
  </w:footnote>
  <w:footnote w:id="59">
    <w:p w14:paraId="2F968C59" w14:textId="1215C60A" w:rsidR="00434A8B" w:rsidRPr="006A5EA5" w:rsidRDefault="00434A8B">
      <w:pPr>
        <w:pStyle w:val="FootnoteText"/>
      </w:pPr>
      <w:r w:rsidRPr="006A5EA5">
        <w:rPr>
          <w:rStyle w:val="FootnoteReference"/>
          <w:sz w:val="20"/>
        </w:rPr>
        <w:footnoteRef/>
      </w:r>
      <w:r w:rsidRPr="006A5EA5">
        <w:t xml:space="preserve"> www.data.gov.</w:t>
      </w:r>
    </w:p>
  </w:footnote>
  <w:footnote w:id="60">
    <w:p w14:paraId="203D7156" w14:textId="6CBD03C5" w:rsidR="00434A8B" w:rsidRPr="006E4474" w:rsidRDefault="00434A8B">
      <w:pPr>
        <w:pStyle w:val="FootnoteText"/>
      </w:pPr>
      <w:r w:rsidRPr="00AF1B01">
        <w:rPr>
          <w:rStyle w:val="FootnoteReference"/>
          <w:sz w:val="20"/>
        </w:rPr>
        <w:footnoteRef/>
      </w:r>
      <w:r w:rsidRPr="006E4474">
        <w:t xml:space="preserve"> </w:t>
      </w:r>
      <w:r w:rsidRPr="006E4474">
        <w:rPr>
          <w:i/>
        </w:rPr>
        <w:t>See</w:t>
      </w:r>
      <w:r w:rsidRPr="006E4474">
        <w:t xml:space="preserve"> E-rate Program and Broadband Survey.</w:t>
      </w:r>
    </w:p>
  </w:footnote>
  <w:footnote w:id="61">
    <w:p w14:paraId="7031B2A0" w14:textId="77777777" w:rsidR="00434A8B" w:rsidRPr="006E4474" w:rsidRDefault="00434A8B">
      <w:pPr>
        <w:pStyle w:val="FootnoteText"/>
      </w:pPr>
      <w:r w:rsidRPr="00AF1B01">
        <w:rPr>
          <w:rStyle w:val="FootnoteReference"/>
          <w:sz w:val="20"/>
        </w:rPr>
        <w:footnoteRef/>
      </w:r>
      <w:r w:rsidRPr="006E4474">
        <w:t xml:space="preserve"> </w:t>
      </w:r>
      <w:r w:rsidRPr="006E4474">
        <w:rPr>
          <w:i/>
        </w:rPr>
        <w:t xml:space="preserve">See </w:t>
      </w:r>
      <w:r w:rsidRPr="006E4474">
        <w:t>Measuring Broadband America Program.</w:t>
      </w:r>
    </w:p>
  </w:footnote>
  <w:footnote w:id="62">
    <w:p w14:paraId="3D9EA1C8" w14:textId="3A039CFA" w:rsidR="00434A8B" w:rsidRPr="006E4474" w:rsidRDefault="00434A8B" w:rsidP="00856B63">
      <w:pPr>
        <w:pStyle w:val="FootnoteText"/>
      </w:pPr>
      <w:r w:rsidRPr="006E4474">
        <w:rPr>
          <w:rStyle w:val="FootnoteReference"/>
          <w:sz w:val="20"/>
        </w:rPr>
        <w:footnoteRef/>
      </w:r>
      <w:r w:rsidRPr="006E4474">
        <w:t xml:space="preserve"> </w:t>
      </w:r>
      <w:r w:rsidRPr="006E4474">
        <w:rPr>
          <w:i/>
        </w:rPr>
        <w:t>See</w:t>
      </w:r>
      <w:r w:rsidRPr="006E4474">
        <w:t xml:space="preserve"> Education Superhighway: </w:t>
      </w:r>
      <w:r w:rsidRPr="006A5EA5">
        <w:rPr>
          <w:rStyle w:val="wsite-text2"/>
          <w:rFonts w:ascii="Times New Roman" w:hAnsi="Times New Roman"/>
          <w:color w:val="auto"/>
          <w:sz w:val="20"/>
        </w:rPr>
        <w:t xml:space="preserve">Upgrading America’s K-12 Internet Infrastructure, </w:t>
      </w:r>
      <w:r w:rsidRPr="006A5EA5">
        <w:rPr>
          <w:rStyle w:val="wsite-text2"/>
          <w:rFonts w:ascii="Times New Roman" w:hAnsi="Times New Roman"/>
          <w:i/>
          <w:color w:val="auto"/>
          <w:sz w:val="20"/>
        </w:rPr>
        <w:t>available at</w:t>
      </w:r>
      <w:r w:rsidRPr="006A5EA5">
        <w:t xml:space="preserve"> </w:t>
      </w:r>
      <w:hyperlink r:id="rId32" w:history="1">
        <w:r w:rsidRPr="006E4474">
          <w:rPr>
            <w:rStyle w:val="Hyperlink"/>
          </w:rPr>
          <w:t>http://www.schoolspeedtest.org/</w:t>
        </w:r>
      </w:hyperlink>
      <w:r w:rsidRPr="006E4474">
        <w:t xml:space="preserve"> (</w:t>
      </w:r>
      <w:r>
        <w:t>last visited July 15, 2013</w:t>
      </w:r>
      <w:r w:rsidRPr="006E4474">
        <w:t xml:space="preserve">). </w:t>
      </w:r>
    </w:p>
  </w:footnote>
  <w:footnote w:id="63">
    <w:p w14:paraId="700A666A" w14:textId="78F06B06" w:rsidR="00434A8B" w:rsidRPr="006E4474" w:rsidRDefault="00434A8B" w:rsidP="00856B63">
      <w:pPr>
        <w:pStyle w:val="FootnoteText"/>
      </w:pPr>
      <w:r w:rsidRPr="006E4474">
        <w:rPr>
          <w:rStyle w:val="FootnoteReference"/>
          <w:sz w:val="20"/>
        </w:rPr>
        <w:footnoteRef/>
      </w:r>
      <w:r w:rsidRPr="006E4474">
        <w:t xml:space="preserve"> 47 C.F.R. § 54.511(b).  The </w:t>
      </w:r>
      <w:r>
        <w:t>“</w:t>
      </w:r>
      <w:r w:rsidRPr="006E4474">
        <w:t>lowest corresponding price</w:t>
      </w:r>
      <w:r>
        <w:t>”</w:t>
      </w:r>
      <w:r w:rsidRPr="006E4474">
        <w:t xml:space="preserve"> is defined as </w:t>
      </w:r>
      <w:r>
        <w:t>“</w:t>
      </w:r>
      <w:r w:rsidRPr="006E4474">
        <w:t>the lowest price that a service provider charges to non-residential customers who are similarly situated to a particular school, library, or library consortium for similar services.</w:t>
      </w:r>
      <w:r>
        <w:t>”</w:t>
      </w:r>
      <w:r w:rsidRPr="006E4474">
        <w:t xml:space="preserve"> 47 C.F.R. § 54.500(f).  In 2010, the Commission sought comment on a petition filed by the United States Telecom Association and CTIA – The Wireless Association® requesting the Commission to issue a declaratory ruling clarifying the scope and meaning of the Commission’s </w:t>
      </w:r>
      <w:r>
        <w:t>“</w:t>
      </w:r>
      <w:r w:rsidRPr="006E4474">
        <w:t>lowest corresponding price</w:t>
      </w:r>
      <w:r>
        <w:t>”</w:t>
      </w:r>
      <w:r w:rsidRPr="006E4474">
        <w:t xml:space="preserve"> rule.  </w:t>
      </w:r>
      <w:r w:rsidRPr="006E4474">
        <w:rPr>
          <w:i/>
        </w:rPr>
        <w:t>See</w:t>
      </w:r>
      <w:r w:rsidRPr="006E4474">
        <w:t xml:space="preserve"> </w:t>
      </w:r>
      <w:r w:rsidRPr="006E4474">
        <w:rPr>
          <w:i/>
        </w:rPr>
        <w:t xml:space="preserve">Wireline Competition Bureau Seeks Comment on Petition of United States Telecom Association and CTIA – The Wireless Association® for Declaratory Ruling Clarifying Certain Aspects of the </w:t>
      </w:r>
      <w:r>
        <w:rPr>
          <w:i/>
        </w:rPr>
        <w:t>“</w:t>
      </w:r>
      <w:r w:rsidRPr="006E4474">
        <w:rPr>
          <w:i/>
        </w:rPr>
        <w:t>Lowest Corresponding Price</w:t>
      </w:r>
      <w:r>
        <w:rPr>
          <w:i/>
        </w:rPr>
        <w:t>”</w:t>
      </w:r>
      <w:r w:rsidRPr="006E4474">
        <w:rPr>
          <w:i/>
        </w:rPr>
        <w:t xml:space="preserve"> Requirement of the Schools and Libraries Universal Service Program</w:t>
      </w:r>
      <w:r w:rsidRPr="006E4474">
        <w:t xml:space="preserve">, CC Docket No. 02-6, Public Notice, </w:t>
      </w:r>
      <w:r w:rsidR="00A510DB">
        <w:t>25 FCC Rcd 3662</w:t>
      </w:r>
      <w:r w:rsidRPr="006E4474">
        <w:t xml:space="preserve"> (</w:t>
      </w:r>
      <w:r w:rsidR="00A510DB">
        <w:t xml:space="preserve">Wireline Comp. Bur. </w:t>
      </w:r>
      <w:r w:rsidRPr="006E4474">
        <w:t>2010)</w:t>
      </w:r>
      <w:r w:rsidRPr="00C93FF2">
        <w:rPr>
          <w:color w:val="000000"/>
          <w:szCs w:val="24"/>
        </w:rPr>
        <w:t xml:space="preserve"> </w:t>
      </w:r>
      <w:r>
        <w:rPr>
          <w:color w:val="000000"/>
          <w:szCs w:val="24"/>
        </w:rPr>
        <w:t>(</w:t>
      </w:r>
      <w:r w:rsidRPr="00A510DB">
        <w:rPr>
          <w:i/>
          <w:color w:val="000000"/>
          <w:szCs w:val="24"/>
        </w:rPr>
        <w:t>USTelecom/CTIA Petition Public Notice</w:t>
      </w:r>
      <w:r>
        <w:rPr>
          <w:color w:val="000000"/>
          <w:szCs w:val="24"/>
        </w:rPr>
        <w:t>)</w:t>
      </w:r>
      <w:r w:rsidRPr="006E4474">
        <w:t xml:space="preserve">; Petition by United States Telecom Association and CTIA – The Wireless Association® for Declaratory Ruling Clarifying Certain Aspects of the </w:t>
      </w:r>
      <w:r>
        <w:t>“</w:t>
      </w:r>
      <w:r w:rsidRPr="006E4474">
        <w:t>Lowest Corresponding Price</w:t>
      </w:r>
      <w:r>
        <w:t>”</w:t>
      </w:r>
      <w:r w:rsidRPr="006E4474">
        <w:t xml:space="preserve"> Obligation of the Schools and Libraries Universal Service Program, WC Docket No. 02-6 (filed Mar. 19, 2010)</w:t>
      </w:r>
      <w:r w:rsidRPr="00C93FF2">
        <w:rPr>
          <w:color w:val="000000"/>
          <w:szCs w:val="24"/>
        </w:rPr>
        <w:t xml:space="preserve"> </w:t>
      </w:r>
      <w:r>
        <w:rPr>
          <w:color w:val="000000"/>
          <w:szCs w:val="24"/>
        </w:rPr>
        <w:t>(USTelecom/CTIA Petition)</w:t>
      </w:r>
      <w:r w:rsidRPr="006E4474">
        <w:t>.</w:t>
      </w:r>
    </w:p>
  </w:footnote>
  <w:footnote w:id="64">
    <w:p w14:paraId="5A07D43C" w14:textId="77777777" w:rsidR="00434A8B" w:rsidRPr="006E4474" w:rsidRDefault="00434A8B" w:rsidP="00856B63">
      <w:pPr>
        <w:pStyle w:val="FootnoteText"/>
      </w:pPr>
      <w:r w:rsidRPr="006E4474">
        <w:rPr>
          <w:rStyle w:val="FootnoteReference"/>
          <w:sz w:val="20"/>
        </w:rPr>
        <w:footnoteRef/>
      </w:r>
      <w:r w:rsidRPr="006E4474">
        <w:t xml:space="preserve"> 47 C.F.R. § 54.511(b).</w:t>
      </w:r>
    </w:p>
  </w:footnote>
  <w:footnote w:id="65">
    <w:p w14:paraId="66646D49" w14:textId="0E677045" w:rsidR="00434A8B" w:rsidRPr="00C2088B" w:rsidRDefault="00434A8B" w:rsidP="00A45639">
      <w:pPr>
        <w:pStyle w:val="FootnoteText"/>
      </w:pPr>
      <w:r w:rsidRPr="00C2088B">
        <w:rPr>
          <w:rStyle w:val="FootnoteReference"/>
          <w:sz w:val="20"/>
        </w:rPr>
        <w:footnoteRef/>
      </w:r>
      <w:r w:rsidRPr="00C2088B">
        <w:t xml:space="preserve"> Austan Goolsbee &amp; Jonathan Guryan, The Impact of Internet Subsidies in Public Schools, 88 Review of Economics and Statistics 336 (May 2006), </w:t>
      </w:r>
      <w:r w:rsidRPr="00C2088B">
        <w:rPr>
          <w:i/>
        </w:rPr>
        <w:t xml:space="preserve">draft available at </w:t>
      </w:r>
      <w:hyperlink r:id="rId33" w:history="1">
        <w:r w:rsidRPr="00C2088B">
          <w:rPr>
            <w:rStyle w:val="Hyperlink"/>
          </w:rPr>
          <w:t>http://faculty.chicagobooth.edu/austan.goolsbee/research/erate.pdf</w:t>
        </w:r>
      </w:hyperlink>
      <w:r w:rsidRPr="00C2088B">
        <w:t xml:space="preserve"> (last visited July 15, 2013).</w:t>
      </w:r>
    </w:p>
  </w:footnote>
  <w:footnote w:id="66">
    <w:p w14:paraId="7965F901" w14:textId="77777777" w:rsidR="00434A8B" w:rsidRPr="00C2088B" w:rsidRDefault="00434A8B" w:rsidP="00856B63">
      <w:pPr>
        <w:pStyle w:val="FootnoteText"/>
      </w:pPr>
      <w:r w:rsidRPr="00C2088B">
        <w:rPr>
          <w:rStyle w:val="FootnoteReference"/>
          <w:sz w:val="20"/>
        </w:rPr>
        <w:footnoteRef/>
      </w:r>
      <w:r w:rsidRPr="00C2088B">
        <w:t xml:space="preserve"> </w:t>
      </w:r>
      <w:r w:rsidRPr="00C2088B">
        <w:rPr>
          <w:i/>
        </w:rPr>
        <w:t xml:space="preserve">See </w:t>
      </w:r>
      <w:r w:rsidRPr="00C2088B">
        <w:t xml:space="preserve">47 C.F.R. § 54.511(a) (requiring eligible schools and libraries select the most cost-effective service offering). </w:t>
      </w:r>
    </w:p>
  </w:footnote>
  <w:footnote w:id="67">
    <w:p w14:paraId="580E9B31" w14:textId="77777777" w:rsidR="00434A8B" w:rsidRPr="00C2088B" w:rsidRDefault="00434A8B" w:rsidP="00856B63">
      <w:pPr>
        <w:pStyle w:val="FootnoteText"/>
      </w:pPr>
      <w:r w:rsidRPr="00C2088B">
        <w:rPr>
          <w:rStyle w:val="FootnoteReference"/>
          <w:sz w:val="20"/>
        </w:rPr>
        <w:footnoteRef/>
      </w:r>
      <w:r w:rsidRPr="00C2088B">
        <w:t xml:space="preserve"> 47 U.S.C. § 254(h)(2)(A) (enhancing access to advanced services for schools and libraries). </w:t>
      </w:r>
    </w:p>
  </w:footnote>
  <w:footnote w:id="68">
    <w:p w14:paraId="43647C25" w14:textId="720249EC" w:rsidR="00434A8B" w:rsidRPr="00C2088B" w:rsidRDefault="00434A8B" w:rsidP="00856B63">
      <w:pPr>
        <w:spacing w:after="120"/>
        <w:rPr>
          <w:sz w:val="20"/>
        </w:rPr>
      </w:pPr>
      <w:r w:rsidRPr="00C2088B">
        <w:rPr>
          <w:rStyle w:val="FootnoteReference"/>
          <w:sz w:val="20"/>
        </w:rPr>
        <w:footnoteRef/>
      </w:r>
      <w:r w:rsidRPr="00C2088B">
        <w:rPr>
          <w:sz w:val="20"/>
        </w:rPr>
        <w:t xml:space="preserve"> </w:t>
      </w:r>
      <w:r w:rsidRPr="00C2088B">
        <w:rPr>
          <w:i/>
          <w:sz w:val="20"/>
        </w:rPr>
        <w:t>See</w:t>
      </w:r>
      <w:r w:rsidRPr="00C2088B">
        <w:rPr>
          <w:sz w:val="20"/>
        </w:rPr>
        <w:t xml:space="preserve"> </w:t>
      </w:r>
      <w:r w:rsidRPr="00C2088B">
        <w:rPr>
          <w:i/>
          <w:sz w:val="20"/>
        </w:rPr>
        <w:t>High-Cost Universal Service Support, Federal-State Joint Board on Universal Service</w:t>
      </w:r>
      <w:r w:rsidRPr="00C2088B">
        <w:rPr>
          <w:sz w:val="20"/>
        </w:rPr>
        <w:t xml:space="preserve">, WC Docket No. 05-337, CC Docket No. 96-45, Order on Remand and Memorandum Opinion and Order, 25 FCC Rcd 4072, 4088, para. 29; </w:t>
      </w:r>
      <w:hyperlink r:id="rId34" w:tgtFrame="_blank" w:history="1">
        <w:r w:rsidRPr="00C2088B">
          <w:rPr>
            <w:rStyle w:val="Hyperlink"/>
            <w:i/>
            <w:color w:val="auto"/>
            <w:sz w:val="20"/>
            <w:u w:val="none"/>
          </w:rPr>
          <w:t>Vermont Pub. Serv. Bd. et al. v. FCC &amp; USA</w:t>
        </w:r>
        <w:r w:rsidRPr="00C2088B">
          <w:rPr>
            <w:rStyle w:val="Hyperlink"/>
            <w:color w:val="auto"/>
            <w:sz w:val="20"/>
            <w:u w:val="none"/>
          </w:rPr>
          <w:t>, No. 10-1184</w:t>
        </w:r>
      </w:hyperlink>
      <w:r w:rsidRPr="00C2088B">
        <w:rPr>
          <w:sz w:val="20"/>
        </w:rPr>
        <w:t xml:space="preserve"> (D.C. Cir. 2011).</w:t>
      </w:r>
    </w:p>
  </w:footnote>
  <w:footnote w:id="69">
    <w:p w14:paraId="1757FDFD" w14:textId="0D2F48B1" w:rsidR="00434A8B" w:rsidRPr="006E4474" w:rsidRDefault="00434A8B" w:rsidP="00F9076C">
      <w:pPr>
        <w:pStyle w:val="FootnoteText"/>
      </w:pPr>
      <w:r w:rsidRPr="006E4474">
        <w:rPr>
          <w:rStyle w:val="FootnoteReference"/>
          <w:sz w:val="20"/>
        </w:rPr>
        <w:footnoteRef/>
      </w:r>
      <w:r w:rsidRPr="006E4474">
        <w:t xml:space="preserve"> 2013 USAC Demand Letter.</w:t>
      </w:r>
    </w:p>
  </w:footnote>
  <w:footnote w:id="70">
    <w:p w14:paraId="1CED12A4" w14:textId="13EEDAA7" w:rsidR="00434A8B" w:rsidRPr="006E4474" w:rsidRDefault="00434A8B" w:rsidP="00856B63">
      <w:pPr>
        <w:pStyle w:val="FootnoteText"/>
      </w:pPr>
      <w:r w:rsidRPr="006E4474">
        <w:rPr>
          <w:rStyle w:val="FootnoteReference"/>
          <w:sz w:val="20"/>
        </w:rPr>
        <w:footnoteRef/>
      </w:r>
      <w:r w:rsidRPr="006E4474">
        <w:rPr>
          <w:lang w:val="pt-BR"/>
        </w:rPr>
        <w:t xml:space="preserve"> </w:t>
      </w:r>
      <w:r w:rsidRPr="006E4474">
        <w:rPr>
          <w:i/>
          <w:lang w:val="pt-BR"/>
        </w:rPr>
        <w:t xml:space="preserve">See infra </w:t>
      </w:r>
      <w:r>
        <w:rPr>
          <w:lang w:val="pt-BR"/>
        </w:rPr>
        <w:t xml:space="preserve">Section </w:t>
      </w:r>
      <w:r>
        <w:rPr>
          <w:highlight w:val="yellow"/>
          <w:lang w:val="pt-BR"/>
        </w:rPr>
        <w:fldChar w:fldCharType="begin"/>
      </w:r>
      <w:r>
        <w:rPr>
          <w:lang w:val="pt-BR"/>
        </w:rPr>
        <w:instrText xml:space="preserve"> REF _Ref360202341 \w \h </w:instrText>
      </w:r>
      <w:r>
        <w:rPr>
          <w:highlight w:val="yellow"/>
          <w:lang w:val="pt-BR"/>
        </w:rPr>
      </w:r>
      <w:r>
        <w:rPr>
          <w:highlight w:val="yellow"/>
          <w:lang w:val="pt-BR"/>
        </w:rPr>
        <w:fldChar w:fldCharType="separate"/>
      </w:r>
      <w:r w:rsidR="00A0395D">
        <w:rPr>
          <w:lang w:val="pt-BR"/>
        </w:rPr>
        <w:t>V.A</w:t>
      </w:r>
      <w:r>
        <w:rPr>
          <w:highlight w:val="yellow"/>
          <w:lang w:val="pt-BR"/>
        </w:rPr>
        <w:fldChar w:fldCharType="end"/>
      </w:r>
    </w:p>
  </w:footnote>
  <w:footnote w:id="71">
    <w:p w14:paraId="2D179AA9" w14:textId="10A8452C" w:rsidR="00434A8B" w:rsidRPr="006E4474" w:rsidRDefault="00434A8B" w:rsidP="00856B63">
      <w:pPr>
        <w:pStyle w:val="FootnoteText"/>
      </w:pPr>
      <w:r w:rsidRPr="006E4474">
        <w:rPr>
          <w:rStyle w:val="FootnoteReference"/>
          <w:sz w:val="20"/>
        </w:rPr>
        <w:footnoteRef/>
      </w:r>
      <w:r w:rsidRPr="006E4474">
        <w:t xml:space="preserve"> </w:t>
      </w:r>
      <w:r w:rsidRPr="006E4474">
        <w:rPr>
          <w:i/>
        </w:rPr>
        <w:t>See 2007 USF Program Management Order</w:t>
      </w:r>
      <w:r w:rsidRPr="006E4474">
        <w:t xml:space="preserve">, 22 FCC Rcd at 16392-94, paras. 44-49.  </w:t>
      </w:r>
    </w:p>
  </w:footnote>
  <w:footnote w:id="72">
    <w:p w14:paraId="7D951843" w14:textId="77777777" w:rsidR="00434A8B" w:rsidRPr="006E4474" w:rsidRDefault="00434A8B" w:rsidP="00856B63">
      <w:pPr>
        <w:pStyle w:val="FootnoteText"/>
      </w:pPr>
      <w:r w:rsidRPr="006E4474">
        <w:rPr>
          <w:rStyle w:val="FootnoteReference"/>
          <w:sz w:val="20"/>
        </w:rPr>
        <w:footnoteRef/>
      </w:r>
      <w:r w:rsidRPr="006E4474">
        <w:t xml:space="preserve"> </w:t>
      </w:r>
      <w:r w:rsidRPr="006E4474">
        <w:rPr>
          <w:i/>
        </w:rPr>
        <w:t>Id.</w:t>
      </w:r>
      <w:r w:rsidRPr="006E4474">
        <w:t xml:space="preserve"> at 16392-93, paras. 44-45. </w:t>
      </w:r>
    </w:p>
  </w:footnote>
  <w:footnote w:id="73">
    <w:p w14:paraId="5BD0BE7F" w14:textId="77777777" w:rsidR="00434A8B" w:rsidRPr="006E4474" w:rsidRDefault="00434A8B" w:rsidP="00856B63">
      <w:pPr>
        <w:pStyle w:val="FootnoteText"/>
      </w:pPr>
      <w:r w:rsidRPr="006E4474">
        <w:rPr>
          <w:rStyle w:val="FootnoteReference"/>
          <w:sz w:val="20"/>
        </w:rPr>
        <w:footnoteRef/>
      </w:r>
      <w:r w:rsidRPr="006E4474">
        <w:t xml:space="preserve"> </w:t>
      </w:r>
      <w:r w:rsidRPr="006E4474">
        <w:rPr>
          <w:i/>
        </w:rPr>
        <w:t>Id.</w:t>
      </w:r>
      <w:r w:rsidRPr="006E4474">
        <w:t xml:space="preserve"> at 16393, paras. 46-48.</w:t>
      </w:r>
    </w:p>
  </w:footnote>
  <w:footnote w:id="74">
    <w:p w14:paraId="7228E739" w14:textId="0BFD8539" w:rsidR="00434A8B" w:rsidRPr="006E4474" w:rsidRDefault="00434A8B" w:rsidP="00856B63">
      <w:pPr>
        <w:pStyle w:val="FootnoteText"/>
      </w:pPr>
      <w:r w:rsidRPr="006E4474">
        <w:rPr>
          <w:rStyle w:val="FootnoteReference"/>
          <w:sz w:val="20"/>
        </w:rPr>
        <w:footnoteRef/>
      </w:r>
      <w:r w:rsidRPr="006E4474">
        <w:t xml:space="preserve"> </w:t>
      </w:r>
      <w:r w:rsidRPr="006E4474">
        <w:rPr>
          <w:i/>
        </w:rPr>
        <w:t>Id.</w:t>
      </w:r>
      <w:r w:rsidRPr="006E4474">
        <w:t xml:space="preserve"> at 16393-94, para. 49.  By </w:t>
      </w:r>
      <w:r>
        <w:t>“</w:t>
      </w:r>
      <w:r w:rsidRPr="006E4474">
        <w:t>pending appeal</w:t>
      </w:r>
      <w:r>
        <w:t>”</w:t>
      </w:r>
      <w:r w:rsidRPr="006E4474">
        <w:t xml:space="preserve"> we mean an appeal or request for review filed by an applicant that has not yet been decided by USAC.</w:t>
      </w:r>
    </w:p>
  </w:footnote>
  <w:footnote w:id="75">
    <w:p w14:paraId="263B74CA" w14:textId="77777777" w:rsidR="00434A8B" w:rsidRPr="006E4474" w:rsidRDefault="00434A8B" w:rsidP="00320469">
      <w:pPr>
        <w:pStyle w:val="FootnoteText"/>
      </w:pPr>
      <w:r w:rsidRPr="006E4474">
        <w:rPr>
          <w:rStyle w:val="FootnoteReference"/>
          <w:sz w:val="20"/>
        </w:rPr>
        <w:footnoteRef/>
      </w:r>
      <w:r w:rsidRPr="006E4474">
        <w:t xml:space="preserve"> </w:t>
      </w:r>
      <w:r w:rsidRPr="006E4474">
        <w:rPr>
          <w:i/>
        </w:rPr>
        <w:t>See</w:t>
      </w:r>
      <w:r w:rsidRPr="006E4474">
        <w:t xml:space="preserve"> Letter from the State E-rate Coordinators Alliance, to Gina Spade, Wireline Competition Bureau, Federal Communications Commission, CC Docket No. 02-6, GN Docket No. 09-51, at 3 (filed Sept. 23, 2011) (concerning E-rate goals and performance measures) (SECA September  2011 White Paper).</w:t>
      </w:r>
    </w:p>
  </w:footnote>
  <w:footnote w:id="76">
    <w:p w14:paraId="51FC1F41" w14:textId="55ADE9A0" w:rsidR="00434A8B" w:rsidRPr="00C2088B" w:rsidRDefault="00434A8B" w:rsidP="00320469">
      <w:pPr>
        <w:pStyle w:val="FootnoteText"/>
      </w:pPr>
      <w:r w:rsidRPr="006E4474">
        <w:rPr>
          <w:rStyle w:val="FootnoteReference"/>
          <w:sz w:val="20"/>
        </w:rPr>
        <w:footnoteRef/>
      </w:r>
      <w:r w:rsidRPr="006E4474">
        <w:t xml:space="preserve"> </w:t>
      </w:r>
      <w:r w:rsidR="00E33DA7" w:rsidRPr="00E33DA7">
        <w:rPr>
          <w:i/>
        </w:rPr>
        <w:t>See, e.g.,</w:t>
      </w:r>
      <w:r w:rsidRPr="00C2088B">
        <w:t xml:space="preserve">, </w:t>
      </w:r>
      <w:r w:rsidRPr="00C2088B">
        <w:rPr>
          <w:i/>
        </w:rPr>
        <w:t>2007 USF Program Management Order</w:t>
      </w:r>
      <w:r w:rsidRPr="00C2088B">
        <w:t xml:space="preserve">, 22 FCC Rcd at 16398, para. 57.  </w:t>
      </w:r>
    </w:p>
  </w:footnote>
  <w:footnote w:id="77">
    <w:p w14:paraId="5047F174" w14:textId="77777777" w:rsidR="00434A8B" w:rsidRPr="00C2088B" w:rsidRDefault="00434A8B" w:rsidP="00320469">
      <w:pPr>
        <w:pStyle w:val="FootnoteText"/>
      </w:pPr>
      <w:r w:rsidRPr="00C2088B">
        <w:rPr>
          <w:rStyle w:val="FootnoteReference"/>
          <w:sz w:val="20"/>
        </w:rPr>
        <w:footnoteRef/>
      </w:r>
      <w:r w:rsidRPr="00C2088B">
        <w:t xml:space="preserve"> </w:t>
      </w:r>
      <w:r w:rsidRPr="00C2088B">
        <w:rPr>
          <w:i/>
        </w:rPr>
        <w:t xml:space="preserve">See </w:t>
      </w:r>
      <w:r w:rsidRPr="00C2088B">
        <w:t>SECA September 2011 White Paper at 3.</w:t>
      </w:r>
    </w:p>
  </w:footnote>
  <w:footnote w:id="78">
    <w:p w14:paraId="494BAD1C" w14:textId="681E7AA5" w:rsidR="00434A8B" w:rsidRPr="00C2088B" w:rsidRDefault="00434A8B">
      <w:pPr>
        <w:pStyle w:val="FootnoteText"/>
      </w:pPr>
      <w:r w:rsidRPr="00C2088B">
        <w:rPr>
          <w:rStyle w:val="FootnoteReference"/>
          <w:sz w:val="20"/>
        </w:rPr>
        <w:footnoteRef/>
      </w:r>
      <w:r w:rsidRPr="00C2088B">
        <w:t xml:space="preserve"> </w:t>
      </w:r>
      <w:r w:rsidRPr="00C2088B">
        <w:rPr>
          <w:i/>
        </w:rPr>
        <w:t>See infra</w:t>
      </w:r>
      <w:r w:rsidRPr="00C2088B">
        <w:t xml:space="preserve"> paras. </w:t>
      </w:r>
      <w:r w:rsidRPr="00C2088B">
        <w:fldChar w:fldCharType="begin"/>
      </w:r>
      <w:r w:rsidRPr="00C2088B">
        <w:instrText xml:space="preserve"> REF _Ref360204115 \r \h </w:instrText>
      </w:r>
      <w:r>
        <w:instrText xml:space="preserve"> \* MERGEFORMAT </w:instrText>
      </w:r>
      <w:r w:rsidRPr="00C2088B">
        <w:fldChar w:fldCharType="separate"/>
      </w:r>
      <w:r w:rsidR="00A0395D">
        <w:t>20</w:t>
      </w:r>
      <w:r w:rsidRPr="00C2088B">
        <w:fldChar w:fldCharType="end"/>
      </w:r>
      <w:r w:rsidRPr="00C2088B">
        <w:t>-</w:t>
      </w:r>
      <w:r w:rsidRPr="00C2088B">
        <w:fldChar w:fldCharType="begin"/>
      </w:r>
      <w:r w:rsidRPr="00C2088B">
        <w:instrText xml:space="preserve"> REF _Ref360204131 \r \h </w:instrText>
      </w:r>
      <w:r>
        <w:instrText xml:space="preserve"> \* MERGEFORMAT </w:instrText>
      </w:r>
      <w:r w:rsidRPr="00C2088B">
        <w:fldChar w:fldCharType="separate"/>
      </w:r>
      <w:r w:rsidR="00A0395D">
        <w:t>40</w:t>
      </w:r>
      <w:r w:rsidRPr="00C2088B">
        <w:fldChar w:fldCharType="end"/>
      </w:r>
      <w:r w:rsidRPr="00C2088B">
        <w:t xml:space="preserve">, </w:t>
      </w:r>
      <w:r w:rsidRPr="00C2088B">
        <w:fldChar w:fldCharType="begin"/>
      </w:r>
      <w:r w:rsidRPr="00C2088B">
        <w:instrText xml:space="preserve"> REF _Ref360204159 \r \h </w:instrText>
      </w:r>
      <w:r>
        <w:instrText xml:space="preserve"> \* MERGEFORMAT </w:instrText>
      </w:r>
      <w:r w:rsidRPr="00C2088B">
        <w:fldChar w:fldCharType="separate"/>
      </w:r>
      <w:r w:rsidR="00A0395D">
        <w:t>43</w:t>
      </w:r>
      <w:r w:rsidRPr="00C2088B">
        <w:fldChar w:fldCharType="end"/>
      </w:r>
      <w:r w:rsidRPr="00C2088B">
        <w:t>-</w:t>
      </w:r>
      <w:r w:rsidRPr="00C2088B">
        <w:fldChar w:fldCharType="begin"/>
      </w:r>
      <w:r w:rsidRPr="00C2088B">
        <w:instrText xml:space="preserve"> REF _Ref360204166 \r \h </w:instrText>
      </w:r>
      <w:r>
        <w:instrText xml:space="preserve"> \* MERGEFORMAT </w:instrText>
      </w:r>
      <w:r w:rsidRPr="00C2088B">
        <w:fldChar w:fldCharType="separate"/>
      </w:r>
      <w:r w:rsidR="00A0395D">
        <w:t>44</w:t>
      </w:r>
      <w:r w:rsidRPr="00C2088B">
        <w:fldChar w:fldCharType="end"/>
      </w:r>
      <w:r w:rsidRPr="00C2088B">
        <w:t xml:space="preserve">, </w:t>
      </w:r>
      <w:r w:rsidRPr="00C2088B">
        <w:fldChar w:fldCharType="begin"/>
      </w:r>
      <w:r w:rsidRPr="00C2088B">
        <w:instrText xml:space="preserve"> REF _Ref360204193 \r \h </w:instrText>
      </w:r>
      <w:r>
        <w:instrText xml:space="preserve"> \* MERGEFORMAT </w:instrText>
      </w:r>
      <w:r w:rsidRPr="00C2088B">
        <w:fldChar w:fldCharType="separate"/>
      </w:r>
      <w:r w:rsidR="00A0395D">
        <w:t>47</w:t>
      </w:r>
      <w:r w:rsidRPr="00C2088B">
        <w:fldChar w:fldCharType="end"/>
      </w:r>
      <w:r w:rsidRPr="00C2088B">
        <w:t>-</w:t>
      </w:r>
      <w:r w:rsidRPr="00C2088B">
        <w:fldChar w:fldCharType="begin"/>
      </w:r>
      <w:r w:rsidRPr="00C2088B">
        <w:instrText xml:space="preserve"> REF _Ref360204205 \r \h </w:instrText>
      </w:r>
      <w:r>
        <w:instrText xml:space="preserve"> \* MERGEFORMAT </w:instrText>
      </w:r>
      <w:r w:rsidRPr="00C2088B">
        <w:fldChar w:fldCharType="separate"/>
      </w:r>
      <w:r w:rsidR="00A0395D">
        <w:t>51</w:t>
      </w:r>
      <w:r w:rsidRPr="00C2088B">
        <w:fldChar w:fldCharType="end"/>
      </w:r>
      <w:r w:rsidRPr="00C2088B">
        <w:t xml:space="preserve">. </w:t>
      </w:r>
    </w:p>
  </w:footnote>
  <w:footnote w:id="79">
    <w:p w14:paraId="35C89ED3" w14:textId="7652E54B" w:rsidR="00434A8B" w:rsidRPr="00C2088B" w:rsidRDefault="00434A8B">
      <w:pPr>
        <w:pStyle w:val="FootnoteText"/>
      </w:pPr>
      <w:r w:rsidRPr="00C2088B">
        <w:rPr>
          <w:rStyle w:val="FootnoteReference"/>
          <w:sz w:val="20"/>
        </w:rPr>
        <w:footnoteRef/>
      </w:r>
      <w:r w:rsidRPr="00C2088B">
        <w:t xml:space="preserve"> </w:t>
      </w:r>
      <w:r w:rsidRPr="00C2088B">
        <w:rPr>
          <w:i/>
        </w:rPr>
        <w:t>See</w:t>
      </w:r>
      <w:r w:rsidRPr="00C2088B">
        <w:t xml:space="preserve"> Office of Management and Budget, Office of Management and Budget: Open Government, </w:t>
      </w:r>
      <w:r w:rsidRPr="00C2088B">
        <w:rPr>
          <w:i/>
        </w:rPr>
        <w:t>available at</w:t>
      </w:r>
      <w:r w:rsidRPr="00C2088B">
        <w:t xml:space="preserve"> </w:t>
      </w:r>
      <w:hyperlink r:id="rId35" w:history="1">
        <w:r w:rsidRPr="00C2088B">
          <w:rPr>
            <w:rStyle w:val="Hyperlink"/>
          </w:rPr>
          <w:t>http://www.whitehouse.gov/omb/open</w:t>
        </w:r>
      </w:hyperlink>
      <w:r w:rsidRPr="00C2088B">
        <w:t xml:space="preserve"> (last visited July 15, 2013).</w:t>
      </w:r>
    </w:p>
  </w:footnote>
  <w:footnote w:id="80">
    <w:p w14:paraId="1261D966" w14:textId="4425D9A4" w:rsidR="00434A8B" w:rsidRPr="00C2088B" w:rsidRDefault="00434A8B" w:rsidP="00EB14DB">
      <w:pPr>
        <w:pStyle w:val="NormalWeb"/>
        <w:spacing w:before="0" w:beforeAutospacing="0" w:after="120"/>
        <w:rPr>
          <w:sz w:val="20"/>
        </w:rPr>
      </w:pPr>
      <w:r w:rsidRPr="00C2088B">
        <w:rPr>
          <w:rStyle w:val="FootnoteReference"/>
          <w:sz w:val="20"/>
        </w:rPr>
        <w:footnoteRef/>
      </w:r>
      <w:r w:rsidRPr="00C2088B">
        <w:rPr>
          <w:sz w:val="20"/>
        </w:rPr>
        <w:t xml:space="preserve"> Each FCC Form 471 (Description of Services Ordered and Certification Form) application must include a description of the products and services for which discounts are sought. This description is known as an Item 21 Attachment. Beginning with funding year 2011, Item 21 Attachments must be submitted no later than the close of the FCC Form 471 application filing window.  </w:t>
      </w:r>
      <w:r w:rsidRPr="00C2088B">
        <w:rPr>
          <w:i/>
          <w:sz w:val="20"/>
        </w:rPr>
        <w:t>See</w:t>
      </w:r>
      <w:r w:rsidRPr="00C2088B">
        <w:rPr>
          <w:sz w:val="20"/>
        </w:rPr>
        <w:t xml:space="preserve"> USAC website, Schools and Libraries, Item 21 Attachments, </w:t>
      </w:r>
      <w:r w:rsidRPr="00C2088B">
        <w:rPr>
          <w:i/>
          <w:sz w:val="20"/>
        </w:rPr>
        <w:t xml:space="preserve">available at </w:t>
      </w:r>
      <w:hyperlink r:id="rId36" w:history="1">
        <w:r w:rsidRPr="00C2088B">
          <w:rPr>
            <w:rStyle w:val="Hyperlink"/>
            <w:sz w:val="20"/>
          </w:rPr>
          <w:t>http://www.usac.org/sl/applicants/step04/item-21.aspx</w:t>
        </w:r>
      </w:hyperlink>
      <w:r w:rsidRPr="00C2088B">
        <w:rPr>
          <w:sz w:val="20"/>
        </w:rPr>
        <w:t xml:space="preserve"> (last visited July 15, 2013).</w:t>
      </w:r>
    </w:p>
  </w:footnote>
  <w:footnote w:id="81">
    <w:p w14:paraId="4EDDE589" w14:textId="670E4040" w:rsidR="00434A8B" w:rsidRPr="00DE7C42" w:rsidRDefault="00434A8B" w:rsidP="00EB14DB">
      <w:pPr>
        <w:autoSpaceDE w:val="0"/>
        <w:autoSpaceDN w:val="0"/>
        <w:adjustRightInd w:val="0"/>
        <w:spacing w:after="120"/>
        <w:rPr>
          <w:sz w:val="20"/>
        </w:rPr>
      </w:pPr>
      <w:r w:rsidRPr="00C2088B">
        <w:rPr>
          <w:rStyle w:val="FootnoteReference"/>
          <w:sz w:val="20"/>
        </w:rPr>
        <w:footnoteRef/>
      </w:r>
      <w:r w:rsidRPr="00C2088B">
        <w:rPr>
          <w:sz w:val="20"/>
        </w:rPr>
        <w:t xml:space="preserve"> The FCC Form 500 (Adjustment to Funding Commitment and Modification to Receipt of Service Confirmation Form) is used by the billed entity who filed an FCC Form 471 application and who received a commitment of funds to inform USAC that it wishes to reduce the funding commitment amount on the FRN level, or about a modification in the beginning or ending date for services received during the funding year.  </w:t>
      </w:r>
      <w:r w:rsidRPr="00C2088B">
        <w:rPr>
          <w:i/>
          <w:sz w:val="20"/>
        </w:rPr>
        <w:t>See</w:t>
      </w:r>
      <w:r w:rsidRPr="00C2088B">
        <w:rPr>
          <w:sz w:val="20"/>
        </w:rPr>
        <w:t xml:space="preserve"> USAC, Schools and Libraries, Forms, </w:t>
      </w:r>
      <w:r w:rsidRPr="00C2088B">
        <w:rPr>
          <w:i/>
          <w:sz w:val="20"/>
        </w:rPr>
        <w:t>available at</w:t>
      </w:r>
      <w:r w:rsidRPr="00C2088B">
        <w:rPr>
          <w:sz w:val="20"/>
        </w:rPr>
        <w:t xml:space="preserve"> </w:t>
      </w:r>
      <w:hyperlink r:id="rId37" w:history="1">
        <w:r w:rsidRPr="00C2088B">
          <w:rPr>
            <w:rStyle w:val="Hyperlink"/>
            <w:sz w:val="20"/>
          </w:rPr>
          <w:t>http://www.usac.org/sl/tools/forms/default.aspx</w:t>
        </w:r>
      </w:hyperlink>
      <w:r w:rsidRPr="00C2088B">
        <w:rPr>
          <w:sz w:val="20"/>
        </w:rPr>
        <w:t xml:space="preserve"> (last visited July 15, 2013).</w:t>
      </w:r>
      <w:r w:rsidRPr="00DE7C42">
        <w:rPr>
          <w:sz w:val="20"/>
        </w:rPr>
        <w:t xml:space="preserve"> </w:t>
      </w:r>
    </w:p>
  </w:footnote>
  <w:footnote w:id="82">
    <w:p w14:paraId="60C47EA9" w14:textId="3C66747B" w:rsidR="00434A8B" w:rsidRPr="00C2088B" w:rsidRDefault="00434A8B" w:rsidP="009D19BC">
      <w:pPr>
        <w:pStyle w:val="FootnoteText"/>
      </w:pPr>
      <w:r w:rsidRPr="00C2088B">
        <w:rPr>
          <w:rStyle w:val="FootnoteReference"/>
          <w:sz w:val="20"/>
        </w:rPr>
        <w:footnoteRef/>
      </w:r>
      <w:r w:rsidRPr="00C2088B">
        <w:t xml:space="preserve"> </w:t>
      </w:r>
      <w:r w:rsidRPr="00C2088B">
        <w:rPr>
          <w:i/>
        </w:rPr>
        <w:t xml:space="preserve">See </w:t>
      </w:r>
      <w:r w:rsidRPr="00C2088B">
        <w:t>U.S. Dept. of Education website, National Center for Education Statistics,</w:t>
      </w:r>
      <w:r w:rsidRPr="00C2088B">
        <w:rPr>
          <w:i/>
        </w:rPr>
        <w:t xml:space="preserve"> </w:t>
      </w:r>
      <w:r w:rsidRPr="00510855">
        <w:rPr>
          <w:i/>
        </w:rPr>
        <w:t>available at</w:t>
      </w:r>
      <w:r w:rsidRPr="00C2088B">
        <w:t xml:space="preserve"> </w:t>
      </w:r>
      <w:hyperlink r:id="rId38" w:history="1">
        <w:r w:rsidRPr="00C2088B">
          <w:rPr>
            <w:rStyle w:val="Hyperlink"/>
          </w:rPr>
          <w:t>http://nces.ed.gov/ccd/rural_locales.asp</w:t>
        </w:r>
      </w:hyperlink>
      <w:r w:rsidRPr="00C2088B">
        <w:t xml:space="preserve"> (last visited </w:t>
      </w:r>
      <w:r w:rsidRPr="004F322C">
        <w:t>May 20</w:t>
      </w:r>
      <w:r w:rsidRPr="00C2088B">
        <w:t>, 2010) (Identification or Rural Locales).</w:t>
      </w:r>
    </w:p>
  </w:footnote>
  <w:footnote w:id="83">
    <w:p w14:paraId="3627A5C2" w14:textId="77777777" w:rsidR="00434A8B" w:rsidRPr="00C2088B" w:rsidRDefault="00434A8B" w:rsidP="00A27954">
      <w:pPr>
        <w:pStyle w:val="FootnoteText"/>
      </w:pPr>
      <w:r w:rsidRPr="00C2088B">
        <w:rPr>
          <w:rStyle w:val="FootnoteReference"/>
          <w:sz w:val="20"/>
        </w:rPr>
        <w:footnoteRef/>
      </w:r>
      <w:r w:rsidRPr="00C2088B">
        <w:t xml:space="preserve"> </w:t>
      </w:r>
      <w:r w:rsidRPr="00C2088B">
        <w:rPr>
          <w:i/>
        </w:rPr>
        <w:t>See generally</w:t>
      </w:r>
      <w:r w:rsidRPr="00C2088B">
        <w:t xml:space="preserve"> 47 C.F.R. §§ 54.501 </w:t>
      </w:r>
      <w:r w:rsidRPr="00C2088B">
        <w:rPr>
          <w:i/>
        </w:rPr>
        <w:t>et seq</w:t>
      </w:r>
      <w:r w:rsidRPr="00C2088B">
        <w:t>.</w:t>
      </w:r>
    </w:p>
  </w:footnote>
  <w:footnote w:id="84">
    <w:p w14:paraId="793FB82B" w14:textId="061D8BBD" w:rsidR="00434A8B" w:rsidRPr="00C2088B" w:rsidRDefault="00434A8B">
      <w:pPr>
        <w:pStyle w:val="FootnoteText"/>
      </w:pPr>
      <w:r w:rsidRPr="00C2088B">
        <w:rPr>
          <w:rStyle w:val="FootnoteReference"/>
          <w:sz w:val="20"/>
        </w:rPr>
        <w:footnoteRef/>
      </w:r>
      <w:r w:rsidRPr="00C2088B">
        <w:t xml:space="preserve"> A copy of the ESL for FY2013 is attached hereto as Appendix B (FY 2013 ESL).</w:t>
      </w:r>
    </w:p>
  </w:footnote>
  <w:footnote w:id="85">
    <w:p w14:paraId="2A0ED3F4" w14:textId="77777777" w:rsidR="00434A8B" w:rsidRPr="00C2088B" w:rsidRDefault="00434A8B" w:rsidP="00A27954">
      <w:pPr>
        <w:pStyle w:val="FootnoteText"/>
      </w:pPr>
      <w:r w:rsidRPr="00C2088B">
        <w:rPr>
          <w:rStyle w:val="FootnoteReference"/>
          <w:sz w:val="20"/>
        </w:rPr>
        <w:footnoteRef/>
      </w:r>
      <w:r w:rsidRPr="00C2088B">
        <w:t xml:space="preserve"> </w:t>
      </w:r>
      <w:r w:rsidRPr="00C2088B">
        <w:rPr>
          <w:i/>
        </w:rPr>
        <w:t>Universal Service First Report and Order</w:t>
      </w:r>
      <w:r w:rsidRPr="00C2088B">
        <w:t>, 12 FCC Rcd at 9054, para. 529.</w:t>
      </w:r>
    </w:p>
  </w:footnote>
  <w:footnote w:id="86">
    <w:p w14:paraId="15E5EE44" w14:textId="7FB0E584" w:rsidR="00434A8B" w:rsidRPr="00C2088B" w:rsidRDefault="00434A8B" w:rsidP="00A27954">
      <w:pPr>
        <w:pStyle w:val="FootnoteText"/>
      </w:pPr>
      <w:r w:rsidRPr="00AF1B01">
        <w:rPr>
          <w:rStyle w:val="FootnoteReference"/>
          <w:sz w:val="20"/>
        </w:rPr>
        <w:footnoteRef/>
      </w:r>
      <w:r w:rsidRPr="006E4474">
        <w:t xml:space="preserve"> </w:t>
      </w:r>
      <w:r w:rsidRPr="00C2088B">
        <w:rPr>
          <w:i/>
        </w:rPr>
        <w:t>Id.</w:t>
      </w:r>
      <w:r>
        <w:t xml:space="preserve"> at 9054</w:t>
      </w:r>
      <w:r w:rsidRPr="00C2088B">
        <w:t>, para. 530.</w:t>
      </w:r>
    </w:p>
  </w:footnote>
  <w:footnote w:id="87">
    <w:p w14:paraId="00D22D9F" w14:textId="2C8DDA7D" w:rsidR="00434A8B" w:rsidRPr="00C2088B" w:rsidRDefault="00434A8B" w:rsidP="0055065E">
      <w:pPr>
        <w:pStyle w:val="FootnoteText"/>
      </w:pPr>
      <w:r w:rsidRPr="00C2088B">
        <w:rPr>
          <w:rStyle w:val="FootnoteReference"/>
          <w:sz w:val="20"/>
        </w:rPr>
        <w:footnoteRef/>
      </w:r>
      <w:r w:rsidRPr="00C2088B">
        <w:t xml:space="preserve"> </w:t>
      </w:r>
      <w:r w:rsidRPr="00C2088B">
        <w:rPr>
          <w:i/>
        </w:rPr>
        <w:t>See</w:t>
      </w:r>
      <w:r w:rsidRPr="00C2088B">
        <w:t xml:space="preserve"> </w:t>
      </w:r>
      <w:r w:rsidR="00C248B6" w:rsidRPr="00C248B6">
        <w:rPr>
          <w:i/>
        </w:rPr>
        <w:t>infra</w:t>
      </w:r>
      <w:r w:rsidRPr="00C2088B">
        <w:t xml:space="preserve"> paras. </w:t>
      </w:r>
      <w:r w:rsidRPr="00C2088B">
        <w:fldChar w:fldCharType="begin"/>
      </w:r>
      <w:r w:rsidRPr="00C2088B">
        <w:instrText xml:space="preserve"> REF _Ref360201235 \r \h  \* MERGEFORMAT </w:instrText>
      </w:r>
      <w:r w:rsidRPr="00C2088B">
        <w:fldChar w:fldCharType="separate"/>
      </w:r>
      <w:r w:rsidR="00A0395D">
        <w:t>62</w:t>
      </w:r>
      <w:r w:rsidRPr="00C2088B">
        <w:fldChar w:fldCharType="end"/>
      </w:r>
      <w:r w:rsidRPr="00C2088B">
        <w:t>-</w:t>
      </w:r>
      <w:r w:rsidRPr="00C2088B">
        <w:fldChar w:fldCharType="begin"/>
      </w:r>
      <w:r w:rsidRPr="00C2088B">
        <w:instrText xml:space="preserve"> REF _Ref361216677 \r \h </w:instrText>
      </w:r>
      <w:r>
        <w:instrText xml:space="preserve"> \* MERGEFORMAT </w:instrText>
      </w:r>
      <w:r w:rsidRPr="00C2088B">
        <w:fldChar w:fldCharType="separate"/>
      </w:r>
      <w:r w:rsidR="00A0395D">
        <w:t>63</w:t>
      </w:r>
      <w:r w:rsidRPr="00C2088B">
        <w:fldChar w:fldCharType="end"/>
      </w:r>
      <w:r w:rsidRPr="00C2088B">
        <w:t>.</w:t>
      </w:r>
    </w:p>
  </w:footnote>
  <w:footnote w:id="88">
    <w:p w14:paraId="30F26A24" w14:textId="704C07F8" w:rsidR="00434A8B" w:rsidRPr="00C2088B" w:rsidRDefault="00434A8B">
      <w:pPr>
        <w:pStyle w:val="FootnoteText"/>
      </w:pPr>
      <w:r w:rsidRPr="00C2088B">
        <w:rPr>
          <w:rStyle w:val="FootnoteReference"/>
          <w:sz w:val="20"/>
        </w:rPr>
        <w:footnoteRef/>
      </w:r>
      <w:r w:rsidRPr="00C2088B">
        <w:t xml:space="preserve"> </w:t>
      </w:r>
      <w:r w:rsidRPr="00C2088B">
        <w:rPr>
          <w:i/>
        </w:rPr>
        <w:t>See Schools and Libraries Sixth Report and Order</w:t>
      </w:r>
      <w:r w:rsidRPr="00C2088B">
        <w:t>, 25 FCC Rcd at 18780-83, paras. 35-40.</w:t>
      </w:r>
    </w:p>
  </w:footnote>
  <w:footnote w:id="89">
    <w:p w14:paraId="5EDEACD6" w14:textId="564579FB" w:rsidR="00434A8B" w:rsidRPr="00C2088B" w:rsidRDefault="00434A8B">
      <w:pPr>
        <w:pStyle w:val="FootnoteText"/>
      </w:pPr>
      <w:r w:rsidRPr="00C2088B">
        <w:rPr>
          <w:rStyle w:val="FootnoteReference"/>
          <w:sz w:val="20"/>
        </w:rPr>
        <w:footnoteRef/>
      </w:r>
      <w:r w:rsidRPr="00C2088B">
        <w:t xml:space="preserve"> The cap for FY 2013 is $2,380,314,485.  </w:t>
      </w:r>
      <w:r w:rsidRPr="00C2088B">
        <w:rPr>
          <w:i/>
        </w:rPr>
        <w:t>See Wireline Competition Bureau Announces E-rate Inflation-Based Cap for Funding Year 2013</w:t>
      </w:r>
      <w:r w:rsidRPr="00C2088B">
        <w:t xml:space="preserve">, CC Docket No. 02-6, </w:t>
      </w:r>
      <w:r w:rsidR="0023404A">
        <w:t>28 FCC Rcd 2318</w:t>
      </w:r>
      <w:r w:rsidRPr="00C2088B">
        <w:t xml:space="preserve"> (Wireline Comp. Bur. 2013).</w:t>
      </w:r>
    </w:p>
  </w:footnote>
  <w:footnote w:id="90">
    <w:p w14:paraId="1F996BB4" w14:textId="0B41924D" w:rsidR="00434A8B" w:rsidRPr="00C2088B" w:rsidRDefault="00434A8B" w:rsidP="00A27954">
      <w:pPr>
        <w:pStyle w:val="FootnoteText"/>
      </w:pPr>
      <w:r w:rsidRPr="00C2088B">
        <w:rPr>
          <w:rStyle w:val="FootnoteReference"/>
          <w:sz w:val="20"/>
        </w:rPr>
        <w:footnoteRef/>
      </w:r>
      <w:r w:rsidRPr="00C2088B">
        <w:t xml:space="preserve"> 47 C.F.R. §§ 54.505(a)-(b)</w:t>
      </w:r>
      <w:r>
        <w:t xml:space="preserve">; </w:t>
      </w:r>
      <w:r>
        <w:rPr>
          <w:i/>
        </w:rPr>
        <w:t>see also</w:t>
      </w:r>
      <w:r>
        <w:t xml:space="preserve"> Figure 1 (School and Library Discount Matrix)</w:t>
      </w:r>
      <w:r w:rsidRPr="00C2088B">
        <w:t>.</w:t>
      </w:r>
    </w:p>
  </w:footnote>
  <w:footnote w:id="91">
    <w:p w14:paraId="5BC5A9B0" w14:textId="77777777" w:rsidR="00434A8B" w:rsidRPr="00C2088B" w:rsidRDefault="00434A8B" w:rsidP="00A27954">
      <w:pPr>
        <w:pStyle w:val="FootnoteText"/>
      </w:pPr>
      <w:r w:rsidRPr="00C2088B">
        <w:rPr>
          <w:rStyle w:val="FootnoteReference"/>
          <w:sz w:val="20"/>
        </w:rPr>
        <w:footnoteRef/>
      </w:r>
      <w:r w:rsidRPr="00C2088B">
        <w:t xml:space="preserve"> 47 C.F.R. § 54.505(b).</w:t>
      </w:r>
    </w:p>
  </w:footnote>
  <w:footnote w:id="92">
    <w:p w14:paraId="490BA1D9" w14:textId="14244697" w:rsidR="00434A8B" w:rsidRPr="00C2088B" w:rsidRDefault="00434A8B" w:rsidP="00A27954">
      <w:pPr>
        <w:pStyle w:val="FootnoteText"/>
      </w:pPr>
      <w:r w:rsidRPr="00C2088B">
        <w:rPr>
          <w:rStyle w:val="FootnoteReference"/>
          <w:sz w:val="20"/>
        </w:rPr>
        <w:footnoteRef/>
      </w:r>
      <w:r w:rsidRPr="00C2088B">
        <w:t xml:space="preserve"> 47 C.F.R. § 54.505(c).  As discussed in more detail below, the Department of Agriculture’s new Community Eligibility Option (CEO) permits schools to serve free breakfasts and lunches to all students without collecting applications from student households.</w:t>
      </w:r>
      <w:r w:rsidRPr="00C2088B">
        <w:rPr>
          <w:snapToGrid w:val="0"/>
        </w:rPr>
        <w:t xml:space="preserve">  </w:t>
      </w:r>
      <w:r w:rsidRPr="00C2088B">
        <w:rPr>
          <w:i/>
          <w:snapToGrid w:val="0"/>
        </w:rPr>
        <w:t>See supra</w:t>
      </w:r>
      <w:r w:rsidRPr="00C2088B">
        <w:rPr>
          <w:snapToGrid w:val="0"/>
        </w:rPr>
        <w:t xml:space="preserve"> paras. </w:t>
      </w:r>
      <w:r w:rsidRPr="00C2088B">
        <w:rPr>
          <w:snapToGrid w:val="0"/>
        </w:rPr>
        <w:fldChar w:fldCharType="begin"/>
      </w:r>
      <w:r w:rsidRPr="00C2088B">
        <w:rPr>
          <w:snapToGrid w:val="0"/>
        </w:rPr>
        <w:instrText xml:space="preserve"> REF _Ref360203349 \r \h </w:instrText>
      </w:r>
      <w:r>
        <w:rPr>
          <w:snapToGrid w:val="0"/>
        </w:rPr>
        <w:instrText xml:space="preserve"> \* MERGEFORMAT </w:instrText>
      </w:r>
      <w:r w:rsidRPr="00C2088B">
        <w:rPr>
          <w:snapToGrid w:val="0"/>
        </w:rPr>
      </w:r>
      <w:r w:rsidRPr="00C2088B">
        <w:rPr>
          <w:snapToGrid w:val="0"/>
        </w:rPr>
        <w:fldChar w:fldCharType="separate"/>
      </w:r>
      <w:r w:rsidR="00A0395D">
        <w:rPr>
          <w:snapToGrid w:val="0"/>
        </w:rPr>
        <w:t>283</w:t>
      </w:r>
      <w:r w:rsidRPr="00C2088B">
        <w:rPr>
          <w:snapToGrid w:val="0"/>
        </w:rPr>
        <w:fldChar w:fldCharType="end"/>
      </w:r>
      <w:r w:rsidRPr="00C2088B">
        <w:rPr>
          <w:snapToGrid w:val="0"/>
        </w:rPr>
        <w:t>-</w:t>
      </w:r>
      <w:r w:rsidRPr="00C2088B">
        <w:rPr>
          <w:snapToGrid w:val="0"/>
        </w:rPr>
        <w:fldChar w:fldCharType="begin"/>
      </w:r>
      <w:r w:rsidRPr="00C2088B">
        <w:rPr>
          <w:snapToGrid w:val="0"/>
        </w:rPr>
        <w:instrText xml:space="preserve"> REF _Ref360203366 \r \h </w:instrText>
      </w:r>
      <w:r>
        <w:rPr>
          <w:snapToGrid w:val="0"/>
        </w:rPr>
        <w:instrText xml:space="preserve"> \* MERGEFORMAT </w:instrText>
      </w:r>
      <w:r w:rsidRPr="00C2088B">
        <w:rPr>
          <w:snapToGrid w:val="0"/>
        </w:rPr>
      </w:r>
      <w:r w:rsidRPr="00C2088B">
        <w:rPr>
          <w:snapToGrid w:val="0"/>
        </w:rPr>
        <w:fldChar w:fldCharType="separate"/>
      </w:r>
      <w:r w:rsidR="00A0395D">
        <w:rPr>
          <w:snapToGrid w:val="0"/>
        </w:rPr>
        <w:t>286</w:t>
      </w:r>
      <w:r w:rsidRPr="00C2088B">
        <w:rPr>
          <w:snapToGrid w:val="0"/>
        </w:rPr>
        <w:fldChar w:fldCharType="end"/>
      </w:r>
      <w:r w:rsidRPr="00C2088B">
        <w:rPr>
          <w:snapToGrid w:val="0"/>
        </w:rPr>
        <w:t>.</w:t>
      </w:r>
    </w:p>
  </w:footnote>
  <w:footnote w:id="93">
    <w:p w14:paraId="5E4CE4A9" w14:textId="77777777" w:rsidR="00434A8B" w:rsidRPr="00C2088B" w:rsidRDefault="00434A8B" w:rsidP="00A27954">
      <w:pPr>
        <w:pStyle w:val="FootnoteText"/>
      </w:pPr>
      <w:r w:rsidRPr="00C2088B">
        <w:rPr>
          <w:rStyle w:val="FootnoteReference"/>
          <w:sz w:val="20"/>
        </w:rPr>
        <w:footnoteRef/>
      </w:r>
      <w:r w:rsidRPr="00C2088B">
        <w:t xml:space="preserve"> 47 C.F.R. § 54.505(b)(3).</w:t>
      </w:r>
    </w:p>
  </w:footnote>
  <w:footnote w:id="94">
    <w:p w14:paraId="46ED17A3" w14:textId="77777777" w:rsidR="00434A8B" w:rsidRPr="00C2088B" w:rsidRDefault="00434A8B" w:rsidP="00A27954">
      <w:pPr>
        <w:pStyle w:val="FootnoteText"/>
      </w:pPr>
      <w:r w:rsidRPr="00C2088B">
        <w:rPr>
          <w:rStyle w:val="FootnoteReference"/>
          <w:sz w:val="20"/>
        </w:rPr>
        <w:footnoteRef/>
      </w:r>
      <w:r w:rsidRPr="00C2088B">
        <w:t xml:space="preserve"> 47 C.F.R. § 54.507(g)(1)(i).</w:t>
      </w:r>
    </w:p>
  </w:footnote>
  <w:footnote w:id="95">
    <w:p w14:paraId="10B0A5CE" w14:textId="77777777" w:rsidR="00434A8B" w:rsidRPr="00C2088B" w:rsidRDefault="00434A8B" w:rsidP="00A27954">
      <w:pPr>
        <w:pStyle w:val="FootnoteText"/>
      </w:pPr>
      <w:r w:rsidRPr="00C2088B">
        <w:rPr>
          <w:rStyle w:val="FootnoteReference"/>
          <w:sz w:val="20"/>
        </w:rPr>
        <w:footnoteRef/>
      </w:r>
      <w:r w:rsidRPr="00C2088B">
        <w:t xml:space="preserve"> 47 C.F.R. § 54.507(g)(1)(ii); 47 C.F.R. § 54.505(c).</w:t>
      </w:r>
    </w:p>
  </w:footnote>
  <w:footnote w:id="96">
    <w:p w14:paraId="63D57E4A" w14:textId="0A3F334B" w:rsidR="00434A8B" w:rsidRPr="00C2088B" w:rsidRDefault="00434A8B" w:rsidP="00A27954">
      <w:pPr>
        <w:pStyle w:val="FootnoteText"/>
      </w:pPr>
      <w:r w:rsidRPr="00C2088B">
        <w:rPr>
          <w:rStyle w:val="FootnoteReference"/>
          <w:sz w:val="20"/>
        </w:rPr>
        <w:footnoteRef/>
      </w:r>
      <w:r w:rsidRPr="00C2088B">
        <w:t xml:space="preserve"> </w:t>
      </w:r>
      <w:r w:rsidRPr="00C2088B">
        <w:rPr>
          <w:i/>
        </w:rPr>
        <w:t>See</w:t>
      </w:r>
      <w:r w:rsidRPr="00C2088B">
        <w:t xml:space="preserve"> USAC, Schools and Libraries, USAC Automated Search of Commitments, </w:t>
      </w:r>
      <w:r w:rsidRPr="00C2088B">
        <w:rPr>
          <w:i/>
        </w:rPr>
        <w:t>available at</w:t>
      </w:r>
      <w:r w:rsidRPr="00C2088B">
        <w:t xml:space="preserve"> </w:t>
      </w:r>
      <w:hyperlink r:id="rId39" w:history="1">
        <w:r w:rsidRPr="00C2088B">
          <w:rPr>
            <w:rStyle w:val="Hyperlink"/>
          </w:rPr>
          <w:t>http://www.usac.org/sl/tools/commitments-search/Default.aspx</w:t>
        </w:r>
      </w:hyperlink>
      <w:r w:rsidRPr="00C2088B">
        <w:t xml:space="preserve"> (last visited July 15, 2013).</w:t>
      </w:r>
    </w:p>
  </w:footnote>
  <w:footnote w:id="97">
    <w:p w14:paraId="105ACE67" w14:textId="0013FE88" w:rsidR="00434A8B" w:rsidRPr="00C2088B" w:rsidRDefault="00434A8B">
      <w:pPr>
        <w:pStyle w:val="FootnoteText"/>
      </w:pPr>
      <w:r w:rsidRPr="00C2088B">
        <w:rPr>
          <w:rStyle w:val="FootnoteReference"/>
          <w:sz w:val="20"/>
        </w:rPr>
        <w:footnoteRef/>
      </w:r>
      <w:r w:rsidRPr="00C2088B">
        <w:t xml:space="preserve"> </w:t>
      </w:r>
      <w:r w:rsidRPr="00C2088B">
        <w:rPr>
          <w:i/>
        </w:rPr>
        <w:t>See</w:t>
      </w:r>
      <w:r w:rsidRPr="00C2088B">
        <w:t xml:space="preserve"> </w:t>
      </w:r>
      <w:r w:rsidR="00C248B6" w:rsidRPr="00C248B6">
        <w:rPr>
          <w:i/>
        </w:rPr>
        <w:t>infra</w:t>
      </w:r>
      <w:r w:rsidRPr="00C2088B">
        <w:t xml:space="preserve"> para. </w:t>
      </w:r>
      <w:r w:rsidRPr="00C2088B">
        <w:fldChar w:fldCharType="begin"/>
      </w:r>
      <w:r w:rsidRPr="00C2088B">
        <w:instrText xml:space="preserve"> REF _Ref360203402 \r \h  \* MERGEFORMAT </w:instrText>
      </w:r>
      <w:r w:rsidRPr="00C2088B">
        <w:fldChar w:fldCharType="separate"/>
      </w:r>
      <w:r w:rsidR="00A0395D">
        <w:t>255</w:t>
      </w:r>
      <w:r w:rsidRPr="00C2088B">
        <w:fldChar w:fldCharType="end"/>
      </w:r>
      <w:r w:rsidRPr="00C2088B">
        <w:t>.</w:t>
      </w:r>
    </w:p>
  </w:footnote>
  <w:footnote w:id="98">
    <w:p w14:paraId="06AD0004" w14:textId="398802C2" w:rsidR="00434A8B" w:rsidRPr="00C2088B" w:rsidRDefault="00434A8B" w:rsidP="00474244">
      <w:pPr>
        <w:pStyle w:val="FootnoteText"/>
      </w:pPr>
      <w:r w:rsidRPr="00C2088B">
        <w:rPr>
          <w:rStyle w:val="FootnoteReference"/>
          <w:sz w:val="20"/>
        </w:rPr>
        <w:footnoteRef/>
      </w:r>
      <w:r w:rsidRPr="00C2088B">
        <w:t xml:space="preserve"> </w:t>
      </w:r>
      <w:r>
        <w:t>For</w:t>
      </w:r>
      <w:r w:rsidRPr="00C2088B">
        <w:t xml:space="preserve"> funding year 2010, the Bureau directed USAC to make funding available at all priority two discount levels.  It made this determination in light of USAC’s announcement that there was additional funding available in the schools and libraries reserve accounts to fund all the applicants.  </w:t>
      </w:r>
      <w:r w:rsidRPr="00C2088B">
        <w:rPr>
          <w:i/>
        </w:rPr>
        <w:t>See Funds For Learning, LLC Petition to Reject the Administrator’s Discount Threshold Recommendation for Funding Year 2010</w:t>
      </w:r>
      <w:r w:rsidRPr="00C2088B">
        <w:t xml:space="preserve">, </w:t>
      </w:r>
      <w:r w:rsidRPr="00C2088B">
        <w:rPr>
          <w:i/>
        </w:rPr>
        <w:t>Schools and Libraries Universal Service Support Program</w:t>
      </w:r>
      <w:r w:rsidRPr="00C2088B">
        <w:t xml:space="preserve">, CC Docket No. 02-6, Order, 26 FCC Rcd 11145, 11148-49, para. 9 (Wireline Comp. Bur. 2011); </w:t>
      </w:r>
      <w:r w:rsidRPr="00C2088B">
        <w:rPr>
          <w:i/>
        </w:rPr>
        <w:t xml:space="preserve">see also </w:t>
      </w:r>
      <w:r w:rsidRPr="00C2088B">
        <w:t xml:space="preserve">USAC Fund Size Projections for 4Q 2011 at 41 (Aug. 2, 2011), </w:t>
      </w:r>
      <w:r w:rsidRPr="00C2088B">
        <w:rPr>
          <w:i/>
        </w:rPr>
        <w:t>available at</w:t>
      </w:r>
      <w:r w:rsidRPr="00C2088B">
        <w:t xml:space="preserve"> </w:t>
      </w:r>
      <w:hyperlink r:id="rId40" w:history="1">
        <w:r w:rsidRPr="00C2088B">
          <w:rPr>
            <w:rStyle w:val="Hyperlink"/>
          </w:rPr>
          <w:t>http://www.usac.org/about/tools/fcc/filings/2011/Q4/4Q2011%20Quarterly%20Demand%20Filing.pdf</w:t>
        </w:r>
      </w:hyperlink>
      <w:r w:rsidRPr="00C2088B" w:rsidDel="005C31DA">
        <w:t xml:space="preserve"> </w:t>
      </w:r>
      <w:r w:rsidRPr="00C2088B">
        <w:t>(last visited July 15, 2013) (USAC Fourth Quarter 2011 Fund Size Projection).</w:t>
      </w:r>
    </w:p>
  </w:footnote>
  <w:footnote w:id="99">
    <w:p w14:paraId="35E64E94" w14:textId="3936A327" w:rsidR="00434A8B" w:rsidRPr="00C2088B" w:rsidRDefault="00434A8B" w:rsidP="00474244">
      <w:pPr>
        <w:pStyle w:val="FootnoteText"/>
      </w:pPr>
      <w:r w:rsidRPr="00C2088B">
        <w:rPr>
          <w:rStyle w:val="FootnoteReference"/>
          <w:sz w:val="20"/>
        </w:rPr>
        <w:footnoteRef/>
      </w:r>
      <w:r w:rsidRPr="00C2088B">
        <w:t xml:space="preserve"> </w:t>
      </w:r>
      <w:r w:rsidRPr="00C2088B">
        <w:rPr>
          <w:i/>
        </w:rPr>
        <w:t>See, e.g.</w:t>
      </w:r>
      <w:r w:rsidRPr="00C2088B">
        <w:t xml:space="preserve">, USAC Schools and Libraries News Brief (dated Apr. 11, 2008), </w:t>
      </w:r>
      <w:r w:rsidRPr="00C2088B">
        <w:rPr>
          <w:i/>
        </w:rPr>
        <w:t xml:space="preserve">available at </w:t>
      </w:r>
      <w:hyperlink r:id="rId41" w:history="1">
        <w:r w:rsidRPr="00C2088B">
          <w:rPr>
            <w:rStyle w:val="Hyperlink"/>
          </w:rPr>
          <w:t>http://www.usac.org/sl/tools/news-briefs/preview.aspx?id=155</w:t>
        </w:r>
      </w:hyperlink>
      <w:r>
        <w:rPr>
          <w:rStyle w:val="Hyperlink"/>
        </w:rPr>
        <w:t xml:space="preserve"> </w:t>
      </w:r>
      <w:r w:rsidRPr="00C2088B">
        <w:t>(last visited July 15, 2013)</w:t>
      </w:r>
      <w:r w:rsidRPr="00C2088B">
        <w:rPr>
          <w:i/>
        </w:rPr>
        <w:t xml:space="preserve"> </w:t>
      </w:r>
      <w:r w:rsidRPr="00C2088B">
        <w:t xml:space="preserve">(setting the funding year 2007 denial threshold); USAC Schools and Libraries News Brief (dated July 6, 2007), </w:t>
      </w:r>
      <w:r w:rsidRPr="00C2088B">
        <w:rPr>
          <w:i/>
        </w:rPr>
        <w:t xml:space="preserve">available at </w:t>
      </w:r>
      <w:r w:rsidRPr="00C2088B">
        <w:t xml:space="preserve"> </w:t>
      </w:r>
      <w:hyperlink r:id="rId42" w:history="1">
        <w:r w:rsidRPr="00C2088B">
          <w:rPr>
            <w:rStyle w:val="Hyperlink"/>
          </w:rPr>
          <w:t>http://www.usac.org/sl/tools/news-briefs/preview.aspx?id=98</w:t>
        </w:r>
      </w:hyperlink>
      <w:r w:rsidRPr="00C2088B">
        <w:t xml:space="preserve"> (last visited July 15, 2013) (setting the funding year 2006 priority two threshold).  In funding year 2003, priority two funding was available at the 70</w:t>
      </w:r>
      <w:r>
        <w:t>%</w:t>
      </w:r>
      <w:r w:rsidRPr="00C2088B">
        <w:t xml:space="preserve"> discount level due to a $420 million rollover of unused E-rate funds.  </w:t>
      </w:r>
      <w:r w:rsidRPr="00C2088B">
        <w:rPr>
          <w:i/>
        </w:rPr>
        <w:t>See Schools and Libraries Universal Service Support Mechanism</w:t>
      </w:r>
      <w:r w:rsidRPr="00C2088B">
        <w:t>, CC Docket No. 02-6,</w:t>
      </w:r>
      <w:r w:rsidRPr="00C2088B">
        <w:rPr>
          <w:i/>
        </w:rPr>
        <w:t xml:space="preserve"> </w:t>
      </w:r>
      <w:r w:rsidRPr="00C2088B">
        <w:t>Third Report and Order, 18 FCC Rcd 26912, 26935, para. 57 (carrying forward funds that were projected to be unused in the first quarter of 2004 for use through June 30, 2004) (</w:t>
      </w:r>
      <w:r w:rsidRPr="00C2088B">
        <w:rPr>
          <w:i/>
        </w:rPr>
        <w:t>Schools and Libraries Third Report and Order</w:t>
      </w:r>
      <w:r w:rsidRPr="00C2088B">
        <w:t>).</w:t>
      </w:r>
    </w:p>
  </w:footnote>
  <w:footnote w:id="100">
    <w:p w14:paraId="36198822" w14:textId="2D151AA7" w:rsidR="00434A8B" w:rsidRPr="00C2088B" w:rsidRDefault="00434A8B" w:rsidP="003B5E76">
      <w:pPr>
        <w:pStyle w:val="FootnoteText"/>
      </w:pPr>
      <w:r w:rsidRPr="00C2088B">
        <w:rPr>
          <w:rStyle w:val="FootnoteReference"/>
          <w:sz w:val="20"/>
        </w:rPr>
        <w:footnoteRef/>
      </w:r>
      <w:r w:rsidRPr="00C2088B">
        <w:t xml:space="preserve"> </w:t>
      </w:r>
      <w:r w:rsidRPr="00C2088B">
        <w:rPr>
          <w:i/>
        </w:rPr>
        <w:t xml:space="preserve">See </w:t>
      </w:r>
      <w:r w:rsidRPr="00C2088B">
        <w:t>Funds for Learning,</w:t>
      </w:r>
      <w:r w:rsidRPr="004F322C">
        <w:t xml:space="preserve"> </w:t>
      </w:r>
      <w:r w:rsidRPr="00C2088B">
        <w:t xml:space="preserve">USF for Schools and Libraries, Funding Year 2013 and Beyond, Growing to Meet the Needs of Students and Library Patrons at 12 (Feb. 2013),  </w:t>
      </w:r>
      <w:hyperlink r:id="rId43" w:history="1">
        <w:r w:rsidRPr="00C2088B">
          <w:rPr>
            <w:rStyle w:val="Hyperlink"/>
          </w:rPr>
          <w:t>http://www.fundsforlearning.com/FFLProposal.php</w:t>
        </w:r>
      </w:hyperlink>
      <w:r w:rsidRPr="00C2088B">
        <w:t xml:space="preserve"> (last visited July 15, 2013) (FFL Feb. 2013 Rep.); E-rate Central, News for the Week, Dec. 17, 2012, </w:t>
      </w:r>
      <w:hyperlink r:id="rId44" w:anchor="b2" w:history="1">
        <w:r w:rsidRPr="00C2088B">
          <w:rPr>
            <w:rStyle w:val="Hyperlink"/>
          </w:rPr>
          <w:t>http://www.e-ratecentral.com/archive/News/News2012/weekly_news_2012_1217.asp#b2</w:t>
        </w:r>
      </w:hyperlink>
      <w:r w:rsidRPr="00C2088B">
        <w:t xml:space="preserve"> (last visited July 15, 2013) (E-Rate Central Newsletter, Dec. 17, 2012).</w:t>
      </w:r>
    </w:p>
  </w:footnote>
  <w:footnote w:id="101">
    <w:p w14:paraId="0C8849B6" w14:textId="01D8F85D" w:rsidR="00434A8B" w:rsidRPr="00C2088B" w:rsidRDefault="00434A8B" w:rsidP="003B5E76">
      <w:pPr>
        <w:pStyle w:val="FootnoteText"/>
      </w:pPr>
      <w:r w:rsidRPr="00C2088B">
        <w:rPr>
          <w:rStyle w:val="FootnoteReference"/>
          <w:sz w:val="20"/>
        </w:rPr>
        <w:footnoteRef/>
      </w:r>
      <w:r w:rsidRPr="00C2088B">
        <w:t xml:space="preserve"> </w:t>
      </w:r>
      <w:r w:rsidRPr="00C2088B">
        <w:rPr>
          <w:i/>
        </w:rPr>
        <w:t xml:space="preserve">See </w:t>
      </w:r>
      <w:r w:rsidRPr="00C2088B">
        <w:t>2013 USAC Demand Letter.</w:t>
      </w:r>
    </w:p>
  </w:footnote>
  <w:footnote w:id="102">
    <w:p w14:paraId="638077EC" w14:textId="0E95E054" w:rsidR="00434A8B" w:rsidRPr="00C2088B" w:rsidRDefault="00434A8B" w:rsidP="003B5E76">
      <w:pPr>
        <w:pStyle w:val="FootnoteText"/>
      </w:pPr>
      <w:r w:rsidRPr="00C2088B">
        <w:rPr>
          <w:rStyle w:val="FootnoteReference"/>
          <w:sz w:val="20"/>
        </w:rPr>
        <w:footnoteRef/>
      </w:r>
      <w:r w:rsidRPr="00C2088B">
        <w:t xml:space="preserve"> </w:t>
      </w:r>
      <w:r w:rsidRPr="00C2088B">
        <w:rPr>
          <w:i/>
        </w:rPr>
        <w:t xml:space="preserve">See </w:t>
      </w:r>
      <w:r w:rsidRPr="00C2088B">
        <w:t>E-rate Central Newsletter, Dec. 17, 2012.</w:t>
      </w:r>
    </w:p>
  </w:footnote>
  <w:footnote w:id="103">
    <w:p w14:paraId="52858A66" w14:textId="52855D38" w:rsidR="00434A8B" w:rsidRPr="00C2088B" w:rsidRDefault="00434A8B" w:rsidP="003B5E76">
      <w:pPr>
        <w:pStyle w:val="FootnoteText"/>
      </w:pPr>
      <w:r w:rsidRPr="00C2088B">
        <w:rPr>
          <w:rStyle w:val="FootnoteReference"/>
          <w:sz w:val="20"/>
        </w:rPr>
        <w:footnoteRef/>
      </w:r>
      <w:r w:rsidRPr="00C2088B">
        <w:t xml:space="preserve"> </w:t>
      </w:r>
      <w:r w:rsidRPr="00C2088B">
        <w:rPr>
          <w:i/>
        </w:rPr>
        <w:t xml:space="preserve">See </w:t>
      </w:r>
      <w:r w:rsidRPr="00C2088B">
        <w:t xml:space="preserve">Wireline Competition Bureau Announces Carry Forward of Unused Schools and Libraries Universal Service Funds for Funding Year 2013, CC Docket No, 02-6, </w:t>
      </w:r>
      <w:r w:rsidR="00C6443B" w:rsidRPr="00C6443B">
        <w:t>28</w:t>
      </w:r>
      <w:r w:rsidR="00C6443B">
        <w:t xml:space="preserve"> FCC Rcd </w:t>
      </w:r>
      <w:r w:rsidR="00C6443B" w:rsidRPr="00C6443B">
        <w:t xml:space="preserve">7239 </w:t>
      </w:r>
      <w:r w:rsidRPr="00C2088B">
        <w:t>(Wireline Comp. Bur. 2013).</w:t>
      </w:r>
    </w:p>
  </w:footnote>
  <w:footnote w:id="104">
    <w:p w14:paraId="681B59F2" w14:textId="77777777" w:rsidR="00434A8B" w:rsidRPr="00C2088B" w:rsidRDefault="00434A8B" w:rsidP="003B5E76">
      <w:pPr>
        <w:pStyle w:val="FootnoteText"/>
        <w:rPr>
          <w:i/>
        </w:rPr>
      </w:pPr>
      <w:r w:rsidRPr="00C2088B">
        <w:rPr>
          <w:rStyle w:val="FootnoteReference"/>
          <w:sz w:val="20"/>
        </w:rPr>
        <w:footnoteRef/>
      </w:r>
      <w:r w:rsidRPr="00C2088B">
        <w:t xml:space="preserve"> </w:t>
      </w:r>
      <w:r w:rsidRPr="00C2088B">
        <w:rPr>
          <w:i/>
        </w:rPr>
        <w:t>Id.</w:t>
      </w:r>
    </w:p>
  </w:footnote>
  <w:footnote w:id="105">
    <w:p w14:paraId="7C569285" w14:textId="5EDF9C49" w:rsidR="00434A8B" w:rsidRPr="00C2088B" w:rsidRDefault="00434A8B" w:rsidP="003B5E76">
      <w:pPr>
        <w:pStyle w:val="FootnoteText"/>
      </w:pPr>
      <w:r w:rsidRPr="00C2088B">
        <w:rPr>
          <w:rStyle w:val="FootnoteReference"/>
          <w:sz w:val="20"/>
        </w:rPr>
        <w:footnoteRef/>
      </w:r>
      <w:r w:rsidRPr="00C2088B">
        <w:t xml:space="preserve"> </w:t>
      </w:r>
      <w:r w:rsidRPr="00C2088B">
        <w:rPr>
          <w:i/>
        </w:rPr>
        <w:t xml:space="preserve">See. e.g., </w:t>
      </w:r>
      <w:r w:rsidRPr="00C2088B">
        <w:t xml:space="preserve">E-rate Central, News for the Week, Apr. 29, 2013, </w:t>
      </w:r>
      <w:hyperlink r:id="rId45" w:anchor="b2" w:history="1">
        <w:r w:rsidRPr="00C2088B">
          <w:rPr>
            <w:rStyle w:val="Hyperlink"/>
          </w:rPr>
          <w:t>http://www.e-ratecentral.com/archive/News/News2013/weekly_news_2013_0429.asp#b2</w:t>
        </w:r>
      </w:hyperlink>
      <w:r w:rsidRPr="00C2088B">
        <w:t xml:space="preserve"> (last visited July 15, 2013)</w:t>
      </w:r>
      <w:r w:rsidRPr="00C2088B">
        <w:rPr>
          <w:color w:val="000000"/>
        </w:rPr>
        <w:t xml:space="preserve"> (indicating that over the past six years, actual commitments, as a percent of preliminary demand, have ranged from 80-90%, averaging 84% and this would mean that for funding year 2013, at the high 90% level, USAC would require $50 million in roll-over funding to fully fund priority one requests).</w:t>
      </w:r>
    </w:p>
  </w:footnote>
  <w:footnote w:id="106">
    <w:p w14:paraId="203FF0F4" w14:textId="77777777" w:rsidR="00434A8B" w:rsidRPr="00C2088B" w:rsidRDefault="00434A8B" w:rsidP="003B5E76">
      <w:pPr>
        <w:pStyle w:val="FootnoteText"/>
      </w:pPr>
      <w:r w:rsidRPr="00C2088B">
        <w:rPr>
          <w:rStyle w:val="FootnoteReference"/>
          <w:sz w:val="20"/>
        </w:rPr>
        <w:footnoteRef/>
      </w:r>
      <w:r w:rsidRPr="00C2088B">
        <w:t xml:space="preserve"> </w:t>
      </w:r>
      <w:r w:rsidRPr="00C2088B">
        <w:rPr>
          <w:i/>
        </w:rPr>
        <w:t xml:space="preserve">See, </w:t>
      </w:r>
      <w:r w:rsidRPr="00C2088B">
        <w:t>FFL Feb. 2013 Rep. at 4, 11-13 (predicting that there will be a shortfall in funding for telecommunications services and Internet access by funding year 2014).</w:t>
      </w:r>
    </w:p>
  </w:footnote>
  <w:footnote w:id="107">
    <w:p w14:paraId="5F615549" w14:textId="7D99238F" w:rsidR="00434A8B" w:rsidRPr="00C2088B" w:rsidRDefault="00434A8B" w:rsidP="00A27954">
      <w:pPr>
        <w:pStyle w:val="FootnoteText"/>
      </w:pPr>
      <w:r w:rsidRPr="00C2088B">
        <w:rPr>
          <w:rStyle w:val="FootnoteReference"/>
          <w:sz w:val="20"/>
        </w:rPr>
        <w:footnoteRef/>
      </w:r>
      <w:r w:rsidRPr="00C2088B">
        <w:t xml:space="preserve"> </w:t>
      </w:r>
      <w:r w:rsidRPr="004F322C">
        <w:rPr>
          <w:i/>
        </w:rPr>
        <w:t xml:space="preserve">See </w:t>
      </w:r>
      <w:r>
        <w:rPr>
          <w:i/>
        </w:rPr>
        <w:t xml:space="preserve">infra </w:t>
      </w:r>
      <w:r w:rsidRPr="00C2088B">
        <w:t>Appendix C which shows E-rate funding requests vs. disbursed and available fund</w:t>
      </w:r>
      <w:r w:rsidR="00414DF2">
        <w:t>s</w:t>
      </w:r>
      <w:r w:rsidRPr="00C2088B">
        <w:t>.  We retrieved the data for Appendix C by reviewing the committed funds reported in USAC’s fund size projections filing.  USAC, Federal Universal Service Support Mechanisms Fund Size Projections for Second Quarter 2013, CC Docket No. 02-6, at 31-35 (filed Jan. 31, 2013).  For the requested funds, we retrieved data from USAC’s demand estimates.  USAC, Estimate of Demand for Schools and Libraries Universal Service Support Mechanism for Funding Year 2012, CC Docket No. 02-6 (filed April 20, 2012); Estimate of Demand for Schools and Libraries Universal Service Support Mechanism for Funding Year 2011, CC Docket No. 02-6 (filed April 12, 2011); Estimate of Demand for Schools and Libraries Universal Service Support Mechanism for Funding Year 2010, CC Docket No. 02-6 (filed March 10, 2010); Estimate of Demand for Schools and Libraries Universal Service Support Mechanism for Funding Year 2009, CC Docket No. 02-6 (filed March 10, 2009); Estimate of Demand for Schools and Libraries Universal Service Support Mechanism for Funding Year 2008, CC Docket No. 02-6 (filed February 29, 2008).</w:t>
      </w:r>
      <w:r>
        <w:t xml:space="preserve">  For the available funds data, we added the amount of the annual cap to the carry-forward amount available each funding year and subtracted USAC’s E-rate-related administrative expenses. </w:t>
      </w:r>
    </w:p>
  </w:footnote>
  <w:footnote w:id="108">
    <w:p w14:paraId="3411C356" w14:textId="0F5433D9" w:rsidR="00434A8B" w:rsidRPr="00C2088B" w:rsidRDefault="00434A8B">
      <w:pPr>
        <w:pStyle w:val="FootnoteText"/>
      </w:pPr>
      <w:r w:rsidRPr="00C2088B">
        <w:rPr>
          <w:rStyle w:val="FootnoteReference"/>
          <w:sz w:val="20"/>
        </w:rPr>
        <w:footnoteRef/>
      </w:r>
      <w:r w:rsidRPr="00C2088B">
        <w:t xml:space="preserve"> An IRU is an agreement that provides the recipient with an indefeasible right to use facilities for a certain period of time that is commensurate with the remaining useful life of the asset (usually 20 years, although the parties may negotiate a different term).  As a contract law matter, an IRU differs from a lease because it confers on the grantee the vestiges of ownership.  </w:t>
      </w:r>
      <w:r w:rsidRPr="00C2088B">
        <w:rPr>
          <w:i/>
        </w:rPr>
        <w:t>Rural Health Care Support Mechanism</w:t>
      </w:r>
      <w:r w:rsidRPr="00C2088B">
        <w:t xml:space="preserve">, WC Docket No. 02-60, Notice of Proposed Rulemaking, </w:t>
      </w:r>
      <w:hyperlink r:id="rId46" w:tgtFrame="_top" w:history="1">
        <w:r w:rsidRPr="00C2088B">
          <w:t xml:space="preserve"> 25 FCC Rcd 9371, 9395-96, para. 56</w:t>
        </w:r>
      </w:hyperlink>
      <w:r w:rsidRPr="00C2088B">
        <w:t xml:space="preserve"> (2010).  For purposes of the E-rate program, however, the Commission has chosen to treat dark fiber IRUs as </w:t>
      </w:r>
      <w:r>
        <w:t>“</w:t>
      </w:r>
      <w:r w:rsidRPr="00C2088B">
        <w:t>leases.</w:t>
      </w:r>
      <w:r>
        <w:t>”</w:t>
      </w:r>
      <w:r w:rsidRPr="00C2088B">
        <w:t xml:space="preserve"> </w:t>
      </w:r>
      <w:hyperlink r:id="rId47" w:tgtFrame="_top" w:history="1">
        <w:r w:rsidRPr="00C2088B">
          <w:rPr>
            <w:i/>
          </w:rPr>
          <w:t xml:space="preserve"> Schools and Libraries Sixth Report and Order</w:t>
        </w:r>
        <w:r w:rsidRPr="00C2088B">
          <w:t>, 25 FCC Rcd at 18772, para. 19, n.51</w:t>
        </w:r>
      </w:hyperlink>
      <w:r w:rsidRPr="00C2088B">
        <w:t>.  We similarly treat IRUs and leases as interchangeable for purposes of the Healthcare Connect Fund, especially with respect to upfront payments.</w:t>
      </w:r>
    </w:p>
  </w:footnote>
  <w:footnote w:id="109">
    <w:p w14:paraId="287F90B6" w14:textId="373D9A27" w:rsidR="00434A8B" w:rsidRPr="00C2088B" w:rsidRDefault="00434A8B">
      <w:pPr>
        <w:pStyle w:val="FootnoteText"/>
      </w:pPr>
      <w:r w:rsidRPr="00C2088B">
        <w:rPr>
          <w:rStyle w:val="FootnoteReference"/>
          <w:sz w:val="20"/>
        </w:rPr>
        <w:footnoteRef/>
      </w:r>
      <w:r w:rsidRPr="00C2088B">
        <w:t xml:space="preserve"> </w:t>
      </w:r>
      <w:r w:rsidRPr="00C2088B">
        <w:rPr>
          <w:i/>
        </w:rPr>
        <w:t>See Schools and Libraries Sixth Report and Order</w:t>
      </w:r>
      <w:r w:rsidRPr="00C2088B">
        <w:t xml:space="preserve">, 25 FCC Rcd at 18766-73, paras. 9-19. </w:t>
      </w:r>
    </w:p>
  </w:footnote>
  <w:footnote w:id="110">
    <w:p w14:paraId="40DF611F" w14:textId="7EF55771" w:rsidR="00434A8B" w:rsidRPr="00C2088B" w:rsidRDefault="00434A8B" w:rsidP="00A27954">
      <w:pPr>
        <w:pStyle w:val="FootnoteText"/>
      </w:pPr>
      <w:r w:rsidRPr="00C2088B">
        <w:rPr>
          <w:rStyle w:val="FootnoteReference"/>
          <w:sz w:val="20"/>
        </w:rPr>
        <w:footnoteRef/>
      </w:r>
      <w:r w:rsidRPr="00C2088B">
        <w:t xml:space="preserve"> Modulating electronics necessary to light dark fiber that is leaving the school or library premises are unsupported by the E-rate program while the electronics needed to light dark fiber can be eligible if the equipment meets the definition of priority two internal connections.  </w:t>
      </w:r>
      <w:r w:rsidRPr="00C2088B">
        <w:rPr>
          <w:i/>
        </w:rPr>
        <w:t xml:space="preserve">See Wireline Competition Bureau Provides Guidance Following Schools and Libraries Universal Service Support Program Sixth Report and Order, </w:t>
      </w:r>
      <w:r w:rsidRPr="00C2088B">
        <w:t>CC Docket No. 02-6, GN Docket No. 09-51, Public Notice, 25 FCC Rcd 17332, 17337 (Wireline Comp. Bur. 2010) (</w:t>
      </w:r>
      <w:r w:rsidRPr="00C2088B">
        <w:rPr>
          <w:i/>
        </w:rPr>
        <w:t>Schools and Libraries Sixth Report and Order Guidance Public Notice</w:t>
      </w:r>
      <w:r w:rsidRPr="00C2088B">
        <w:t xml:space="preserve">). </w:t>
      </w:r>
    </w:p>
  </w:footnote>
  <w:footnote w:id="111">
    <w:p w14:paraId="549DB548" w14:textId="36A05DAD" w:rsidR="00434A8B" w:rsidRPr="00C2088B" w:rsidRDefault="00434A8B" w:rsidP="00A27954">
      <w:pPr>
        <w:pStyle w:val="FootnoteText"/>
      </w:pPr>
      <w:r w:rsidRPr="00C2088B">
        <w:rPr>
          <w:rStyle w:val="FootnoteReference"/>
          <w:sz w:val="20"/>
        </w:rPr>
        <w:footnoteRef/>
      </w:r>
      <w:r w:rsidRPr="00C2088B">
        <w:t xml:space="preserve"> </w:t>
      </w:r>
      <w:r w:rsidRPr="00C2088B">
        <w:rPr>
          <w:i/>
        </w:rPr>
        <w:t>Schools and Libraries Sixth Report and Order</w:t>
      </w:r>
      <w:r w:rsidRPr="00C2088B">
        <w:t xml:space="preserve">, 25 FCC Rcd at 18772-73, para. 19, n.52; </w:t>
      </w:r>
      <w:r w:rsidRPr="00C2088B">
        <w:rPr>
          <w:i/>
        </w:rPr>
        <w:t xml:space="preserve">Schools and Libraries Sixth Report and Order Guidance Public Notice, </w:t>
      </w:r>
      <w:r w:rsidRPr="00C2088B">
        <w:t>25 FCC Rcd at 17337</w:t>
      </w:r>
      <w:r w:rsidRPr="00C2088B">
        <w:rPr>
          <w:i/>
        </w:rPr>
        <w:t xml:space="preserve">.  See also </w:t>
      </w:r>
      <w:r w:rsidRPr="004F322C">
        <w:rPr>
          <w:i/>
        </w:rPr>
        <w:t>infra</w:t>
      </w:r>
      <w:r>
        <w:t xml:space="preserve"> </w:t>
      </w:r>
      <w:r w:rsidRPr="00C2088B">
        <w:t>FY 2013 ESL (Appendix B).</w:t>
      </w:r>
    </w:p>
  </w:footnote>
  <w:footnote w:id="112">
    <w:p w14:paraId="41406EE3" w14:textId="40543FC9" w:rsidR="00434A8B" w:rsidRPr="00C2088B" w:rsidRDefault="00434A8B" w:rsidP="00A27954">
      <w:pPr>
        <w:pStyle w:val="FootnoteText"/>
      </w:pPr>
      <w:r w:rsidRPr="00C2088B">
        <w:rPr>
          <w:rStyle w:val="FootnoteReference"/>
          <w:sz w:val="20"/>
        </w:rPr>
        <w:footnoteRef/>
      </w:r>
      <w:r w:rsidRPr="00C2088B">
        <w:t xml:space="preserve"> </w:t>
      </w:r>
      <w:r w:rsidRPr="00C2088B">
        <w:rPr>
          <w:i/>
        </w:rPr>
        <w:t>Schools and Libraries Sixth Report and Order</w:t>
      </w:r>
      <w:r w:rsidRPr="00C2088B">
        <w:t xml:space="preserve">, 25 FCC Rcd at 18773, para. 19; </w:t>
      </w:r>
      <w:r w:rsidRPr="00C2088B">
        <w:rPr>
          <w:i/>
        </w:rPr>
        <w:t xml:space="preserve">Schools and Libraries Sixth Report and Order Guidance Public Notice, </w:t>
      </w:r>
      <w:r w:rsidRPr="00C2088B">
        <w:t>25 FCC Rcd at 17337</w:t>
      </w:r>
      <w:r w:rsidRPr="00C2088B">
        <w:rPr>
          <w:i/>
        </w:rPr>
        <w:t>.</w:t>
      </w:r>
    </w:p>
  </w:footnote>
  <w:footnote w:id="113">
    <w:p w14:paraId="5FEACB3C" w14:textId="7FA8E671" w:rsidR="00434A8B" w:rsidRPr="00C2088B" w:rsidRDefault="00434A8B">
      <w:pPr>
        <w:pStyle w:val="FootnoteText"/>
      </w:pPr>
      <w:r w:rsidRPr="00C2088B">
        <w:rPr>
          <w:rStyle w:val="FootnoteReference"/>
          <w:sz w:val="20"/>
        </w:rPr>
        <w:footnoteRef/>
      </w:r>
      <w:r w:rsidRPr="00C2088B">
        <w:t xml:space="preserve"> The Commission determined in the </w:t>
      </w:r>
      <w:r w:rsidRPr="00C2088B">
        <w:rPr>
          <w:i/>
        </w:rPr>
        <w:t>Brooklyn Order</w:t>
      </w:r>
      <w:r w:rsidRPr="00C2088B">
        <w:t xml:space="preserve"> that upfront non-recurring charges need to be amortized where they vastly exceed the monthly recurring charges.  </w:t>
      </w:r>
      <w:r w:rsidRPr="00C2088B">
        <w:rPr>
          <w:i/>
        </w:rPr>
        <w:t>Request for Review by Brooklyn Public Library, Federal-State Joint Board on Universal Service, Changes to the Board of Directors of the National Exchange Carrier Association, Inc</w:t>
      </w:r>
      <w:r w:rsidRPr="00C2088B">
        <w:t>., File No. SLD-149423, CC Docket Nos. 96-45 and 97-21, Order, 15 FCC Rcd 18598, 18606-07, para. 20 (</w:t>
      </w:r>
      <w:r w:rsidRPr="00C2088B">
        <w:rPr>
          <w:i/>
        </w:rPr>
        <w:t>Brooklyn Order</w:t>
      </w:r>
      <w:r w:rsidRPr="00C2088B">
        <w:t xml:space="preserve">).  In response to the Commission’s general direction in the </w:t>
      </w:r>
      <w:r w:rsidRPr="00C2088B">
        <w:rPr>
          <w:i/>
        </w:rPr>
        <w:t>Brooklyn Order</w:t>
      </w:r>
      <w:r w:rsidRPr="00C2088B">
        <w:t xml:space="preserve">, USAC currently requires that upfront or non-recurring charges of $500,000 or more must be prorated evenly over a period of at least three years.  </w:t>
      </w:r>
      <w:r w:rsidRPr="00C2088B">
        <w:rPr>
          <w:i/>
        </w:rPr>
        <w:t xml:space="preserve">See </w:t>
      </w:r>
      <w:r w:rsidRPr="00C2088B">
        <w:t xml:space="preserve">USAC, Schools and Libraries, Wide Area Networks, Capital Investment Costs, </w:t>
      </w:r>
      <w:r w:rsidRPr="00C2088B">
        <w:rPr>
          <w:i/>
        </w:rPr>
        <w:t xml:space="preserve">available at </w:t>
      </w:r>
      <w:hyperlink r:id="rId48" w:history="1">
        <w:r w:rsidRPr="00C2088B">
          <w:rPr>
            <w:color w:val="0000FF"/>
            <w:u w:val="single"/>
          </w:rPr>
          <w:t>http://www.usac.org/sl/applicants/beforeyoubegin/eligible-services/wan.aspx</w:t>
        </w:r>
      </w:hyperlink>
      <w:r w:rsidRPr="00C2088B">
        <w:t xml:space="preserve"> (last visited July 15, 2013).</w:t>
      </w:r>
    </w:p>
  </w:footnote>
  <w:footnote w:id="114">
    <w:p w14:paraId="4D83B5A8" w14:textId="1315E7FF" w:rsidR="00434A8B" w:rsidRPr="00C2088B" w:rsidRDefault="00434A8B">
      <w:pPr>
        <w:pStyle w:val="FootnoteText"/>
      </w:pPr>
      <w:r w:rsidRPr="00C2088B">
        <w:rPr>
          <w:rStyle w:val="FootnoteReference"/>
          <w:sz w:val="20"/>
        </w:rPr>
        <w:footnoteRef/>
      </w:r>
      <w:r w:rsidRPr="00C2088B">
        <w:t xml:space="preserve"> The Commission previously sought comment on this question and we now seek to refresh the record in this proceeding.  </w:t>
      </w:r>
      <w:r w:rsidRPr="00C2088B">
        <w:rPr>
          <w:i/>
        </w:rPr>
        <w:t>See</w:t>
      </w:r>
      <w:r w:rsidRPr="00C2088B">
        <w:t xml:space="preserve"> </w:t>
      </w:r>
      <w:r w:rsidRPr="00C2088B">
        <w:rPr>
          <w:i/>
        </w:rPr>
        <w:t>Schools and Libraries Universal Support Mechanism</w:t>
      </w:r>
      <w:r w:rsidRPr="00C2088B">
        <w:t xml:space="preserve">, CC Docket No. 02-6, Notice of Proposed Rulemaking and Order, 17 FCC Rcd 1914, 1923, para. 19 (2002) (seeking comment on whether to require non-recurring capital costs of a WAN to be amortized over more than three years); and </w:t>
      </w:r>
      <w:r w:rsidRPr="00C2088B">
        <w:rPr>
          <w:i/>
        </w:rPr>
        <w:t xml:space="preserve">Schools and Libraries </w:t>
      </w:r>
      <w:r w:rsidRPr="004F322C">
        <w:rPr>
          <w:i/>
        </w:rPr>
        <w:t>Third Report and Order</w:t>
      </w:r>
      <w:r w:rsidRPr="00C2088B">
        <w:t>, 18 FCC Rcd at 26943, paras. 74-75 (seeking comment on whether to limit the recovery of upfront charges for capital investments to no more than 25</w:t>
      </w:r>
      <w:r>
        <w:t>%</w:t>
      </w:r>
      <w:r w:rsidRPr="00C2088B">
        <w:t xml:space="preserve"> of a funding request, and to require amortization of service provider charges for capital investment of more than $500,000 over at least five years).</w:t>
      </w:r>
    </w:p>
  </w:footnote>
  <w:footnote w:id="115">
    <w:p w14:paraId="260FB0FC" w14:textId="62963980" w:rsidR="00434A8B" w:rsidRPr="00C2088B" w:rsidRDefault="00434A8B" w:rsidP="00C01136">
      <w:pPr>
        <w:pStyle w:val="FootnoteText"/>
      </w:pPr>
      <w:r w:rsidRPr="00C2088B">
        <w:rPr>
          <w:rStyle w:val="FootnoteReference"/>
          <w:sz w:val="20"/>
        </w:rPr>
        <w:footnoteRef/>
      </w:r>
      <w:r w:rsidRPr="00C2088B">
        <w:t xml:space="preserve"> AT&amp;T, for example, has suggested such an approach.  </w:t>
      </w:r>
      <w:r w:rsidRPr="00C2088B">
        <w:rPr>
          <w:i/>
          <w:iCs/>
        </w:rPr>
        <w:t xml:space="preserve">See </w:t>
      </w:r>
      <w:r w:rsidRPr="00C2088B">
        <w:t>Letter from Ernie Bond, Director, Federal Regulatory, AT&amp;T, to Ms. Marlene Dortch, Secretary, Federal Communications Commission, at 1 (filed July 1, 2013).</w:t>
      </w:r>
    </w:p>
  </w:footnote>
  <w:footnote w:id="116">
    <w:p w14:paraId="2CE3D891" w14:textId="7B25F235" w:rsidR="00434A8B" w:rsidRPr="00C2088B" w:rsidRDefault="00434A8B">
      <w:pPr>
        <w:pStyle w:val="FootnoteText"/>
      </w:pPr>
      <w:r w:rsidRPr="00AF1B01">
        <w:rPr>
          <w:rStyle w:val="FootnoteReference"/>
          <w:sz w:val="20"/>
        </w:rPr>
        <w:footnoteRef/>
      </w:r>
      <w:r w:rsidRPr="00520D37">
        <w:t xml:space="preserve"> </w:t>
      </w:r>
      <w:r w:rsidRPr="00C2088B">
        <w:rPr>
          <w:i/>
        </w:rPr>
        <w:t xml:space="preserve">See infra </w:t>
      </w:r>
      <w:r w:rsidRPr="00C2088B">
        <w:t xml:space="preserve">para. </w:t>
      </w:r>
      <w:r w:rsidRPr="00C2088B">
        <w:fldChar w:fldCharType="begin"/>
      </w:r>
      <w:r w:rsidRPr="00C2088B">
        <w:instrText xml:space="preserve"> REF _Ref360203493 \r \h  \* MERGEFORMAT </w:instrText>
      </w:r>
      <w:r w:rsidRPr="00C2088B">
        <w:fldChar w:fldCharType="separate"/>
      </w:r>
      <w:r w:rsidR="00A0395D">
        <w:t>81</w:t>
      </w:r>
      <w:r w:rsidRPr="00C2088B">
        <w:fldChar w:fldCharType="end"/>
      </w:r>
      <w:r w:rsidRPr="00C2088B">
        <w:t>.</w:t>
      </w:r>
    </w:p>
  </w:footnote>
  <w:footnote w:id="117">
    <w:p w14:paraId="50DCC758" w14:textId="17B501F2" w:rsidR="00434A8B" w:rsidRPr="00C2088B" w:rsidRDefault="00434A8B">
      <w:pPr>
        <w:pStyle w:val="FootnoteText"/>
      </w:pPr>
      <w:r w:rsidRPr="00C2088B">
        <w:rPr>
          <w:rStyle w:val="FootnoteReference"/>
          <w:sz w:val="20"/>
        </w:rPr>
        <w:footnoteRef/>
      </w:r>
      <w:r w:rsidRPr="00C2088B">
        <w:t xml:space="preserve"> </w:t>
      </w:r>
      <w:r w:rsidRPr="00C2088B">
        <w:rPr>
          <w:i/>
        </w:rPr>
        <w:t xml:space="preserve">See </w:t>
      </w:r>
      <w:r w:rsidR="00C248B6" w:rsidRPr="00C248B6">
        <w:rPr>
          <w:i/>
        </w:rPr>
        <w:t>supra</w:t>
      </w:r>
      <w:r w:rsidRPr="00C2088B">
        <w:t xml:space="preserve"> paras. </w:t>
      </w:r>
      <w:r w:rsidRPr="00C2088B">
        <w:rPr>
          <w:highlight w:val="yellow"/>
        </w:rPr>
        <w:fldChar w:fldCharType="begin"/>
      </w:r>
      <w:r w:rsidRPr="00C2088B">
        <w:instrText xml:space="preserve"> REF _Ref360203577 \r \h </w:instrText>
      </w:r>
      <w:r w:rsidRPr="00C2088B">
        <w:rPr>
          <w:highlight w:val="yellow"/>
        </w:rPr>
        <w:instrText xml:space="preserve"> \* MERGEFORMAT </w:instrText>
      </w:r>
      <w:r w:rsidRPr="00C2088B">
        <w:rPr>
          <w:highlight w:val="yellow"/>
        </w:rPr>
      </w:r>
      <w:r w:rsidRPr="00C2088B">
        <w:rPr>
          <w:highlight w:val="yellow"/>
        </w:rPr>
        <w:fldChar w:fldCharType="separate"/>
      </w:r>
      <w:r w:rsidR="00A0395D">
        <w:t>74</w:t>
      </w:r>
      <w:r w:rsidRPr="00C2088B">
        <w:rPr>
          <w:highlight w:val="yellow"/>
        </w:rPr>
        <w:fldChar w:fldCharType="end"/>
      </w:r>
      <w:r w:rsidRPr="00C2088B">
        <w:t>-</w:t>
      </w:r>
      <w:r w:rsidRPr="00C2088B">
        <w:rPr>
          <w:highlight w:val="yellow"/>
        </w:rPr>
        <w:fldChar w:fldCharType="begin"/>
      </w:r>
      <w:r w:rsidRPr="00C2088B">
        <w:instrText xml:space="preserve"> REF _Ref360202409 \r \h </w:instrText>
      </w:r>
      <w:r w:rsidRPr="00C2088B">
        <w:rPr>
          <w:highlight w:val="yellow"/>
        </w:rPr>
        <w:instrText xml:space="preserve"> \* MERGEFORMAT </w:instrText>
      </w:r>
      <w:r w:rsidRPr="00C2088B">
        <w:rPr>
          <w:highlight w:val="yellow"/>
        </w:rPr>
      </w:r>
      <w:r w:rsidRPr="00C2088B">
        <w:rPr>
          <w:highlight w:val="yellow"/>
        </w:rPr>
        <w:fldChar w:fldCharType="separate"/>
      </w:r>
      <w:r w:rsidR="00A0395D">
        <w:t>75</w:t>
      </w:r>
      <w:r w:rsidRPr="00C2088B">
        <w:rPr>
          <w:highlight w:val="yellow"/>
        </w:rPr>
        <w:fldChar w:fldCharType="end"/>
      </w:r>
      <w:r w:rsidRPr="00C2088B">
        <w:t>.</w:t>
      </w:r>
    </w:p>
  </w:footnote>
  <w:footnote w:id="118">
    <w:p w14:paraId="44A19794" w14:textId="2A560384" w:rsidR="00434A8B" w:rsidRPr="00C2088B" w:rsidRDefault="00434A8B" w:rsidP="008A6123">
      <w:pPr>
        <w:pStyle w:val="FootnoteText"/>
      </w:pPr>
      <w:r w:rsidRPr="00C2088B">
        <w:rPr>
          <w:rStyle w:val="FootnoteReference"/>
          <w:sz w:val="20"/>
        </w:rPr>
        <w:footnoteRef/>
      </w:r>
      <w:r w:rsidRPr="00C2088B">
        <w:t xml:space="preserve"> A WAN </w:t>
      </w:r>
      <w:r w:rsidRPr="00C2088B">
        <w:rPr>
          <w:lang w:val="en"/>
        </w:rPr>
        <w:t>is a voice, data, or video network that provides connections from one or more computers or networks within an eligible school or library to one or more computers or networks that are external to such eligible school or library.  Excluded from this definition is a network that provides connections between or among buildings of a single school campus or between or among buildings of a single library outlet or branch, when those connections do not cross a public right of way.</w:t>
      </w:r>
      <w:r w:rsidRPr="00C2088B">
        <w:t xml:space="preserve"> </w:t>
      </w:r>
      <w:r w:rsidRPr="00C2088B">
        <w:rPr>
          <w:i/>
        </w:rPr>
        <w:t xml:space="preserve"> See</w:t>
      </w:r>
      <w:r w:rsidRPr="00C2088B">
        <w:t xml:space="preserve"> USAC, Schools and Libraries, Wide Area Network (WAN), </w:t>
      </w:r>
      <w:r w:rsidRPr="00C2088B">
        <w:rPr>
          <w:i/>
        </w:rPr>
        <w:t xml:space="preserve">available at </w:t>
      </w:r>
      <w:hyperlink r:id="rId49" w:history="1">
        <w:r w:rsidRPr="00C2088B">
          <w:rPr>
            <w:rStyle w:val="Hyperlink"/>
          </w:rPr>
          <w:t>http://www.usac.org/sl/applicants/beforeyoubegin/eligible-services/wan.aspx</w:t>
        </w:r>
      </w:hyperlink>
      <w:r w:rsidRPr="00C2088B">
        <w:t xml:space="preserve"> (last visited July 15, 2013).</w:t>
      </w:r>
    </w:p>
  </w:footnote>
  <w:footnote w:id="119">
    <w:p w14:paraId="0640F0B2" w14:textId="6BEAFFB6" w:rsidR="00434A8B" w:rsidRPr="00C2088B" w:rsidRDefault="00434A8B" w:rsidP="008A6123">
      <w:pPr>
        <w:pStyle w:val="FootnoteText"/>
      </w:pPr>
      <w:r w:rsidRPr="00C2088B">
        <w:rPr>
          <w:rStyle w:val="FootnoteReference"/>
          <w:sz w:val="20"/>
        </w:rPr>
        <w:footnoteRef/>
      </w:r>
      <w:r w:rsidRPr="00C2088B">
        <w:t xml:space="preserve"> </w:t>
      </w:r>
      <w:r w:rsidRPr="00C2088B">
        <w:rPr>
          <w:i/>
        </w:rPr>
        <w:t xml:space="preserve">See </w:t>
      </w:r>
      <w:r w:rsidRPr="00C2088B">
        <w:t xml:space="preserve">Red Lion Area School District Adds Gigabit Fiber WAN, the Journal, Dian Schaffhauser (Aug. 15, 2012), </w:t>
      </w:r>
      <w:r w:rsidRPr="00C2088B">
        <w:rPr>
          <w:i/>
        </w:rPr>
        <w:t>available at</w:t>
      </w:r>
      <w:r w:rsidRPr="00C2088B">
        <w:t xml:space="preserve"> </w:t>
      </w:r>
      <w:hyperlink r:id="rId50" w:history="1">
        <w:r w:rsidRPr="00C2088B">
          <w:rPr>
            <w:rStyle w:val="Hyperlink"/>
          </w:rPr>
          <w:t>http://thejournal.com/articles/2012/08/15/red-lion-area-school-district-adds-gigabit-fiber-wan.aspx</w:t>
        </w:r>
      </w:hyperlink>
      <w:r w:rsidRPr="00C2088B">
        <w:t xml:space="preserve"> (last visited July 15, 2013).</w:t>
      </w:r>
    </w:p>
  </w:footnote>
  <w:footnote w:id="120">
    <w:p w14:paraId="045E8DAC" w14:textId="7DC647BC" w:rsidR="00434A8B" w:rsidRPr="00C2088B" w:rsidRDefault="00434A8B" w:rsidP="008A6123">
      <w:pPr>
        <w:pStyle w:val="FootnoteText"/>
      </w:pPr>
      <w:r w:rsidRPr="00C2088B">
        <w:rPr>
          <w:rStyle w:val="FootnoteReference"/>
          <w:sz w:val="20"/>
        </w:rPr>
        <w:footnoteRef/>
      </w:r>
      <w:r w:rsidRPr="00C2088B">
        <w:t xml:space="preserve"> </w:t>
      </w:r>
      <w:r w:rsidRPr="00C2088B">
        <w:rPr>
          <w:i/>
        </w:rPr>
        <w:t>See</w:t>
      </w:r>
      <w:r w:rsidRPr="00C2088B">
        <w:t xml:space="preserve"> USAC, Schools and Libraries, Wide Area Network (WAN), </w:t>
      </w:r>
      <w:r w:rsidRPr="00C2088B">
        <w:rPr>
          <w:i/>
        </w:rPr>
        <w:t xml:space="preserve">available at </w:t>
      </w:r>
      <w:hyperlink r:id="rId51" w:history="1">
        <w:r w:rsidRPr="00C2088B">
          <w:rPr>
            <w:rStyle w:val="Hyperlink"/>
          </w:rPr>
          <w:t>http://www.usac.org/sl/applicants/beforeyoubegin/eligible-services/wan.aspx</w:t>
        </w:r>
      </w:hyperlink>
      <w:r w:rsidRPr="00C2088B">
        <w:t xml:space="preserve"> (last visited July 15, 2013).</w:t>
      </w:r>
    </w:p>
  </w:footnote>
  <w:footnote w:id="121">
    <w:p w14:paraId="41CD57A3" w14:textId="6A96BDE9" w:rsidR="00434A8B" w:rsidRPr="00C2088B" w:rsidRDefault="00434A8B" w:rsidP="00DE7C42">
      <w:pPr>
        <w:pStyle w:val="FootnoteText"/>
      </w:pPr>
      <w:r w:rsidRPr="00C2088B">
        <w:rPr>
          <w:rStyle w:val="FootnoteReference"/>
          <w:sz w:val="20"/>
        </w:rPr>
        <w:footnoteRef/>
      </w:r>
      <w:r w:rsidRPr="00C2088B">
        <w:t xml:space="preserve"> </w:t>
      </w:r>
      <w:r w:rsidRPr="00C2088B">
        <w:rPr>
          <w:i/>
        </w:rPr>
        <w:t>See</w:t>
      </w:r>
      <w:r w:rsidRPr="00C2088B">
        <w:t xml:space="preserve"> 47 C.F.R. § 54.518.</w:t>
      </w:r>
    </w:p>
  </w:footnote>
  <w:footnote w:id="122">
    <w:p w14:paraId="5A4EEE1C" w14:textId="4B0F8674" w:rsidR="00434A8B" w:rsidRPr="00C2088B" w:rsidRDefault="00434A8B" w:rsidP="00EE5292">
      <w:pPr>
        <w:pStyle w:val="FootnoteText"/>
      </w:pPr>
      <w:r w:rsidRPr="00C2088B">
        <w:rPr>
          <w:rStyle w:val="FootnoteReference"/>
          <w:sz w:val="20"/>
        </w:rPr>
        <w:footnoteRef/>
      </w:r>
      <w:r w:rsidRPr="00C2088B">
        <w:t xml:space="preserve"> </w:t>
      </w:r>
      <w:r w:rsidRPr="00C2088B">
        <w:rPr>
          <w:i/>
        </w:rPr>
        <w:t>See</w:t>
      </w:r>
      <w:r w:rsidRPr="00C2088B">
        <w:t xml:space="preserve"> </w:t>
      </w:r>
      <w:r w:rsidRPr="00C2088B">
        <w:rPr>
          <w:i/>
        </w:rPr>
        <w:t>Healthcare Connect Fund Order</w:t>
      </w:r>
      <w:r w:rsidRPr="00C2088B">
        <w:t>, 27 FCC Rcd at 16712-13, paras. 73-75.</w:t>
      </w:r>
    </w:p>
  </w:footnote>
  <w:footnote w:id="123">
    <w:p w14:paraId="21118A55" w14:textId="56FBE2EC" w:rsidR="00434A8B" w:rsidRPr="00C2088B" w:rsidRDefault="00434A8B" w:rsidP="00EE5292">
      <w:pPr>
        <w:pStyle w:val="FootnoteText"/>
      </w:pPr>
      <w:r w:rsidRPr="00C2088B">
        <w:rPr>
          <w:rStyle w:val="FootnoteReference"/>
          <w:sz w:val="20"/>
        </w:rPr>
        <w:footnoteRef/>
      </w:r>
      <w:r w:rsidRPr="00C2088B">
        <w:t xml:space="preserve"> </w:t>
      </w:r>
      <w:r w:rsidRPr="00C2088B">
        <w:rPr>
          <w:i/>
        </w:rPr>
        <w:t xml:space="preserve">Id.  </w:t>
      </w:r>
      <w:r w:rsidRPr="00C2088B">
        <w:t>Safeguards the Commission adopted include: requiring consortia to solicit bids for both services and construction in the same posted requests for proposals; maintaining the same discount rate regardless of whether health care providers choose to purchase broadband services from a provider or construct their own facilities; and imposing an annual cap on the amount that can be allocated to up-front, non-recurring costs</w:t>
      </w:r>
      <w:r>
        <w:t>;</w:t>
      </w:r>
      <w:r w:rsidRPr="00C2088B">
        <w:t xml:space="preserve"> and requiring non-recurring costs that exceed an average of $50,000 per health care provider in a consortium be prorated over at least a three year period. </w:t>
      </w:r>
      <w:r w:rsidRPr="00C2088B">
        <w:rPr>
          <w:i/>
        </w:rPr>
        <w:t>Id.</w:t>
      </w:r>
      <w:r w:rsidRPr="00C2088B">
        <w:t xml:space="preserve">  The Commission also limited consortia from using revenues from excess capacity as a source of participant contribution.  </w:t>
      </w:r>
      <w:r w:rsidRPr="00C2088B">
        <w:rPr>
          <w:i/>
        </w:rPr>
        <w:t>Id.</w:t>
      </w:r>
      <w:r w:rsidRPr="00C2088B">
        <w:t xml:space="preserve"> </w:t>
      </w:r>
      <w:r w:rsidRPr="00C2088B">
        <w:rPr>
          <w:color w:val="010101"/>
        </w:rPr>
        <w:t xml:space="preserve">at 16726-27, </w:t>
      </w:r>
      <w:r w:rsidRPr="00C2088B">
        <w:t>paras. 103-104.</w:t>
      </w:r>
    </w:p>
  </w:footnote>
  <w:footnote w:id="124">
    <w:p w14:paraId="63A6E42A" w14:textId="77777777" w:rsidR="00434A8B" w:rsidRPr="00C2088B" w:rsidRDefault="00434A8B" w:rsidP="00CC1FC1">
      <w:pPr>
        <w:pStyle w:val="FootnoteText"/>
      </w:pPr>
      <w:r w:rsidRPr="00C2088B">
        <w:rPr>
          <w:rStyle w:val="FootnoteReference"/>
          <w:sz w:val="20"/>
        </w:rPr>
        <w:footnoteRef/>
      </w:r>
      <w:r w:rsidRPr="00C2088B">
        <w:t xml:space="preserve"> </w:t>
      </w:r>
      <w:r w:rsidRPr="00C2088B">
        <w:rPr>
          <w:i/>
        </w:rPr>
        <w:t xml:space="preserve">See </w:t>
      </w:r>
      <w:r w:rsidRPr="00C2088B">
        <w:t>USAC, Estimate of Demand for Schools and Libraries Universal Service Support Mechanism for Funding Year 2012, CC Docket No. 02-6 (filed April 20, 2012).</w:t>
      </w:r>
    </w:p>
  </w:footnote>
  <w:footnote w:id="125">
    <w:p w14:paraId="5607369C" w14:textId="29F96C48" w:rsidR="00434A8B" w:rsidRPr="006125B7" w:rsidRDefault="00434A8B">
      <w:pPr>
        <w:pStyle w:val="FootnoteText"/>
      </w:pPr>
      <w:r>
        <w:rPr>
          <w:rStyle w:val="FootnoteReference"/>
        </w:rPr>
        <w:footnoteRef/>
      </w:r>
      <w:r>
        <w:t xml:space="preserve"> </w:t>
      </w:r>
      <w:r>
        <w:rPr>
          <w:i/>
        </w:rPr>
        <w:t xml:space="preserve">See infra </w:t>
      </w:r>
      <w:r w:rsidRPr="004F322C">
        <w:t>FY 2013 ESL</w:t>
      </w:r>
      <w:r>
        <w:rPr>
          <w:i/>
        </w:rPr>
        <w:t xml:space="preserve"> </w:t>
      </w:r>
      <w:r>
        <w:t>(Appendix B)</w:t>
      </w:r>
    </w:p>
  </w:footnote>
  <w:footnote w:id="126">
    <w:p w14:paraId="148C0A1C" w14:textId="07708F0F" w:rsidR="00434A8B" w:rsidRPr="00C2088B" w:rsidRDefault="00434A8B">
      <w:pPr>
        <w:pStyle w:val="FootnoteText"/>
      </w:pPr>
      <w:r w:rsidRPr="00C2088B">
        <w:rPr>
          <w:rStyle w:val="FootnoteReference"/>
          <w:sz w:val="20"/>
        </w:rPr>
        <w:footnoteRef/>
      </w:r>
      <w:r w:rsidRPr="00C2088B">
        <w:t xml:space="preserve"> </w:t>
      </w:r>
      <w:r w:rsidRPr="00C2088B">
        <w:rPr>
          <w:i/>
        </w:rPr>
        <w:t xml:space="preserve">Federal-State Joint Board on Universal Service, Children’s Internet Protection Act, </w:t>
      </w:r>
      <w:r w:rsidRPr="00C2088B">
        <w:t>CC Docket No. 96-45, Report and Order, 16 FCC Rcd 8204, paras. 54-55 (2001) (</w:t>
      </w:r>
      <w:r w:rsidRPr="00C2088B">
        <w:rPr>
          <w:i/>
        </w:rPr>
        <w:t>2001 CIPA Order</w:t>
      </w:r>
      <w:r w:rsidRPr="00C2088B">
        <w:t>).</w:t>
      </w:r>
    </w:p>
  </w:footnote>
  <w:footnote w:id="127">
    <w:p w14:paraId="2F6D628A" w14:textId="4242667F" w:rsidR="00434A8B" w:rsidRPr="00C2088B" w:rsidRDefault="00434A8B" w:rsidP="00A033E0">
      <w:pPr>
        <w:pStyle w:val="FootnoteText"/>
      </w:pPr>
      <w:r w:rsidRPr="00C2088B">
        <w:rPr>
          <w:rStyle w:val="FootnoteReference"/>
          <w:sz w:val="20"/>
        </w:rPr>
        <w:footnoteRef/>
      </w:r>
      <w:r w:rsidRPr="00C2088B">
        <w:t xml:space="preserve"> </w:t>
      </w:r>
      <w:r w:rsidRPr="00C2088B">
        <w:rPr>
          <w:i/>
        </w:rPr>
        <w:t>See</w:t>
      </w:r>
      <w:r w:rsidRPr="00C2088B">
        <w:t xml:space="preserve"> </w:t>
      </w:r>
      <w:r w:rsidRPr="00C2088B">
        <w:rPr>
          <w:i/>
        </w:rPr>
        <w:t>Healthcare Connect Fund Order</w:t>
      </w:r>
      <w:r w:rsidRPr="00C2088B">
        <w:t xml:space="preserve">, 27 FCC Rcd at 16720, para. 93 and </w:t>
      </w:r>
      <w:r>
        <w:t>E-rate Funding Requested vs. Available and Disbursed Chart (FY 1998-2011)</w:t>
      </w:r>
      <w:r w:rsidRPr="00C2088B">
        <w:t>.</w:t>
      </w:r>
    </w:p>
  </w:footnote>
  <w:footnote w:id="128">
    <w:p w14:paraId="50C8EE65" w14:textId="25D0EAEB" w:rsidR="00434A8B" w:rsidRPr="00C2088B" w:rsidRDefault="00434A8B">
      <w:pPr>
        <w:pStyle w:val="FootnoteText"/>
      </w:pPr>
      <w:r w:rsidRPr="00C2088B">
        <w:rPr>
          <w:rStyle w:val="FootnoteReference"/>
          <w:sz w:val="20"/>
        </w:rPr>
        <w:footnoteRef/>
      </w:r>
      <w:r w:rsidRPr="00C2088B">
        <w:t xml:space="preserve"> </w:t>
      </w:r>
      <w:r w:rsidRPr="00C2088B">
        <w:rPr>
          <w:i/>
        </w:rPr>
        <w:t>See</w:t>
      </w:r>
      <w:r w:rsidRPr="00C2088B">
        <w:t xml:space="preserve"> </w:t>
      </w:r>
      <w:r w:rsidR="00C248B6" w:rsidRPr="00C248B6">
        <w:rPr>
          <w:i/>
        </w:rPr>
        <w:t>infra</w:t>
      </w:r>
      <w:r w:rsidRPr="00C2088B">
        <w:t xml:space="preserve"> paras. </w:t>
      </w:r>
      <w:r w:rsidRPr="00C2088B">
        <w:fldChar w:fldCharType="begin"/>
      </w:r>
      <w:r w:rsidRPr="00C2088B">
        <w:instrText xml:space="preserve"> REF _Ref360203701 \r \h  \* MERGEFORMAT </w:instrText>
      </w:r>
      <w:r w:rsidRPr="00C2088B">
        <w:fldChar w:fldCharType="separate"/>
      </w:r>
      <w:r w:rsidR="00A0395D">
        <w:t>177</w:t>
      </w:r>
      <w:r w:rsidRPr="00C2088B">
        <w:fldChar w:fldCharType="end"/>
      </w:r>
      <w:r w:rsidRPr="00C2088B">
        <w:t>-</w:t>
      </w:r>
      <w:r w:rsidRPr="00C2088B">
        <w:fldChar w:fldCharType="begin"/>
      </w:r>
      <w:r w:rsidRPr="00C2088B">
        <w:instrText xml:space="preserve"> REF _Ref360203730 \r \h  \* MERGEFORMAT </w:instrText>
      </w:r>
      <w:r w:rsidRPr="00C2088B">
        <w:fldChar w:fldCharType="separate"/>
      </w:r>
      <w:r w:rsidR="00A0395D">
        <w:t>223</w:t>
      </w:r>
      <w:r w:rsidRPr="00C2088B">
        <w:fldChar w:fldCharType="end"/>
      </w:r>
      <w:r w:rsidRPr="00C2088B">
        <w:t>.</w:t>
      </w:r>
    </w:p>
  </w:footnote>
  <w:footnote w:id="129">
    <w:p w14:paraId="5FC87426" w14:textId="70603236" w:rsidR="00434A8B" w:rsidRPr="00AA375F" w:rsidRDefault="00434A8B">
      <w:pPr>
        <w:pStyle w:val="FootnoteText"/>
      </w:pPr>
      <w:r>
        <w:rPr>
          <w:rStyle w:val="FootnoteReference"/>
        </w:rPr>
        <w:footnoteRef/>
      </w:r>
      <w:r>
        <w:t xml:space="preserve"> </w:t>
      </w:r>
      <w:r>
        <w:rPr>
          <w:i/>
        </w:rPr>
        <w:t>See infra</w:t>
      </w:r>
      <w:r>
        <w:t xml:space="preserve"> para</w:t>
      </w:r>
      <w:r w:rsidR="00C55AFD">
        <w:t>s</w:t>
      </w:r>
      <w:r>
        <w:t xml:space="preserve">. </w:t>
      </w:r>
      <w:r>
        <w:fldChar w:fldCharType="begin"/>
      </w:r>
      <w:r>
        <w:instrText xml:space="preserve"> REF _Ref360203792 \r \h </w:instrText>
      </w:r>
      <w:r>
        <w:fldChar w:fldCharType="separate"/>
      </w:r>
      <w:r w:rsidR="00A0395D">
        <w:t>105</w:t>
      </w:r>
      <w:r>
        <w:fldChar w:fldCharType="end"/>
      </w:r>
      <w:r>
        <w:t>-</w:t>
      </w:r>
      <w:r>
        <w:fldChar w:fldCharType="begin"/>
      </w:r>
      <w:r>
        <w:instrText xml:space="preserve"> REF _Ref362259962 \r \h </w:instrText>
      </w:r>
      <w:r>
        <w:fldChar w:fldCharType="separate"/>
      </w:r>
      <w:r w:rsidR="00A0395D">
        <w:t>110</w:t>
      </w:r>
      <w:r>
        <w:fldChar w:fldCharType="end"/>
      </w:r>
      <w:r>
        <w:t>.</w:t>
      </w:r>
    </w:p>
  </w:footnote>
  <w:footnote w:id="130">
    <w:p w14:paraId="6632787B" w14:textId="05FB37E9" w:rsidR="00434A8B" w:rsidRPr="00C2088B" w:rsidRDefault="00434A8B">
      <w:pPr>
        <w:pStyle w:val="FootnoteText"/>
        <w:rPr>
          <w:i/>
        </w:rPr>
      </w:pPr>
      <w:r w:rsidRPr="00C2088B">
        <w:rPr>
          <w:rStyle w:val="FootnoteReference"/>
          <w:sz w:val="20"/>
        </w:rPr>
        <w:footnoteRef/>
      </w:r>
      <w:r w:rsidRPr="00C2088B">
        <w:t xml:space="preserve"> </w:t>
      </w:r>
      <w:r w:rsidRPr="00C2088B">
        <w:rPr>
          <w:i/>
        </w:rPr>
        <w:t>See</w:t>
      </w:r>
      <w:r w:rsidRPr="00C2088B">
        <w:t xml:space="preserve"> </w:t>
      </w:r>
      <w:r w:rsidRPr="00C2088B">
        <w:rPr>
          <w:color w:val="000000"/>
        </w:rPr>
        <w:t xml:space="preserve">Letter from Melvin R. Blackwell, Vice President, Schools and Libraries Division, </w:t>
      </w:r>
      <w:r>
        <w:rPr>
          <w:color w:val="000000"/>
        </w:rPr>
        <w:t xml:space="preserve">USAC, </w:t>
      </w:r>
      <w:r w:rsidRPr="00C2088B">
        <w:rPr>
          <w:color w:val="000000"/>
        </w:rPr>
        <w:t xml:space="preserve">to </w:t>
      </w:r>
      <w:r w:rsidRPr="00C2088B">
        <w:t>Lisa Hone, Deputy Division Chief, TAPD, Wireline Competition Bureau</w:t>
      </w:r>
      <w:r w:rsidRPr="00C2088B">
        <w:rPr>
          <w:color w:val="000000"/>
        </w:rPr>
        <w:t xml:space="preserve"> (June 28, 2013) </w:t>
      </w:r>
      <w:r w:rsidRPr="00C2088B">
        <w:t xml:space="preserve">(2011 PIA Funding Request Data).  This data </w:t>
      </w:r>
      <w:r>
        <w:t>was</w:t>
      </w:r>
      <w:r w:rsidRPr="00C2088B">
        <w:t xml:space="preserve"> created by USAC’s PIA reviewers</w:t>
      </w:r>
      <w:r>
        <w:t>’</w:t>
      </w:r>
      <w:r w:rsidRPr="00C2088B">
        <w:t xml:space="preserve"> classification of each funding request number (FRN) based on the predominant service or product being requested.  Because FRNs can contain multiple products or services, and determination of the predominant service or product requires case-by-case judgment, these estimates are inevitably imperfect.  For any given product or service, the estimates exclude FRNs where that product or services is listed but judged not to be predominant.  The estimates also include funding for other products or services listed together with the predominant product or service on the same FRN. </w:t>
      </w:r>
    </w:p>
  </w:footnote>
  <w:footnote w:id="131">
    <w:p w14:paraId="5B6C8865" w14:textId="77777777" w:rsidR="00434A8B" w:rsidRPr="00C2088B" w:rsidRDefault="00434A8B" w:rsidP="00A27954">
      <w:pPr>
        <w:pStyle w:val="FootnoteText"/>
      </w:pPr>
      <w:r w:rsidRPr="00C2088B">
        <w:rPr>
          <w:rStyle w:val="FootnoteReference"/>
          <w:sz w:val="20"/>
        </w:rPr>
        <w:footnoteRef/>
      </w:r>
      <w:r w:rsidRPr="00C2088B">
        <w:t xml:space="preserve"> </w:t>
      </w:r>
      <w:r w:rsidRPr="00C2088B">
        <w:rPr>
          <w:i/>
        </w:rPr>
        <w:t>Universal Service First Report and Order</w:t>
      </w:r>
      <w:r w:rsidRPr="00C2088B">
        <w:t>, 12 FCC Rcd at 8815, para. 80.</w:t>
      </w:r>
    </w:p>
  </w:footnote>
  <w:footnote w:id="132">
    <w:p w14:paraId="6DB97BAE" w14:textId="6A9F6BB5" w:rsidR="00434A8B" w:rsidRPr="00C2088B" w:rsidRDefault="00434A8B">
      <w:pPr>
        <w:pStyle w:val="FootnoteText"/>
      </w:pPr>
      <w:r w:rsidRPr="00C2088B">
        <w:rPr>
          <w:rStyle w:val="FootnoteReference"/>
          <w:sz w:val="20"/>
        </w:rPr>
        <w:footnoteRef/>
      </w:r>
      <w:r w:rsidRPr="00C2088B">
        <w:t xml:space="preserve"> </w:t>
      </w:r>
      <w:r w:rsidRPr="00C2088B">
        <w:rPr>
          <w:i/>
        </w:rPr>
        <w:t xml:space="preserve">See </w:t>
      </w:r>
      <w:r w:rsidRPr="00C2088B">
        <w:rPr>
          <w:i/>
          <w:iCs/>
          <w:color w:val="000000"/>
        </w:rPr>
        <w:t>USF/ICC Transformation Order</w:t>
      </w:r>
      <w:r w:rsidRPr="00C2088B">
        <w:rPr>
          <w:color w:val="000000"/>
        </w:rPr>
        <w:t>, 26</w:t>
      </w:r>
      <w:r>
        <w:rPr>
          <w:color w:val="000000"/>
        </w:rPr>
        <w:t xml:space="preserve"> FCC Rcd at 17692, para.78, n.</w:t>
      </w:r>
      <w:r w:rsidRPr="00C2088B">
        <w:rPr>
          <w:color w:val="000000"/>
        </w:rPr>
        <w:t>114 (recognizing that the importance of directory assistance services to telecommunications consumers has declined with changes in the marketplace).  We do not have a good way to quantify the cost to the fund of directory services, because those charges are generally bundled into E-rate funding requests as part of voice service.</w:t>
      </w:r>
    </w:p>
  </w:footnote>
  <w:footnote w:id="133">
    <w:p w14:paraId="196AB50A" w14:textId="26980795" w:rsidR="00434A8B" w:rsidRPr="00C2088B" w:rsidRDefault="00434A8B">
      <w:pPr>
        <w:pStyle w:val="FootnoteText"/>
      </w:pPr>
      <w:r w:rsidRPr="00C2088B">
        <w:rPr>
          <w:rStyle w:val="FootnoteReference"/>
          <w:sz w:val="20"/>
        </w:rPr>
        <w:footnoteRef/>
      </w:r>
      <w:r w:rsidRPr="00C2088B">
        <w:t xml:space="preserve"> </w:t>
      </w:r>
      <w:r w:rsidRPr="00C2088B">
        <w:rPr>
          <w:i/>
        </w:rPr>
        <w:t>See</w:t>
      </w:r>
      <w:r w:rsidRPr="00C2088B">
        <w:t xml:space="preserve"> </w:t>
      </w:r>
      <w:r>
        <w:rPr>
          <w:i/>
        </w:rPr>
        <w:t xml:space="preserve">infra </w:t>
      </w:r>
      <w:r w:rsidRPr="00C2088B">
        <w:t>FY 2013 ESL (Appendix B).</w:t>
      </w:r>
    </w:p>
  </w:footnote>
  <w:footnote w:id="134">
    <w:p w14:paraId="0AB1055A" w14:textId="4DDC9498" w:rsidR="00434A8B" w:rsidRPr="00C2088B" w:rsidRDefault="00434A8B">
      <w:pPr>
        <w:pStyle w:val="FootnoteText"/>
      </w:pPr>
      <w:r w:rsidRPr="00C2088B">
        <w:rPr>
          <w:rStyle w:val="FootnoteReference"/>
          <w:sz w:val="20"/>
        </w:rPr>
        <w:footnoteRef/>
      </w:r>
      <w:r w:rsidRPr="00C2088B">
        <w:t xml:space="preserve"> 2011 PIA Funding Request Data.</w:t>
      </w:r>
    </w:p>
  </w:footnote>
  <w:footnote w:id="135">
    <w:p w14:paraId="7FCABF1D" w14:textId="6EE5D0AB" w:rsidR="00434A8B" w:rsidRPr="00C2088B" w:rsidRDefault="00434A8B">
      <w:pPr>
        <w:pStyle w:val="FootnoteText"/>
      </w:pPr>
      <w:r w:rsidRPr="00C2088B">
        <w:rPr>
          <w:rStyle w:val="FootnoteReference"/>
          <w:sz w:val="20"/>
        </w:rPr>
        <w:footnoteRef/>
      </w:r>
      <w:r w:rsidRPr="00C2088B">
        <w:t xml:space="preserve"> </w:t>
      </w:r>
      <w:r>
        <w:t>W</w:t>
      </w:r>
      <w:r w:rsidRPr="00C2088B">
        <w:t xml:space="preserve">e seek comment </w:t>
      </w:r>
      <w:r>
        <w:t xml:space="preserve">below </w:t>
      </w:r>
      <w:r w:rsidRPr="00C2088B">
        <w:t xml:space="preserve">on how, and to what extent, we should continue to provide support for voice services while focusing on our proposed goal of high-capacity broadband for schools and libraries.  </w:t>
      </w:r>
      <w:r w:rsidRPr="00C2088B">
        <w:rPr>
          <w:i/>
        </w:rPr>
        <w:t>See</w:t>
      </w:r>
      <w:r w:rsidRPr="00C2088B">
        <w:t xml:space="preserve"> </w:t>
      </w:r>
      <w:r w:rsidRPr="00C2088B">
        <w:rPr>
          <w:i/>
        </w:rPr>
        <w:t>infra</w:t>
      </w:r>
      <w:r w:rsidRPr="00C2088B">
        <w:t xml:space="preserve"> </w:t>
      </w:r>
      <w:r>
        <w:t xml:space="preserve">paras. </w:t>
      </w:r>
      <w:r w:rsidRPr="00C2088B">
        <w:fldChar w:fldCharType="begin"/>
      </w:r>
      <w:r w:rsidRPr="00C2088B">
        <w:instrText xml:space="preserve"> REF _Ref360203792 \r \h  \* MERGEFORMAT </w:instrText>
      </w:r>
      <w:r w:rsidRPr="00C2088B">
        <w:fldChar w:fldCharType="separate"/>
      </w:r>
      <w:r w:rsidR="00A0395D">
        <w:t>105</w:t>
      </w:r>
      <w:r w:rsidRPr="00C2088B">
        <w:fldChar w:fldCharType="end"/>
      </w:r>
      <w:r w:rsidRPr="00C2088B">
        <w:t>-</w:t>
      </w:r>
      <w:r w:rsidRPr="00C2088B">
        <w:fldChar w:fldCharType="begin"/>
      </w:r>
      <w:r w:rsidRPr="00C2088B">
        <w:instrText xml:space="preserve"> REF _Ref360203809 \r \h  \* MERGEFORMAT </w:instrText>
      </w:r>
      <w:r w:rsidRPr="00C2088B">
        <w:fldChar w:fldCharType="separate"/>
      </w:r>
      <w:r w:rsidR="00A0395D">
        <w:t>109</w:t>
      </w:r>
      <w:r w:rsidRPr="00C2088B">
        <w:fldChar w:fldCharType="end"/>
      </w:r>
      <w:r w:rsidRPr="00C2088B">
        <w:t>.</w:t>
      </w:r>
    </w:p>
  </w:footnote>
  <w:footnote w:id="136">
    <w:p w14:paraId="31EB81CF" w14:textId="354E4014" w:rsidR="00434A8B" w:rsidRPr="00C2088B" w:rsidRDefault="00434A8B">
      <w:pPr>
        <w:pStyle w:val="FootnoteText"/>
      </w:pPr>
      <w:r w:rsidRPr="00C2088B">
        <w:rPr>
          <w:rStyle w:val="FootnoteReference"/>
          <w:sz w:val="20"/>
        </w:rPr>
        <w:footnoteRef/>
      </w:r>
      <w:r w:rsidRPr="00C2088B">
        <w:t xml:space="preserve"> 2011 PIA Funding Request Data.</w:t>
      </w:r>
    </w:p>
  </w:footnote>
  <w:footnote w:id="137">
    <w:p w14:paraId="7B0C8507" w14:textId="6E0DD9EB" w:rsidR="00434A8B" w:rsidRPr="00C2088B" w:rsidRDefault="00434A8B" w:rsidP="009D2ED1">
      <w:pPr>
        <w:pStyle w:val="FootnoteText"/>
      </w:pPr>
      <w:r w:rsidRPr="00C2088B">
        <w:rPr>
          <w:rStyle w:val="FootnoteReference"/>
          <w:sz w:val="20"/>
        </w:rPr>
        <w:footnoteRef/>
      </w:r>
      <w:r w:rsidRPr="00C2088B">
        <w:t xml:space="preserve"> </w:t>
      </w:r>
      <w:r>
        <w:rPr>
          <w:i/>
        </w:rPr>
        <w:t xml:space="preserve">See </w:t>
      </w:r>
      <w:r w:rsidRPr="00C2088B">
        <w:t>2011 PIA Funding Request Data.</w:t>
      </w:r>
    </w:p>
  </w:footnote>
  <w:footnote w:id="138">
    <w:p w14:paraId="2012B3F2" w14:textId="3A800885" w:rsidR="00434A8B" w:rsidRPr="00C2088B" w:rsidRDefault="00434A8B">
      <w:pPr>
        <w:pStyle w:val="FootnoteText"/>
      </w:pPr>
      <w:r w:rsidRPr="00C2088B">
        <w:rPr>
          <w:rStyle w:val="FootnoteReference"/>
          <w:sz w:val="20"/>
        </w:rPr>
        <w:footnoteRef/>
      </w:r>
      <w:r w:rsidRPr="00C2088B">
        <w:t xml:space="preserve"> </w:t>
      </w:r>
      <w:r w:rsidRPr="00C2088B">
        <w:rPr>
          <w:i/>
        </w:rPr>
        <w:t>Healthcare Connect Fund Order</w:t>
      </w:r>
      <w:r w:rsidRPr="00C2088B">
        <w:t>, 27 FCC Rcd at 16754</w:t>
      </w:r>
      <w:r w:rsidR="00C55AFD">
        <w:t>,</w:t>
      </w:r>
      <w:r w:rsidRPr="00C2088B">
        <w:t xml:space="preserve"> para. 166.</w:t>
      </w:r>
    </w:p>
  </w:footnote>
  <w:footnote w:id="139">
    <w:p w14:paraId="088E20DC" w14:textId="1208A92F" w:rsidR="00434A8B" w:rsidRPr="00C2088B" w:rsidRDefault="00434A8B">
      <w:pPr>
        <w:pStyle w:val="FootnoteText"/>
      </w:pPr>
      <w:r w:rsidRPr="00C2088B">
        <w:rPr>
          <w:rStyle w:val="FootnoteReference"/>
          <w:sz w:val="20"/>
        </w:rPr>
        <w:footnoteRef/>
      </w:r>
      <w:r w:rsidRPr="00C2088B">
        <w:t xml:space="preserve"> </w:t>
      </w:r>
      <w:r w:rsidRPr="00C2088B">
        <w:rPr>
          <w:i/>
        </w:rPr>
        <w:t xml:space="preserve">See </w:t>
      </w:r>
      <w:r w:rsidRPr="00C2088B">
        <w:t>Comments of SECA on the FY 2010 Draft Eligible Services List for the Schools and Libraries Service Mechanism at 10-16</w:t>
      </w:r>
      <w:r>
        <w:t xml:space="preserve"> (</w:t>
      </w:r>
      <w:r w:rsidRPr="00C2088B">
        <w:t>filed June 23, 2009</w:t>
      </w:r>
      <w:r>
        <w:t>),</w:t>
      </w:r>
      <w:r w:rsidRPr="00C2088B">
        <w:t xml:space="preserve"> </w:t>
      </w:r>
      <w:r w:rsidRPr="00C2088B">
        <w:rPr>
          <w:i/>
        </w:rPr>
        <w:t>available at</w:t>
      </w:r>
      <w:r w:rsidRPr="00C2088B">
        <w:t xml:space="preserve"> </w:t>
      </w:r>
      <w:hyperlink r:id="rId52" w:history="1">
        <w:r w:rsidRPr="00C2088B">
          <w:rPr>
            <w:rStyle w:val="Hyperlink"/>
          </w:rPr>
          <w:t>http://apps.fcc.gov/ecfs/document/view?id=6520223018</w:t>
        </w:r>
      </w:hyperlink>
      <w:r w:rsidRPr="00C2088B">
        <w:t xml:space="preserve"> (last visited July 15, 2013).</w:t>
      </w:r>
    </w:p>
  </w:footnote>
  <w:footnote w:id="140">
    <w:p w14:paraId="06AEC3E8" w14:textId="7F5DA174" w:rsidR="00434A8B" w:rsidRPr="00C2088B" w:rsidRDefault="00434A8B">
      <w:pPr>
        <w:pStyle w:val="FootnoteText"/>
      </w:pPr>
      <w:r w:rsidRPr="00C2088B">
        <w:rPr>
          <w:rStyle w:val="FootnoteReference"/>
          <w:sz w:val="20"/>
        </w:rPr>
        <w:footnoteRef/>
      </w:r>
      <w:r w:rsidRPr="00C2088B">
        <w:t xml:space="preserve"> </w:t>
      </w:r>
      <w:r>
        <w:rPr>
          <w:i/>
        </w:rPr>
        <w:t xml:space="preserve">See </w:t>
      </w:r>
      <w:r w:rsidRPr="00C2088B">
        <w:t>2011 PIA Funding Request Data.</w:t>
      </w:r>
    </w:p>
  </w:footnote>
  <w:footnote w:id="141">
    <w:p w14:paraId="767C40DB" w14:textId="18E36F0A" w:rsidR="00434A8B" w:rsidRPr="00C2088B" w:rsidRDefault="00434A8B">
      <w:pPr>
        <w:pStyle w:val="FootnoteText"/>
      </w:pPr>
      <w:r w:rsidRPr="00C2088B">
        <w:rPr>
          <w:rStyle w:val="FootnoteReference"/>
          <w:sz w:val="20"/>
        </w:rPr>
        <w:footnoteRef/>
      </w:r>
      <w:r w:rsidRPr="00C2088B">
        <w:t xml:space="preserve"> 47 C.F.R. § 54.5.</w:t>
      </w:r>
    </w:p>
  </w:footnote>
  <w:footnote w:id="142">
    <w:p w14:paraId="768A6D1F" w14:textId="7E830FAE" w:rsidR="00434A8B" w:rsidRPr="00C2088B" w:rsidRDefault="00434A8B" w:rsidP="008C2565">
      <w:pPr>
        <w:pStyle w:val="FootnoteText"/>
      </w:pPr>
      <w:r w:rsidRPr="00C2088B">
        <w:rPr>
          <w:rStyle w:val="FootnoteReference"/>
          <w:sz w:val="20"/>
        </w:rPr>
        <w:footnoteRef/>
      </w:r>
      <w:r w:rsidRPr="00C2088B">
        <w:t xml:space="preserve"> 47 C.F.R. § 54.500(b); </w:t>
      </w:r>
      <w:r w:rsidRPr="00C2088B">
        <w:rPr>
          <w:i/>
        </w:rPr>
        <w:t>Schools and Libraries Universal Service Support Mechanism</w:t>
      </w:r>
      <w:r w:rsidRPr="00C2088B">
        <w:t>,</w:t>
      </w:r>
      <w:r w:rsidRPr="00C2088B">
        <w:rPr>
          <w:i/>
        </w:rPr>
        <w:t xml:space="preserve"> </w:t>
      </w:r>
      <w:r w:rsidRPr="00C2088B">
        <w:t xml:space="preserve">CC Docket 02-6, </w:t>
      </w:r>
      <w:r w:rsidRPr="00C2088B">
        <w:rPr>
          <w:color w:val="000000"/>
        </w:rPr>
        <w:t xml:space="preserve">Second Report and Order and Further </w:t>
      </w:r>
      <w:r>
        <w:rPr>
          <w:color w:val="000000"/>
        </w:rPr>
        <w:t>Notice of Proposed Rulemaking</w:t>
      </w:r>
      <w:r w:rsidRPr="00C2088B">
        <w:rPr>
          <w:color w:val="000000"/>
        </w:rPr>
        <w:t>, 18 FCC Rcd 9202, 9208, para. 17 (2003) (</w:t>
      </w:r>
      <w:r w:rsidRPr="00AA375F">
        <w:rPr>
          <w:i/>
          <w:color w:val="000000"/>
        </w:rPr>
        <w:t xml:space="preserve">Schools and Libraries Second Report and </w:t>
      </w:r>
      <w:r w:rsidRPr="004F322C">
        <w:rPr>
          <w:i/>
          <w:color w:val="000000"/>
        </w:rPr>
        <w:t>Order</w:t>
      </w:r>
      <w:r w:rsidRPr="00C2088B">
        <w:rPr>
          <w:color w:val="000000"/>
        </w:rPr>
        <w:t>).</w:t>
      </w:r>
      <w:r w:rsidRPr="00C2088B">
        <w:t xml:space="preserve">  47 U.S.C. §254(h)(1)(B</w:t>
      </w:r>
      <w:r>
        <w:t>)</w:t>
      </w:r>
      <w:r w:rsidRPr="00C2088B">
        <w:t>.</w:t>
      </w:r>
    </w:p>
  </w:footnote>
  <w:footnote w:id="143">
    <w:p w14:paraId="3789327A" w14:textId="0F08CC04" w:rsidR="00434A8B" w:rsidRPr="00C2088B" w:rsidRDefault="00434A8B" w:rsidP="008C2565">
      <w:pPr>
        <w:pStyle w:val="FootnoteText"/>
      </w:pPr>
      <w:r w:rsidRPr="00C2088B">
        <w:rPr>
          <w:rStyle w:val="FootnoteReference"/>
          <w:sz w:val="20"/>
        </w:rPr>
        <w:footnoteRef/>
      </w:r>
      <w:r w:rsidRPr="00C2088B">
        <w:t xml:space="preserve"> </w:t>
      </w:r>
      <w:r w:rsidRPr="000F7B97">
        <w:rPr>
          <w:i/>
          <w:color w:val="000000"/>
        </w:rPr>
        <w:t>Schools and Libraries Second Report and Order</w:t>
      </w:r>
      <w:r>
        <w:rPr>
          <w:color w:val="000000"/>
        </w:rPr>
        <w:t>, 18 FCC Rcd at 9208, Para. 17.</w:t>
      </w:r>
    </w:p>
  </w:footnote>
  <w:footnote w:id="144">
    <w:p w14:paraId="256241AC" w14:textId="77777777" w:rsidR="00434A8B" w:rsidRPr="00C2088B" w:rsidRDefault="00434A8B" w:rsidP="008C2565">
      <w:pPr>
        <w:pStyle w:val="FootnoteText"/>
      </w:pPr>
      <w:r w:rsidRPr="00C2088B">
        <w:rPr>
          <w:rStyle w:val="FootnoteReference"/>
          <w:sz w:val="20"/>
        </w:rPr>
        <w:footnoteRef/>
      </w:r>
      <w:r w:rsidRPr="00C2088B">
        <w:t xml:space="preserve"> </w:t>
      </w:r>
      <w:r w:rsidRPr="00C2088B">
        <w:rPr>
          <w:i/>
        </w:rPr>
        <w:t>See Schools and Libraries Sixth Report and Order</w:t>
      </w:r>
      <w:r w:rsidRPr="00C2088B">
        <w:t xml:space="preserve">, 25 FCC Rcd at 18774, para. 22 </w:t>
      </w:r>
    </w:p>
  </w:footnote>
  <w:footnote w:id="145">
    <w:p w14:paraId="5DDA4560" w14:textId="77777777" w:rsidR="00CB28DC" w:rsidRPr="00C2088B" w:rsidRDefault="00CB28DC" w:rsidP="00CB28DC">
      <w:pPr>
        <w:pStyle w:val="FootnoteText"/>
      </w:pPr>
      <w:r w:rsidRPr="00C2088B">
        <w:rPr>
          <w:rStyle w:val="FootnoteReference"/>
          <w:sz w:val="20"/>
        </w:rPr>
        <w:footnoteRef/>
      </w:r>
      <w:r w:rsidRPr="00C2088B">
        <w:t xml:space="preserve"> </w:t>
      </w:r>
      <w:r w:rsidRPr="00C2088B">
        <w:rPr>
          <w:color w:val="000000"/>
        </w:rPr>
        <w:t xml:space="preserve">As mentioned in Section III, </w:t>
      </w:r>
      <w:r w:rsidRPr="00C2088B">
        <w:t xml:space="preserve">the Commission clarified educational purposes in </w:t>
      </w:r>
      <w:r>
        <w:t xml:space="preserve">the </w:t>
      </w:r>
      <w:r w:rsidRPr="00C2088B">
        <w:rPr>
          <w:i/>
        </w:rPr>
        <w:t>Schools and Libraries Sixth Report and Order</w:t>
      </w:r>
      <w:r w:rsidRPr="00C2088B">
        <w:t xml:space="preserve"> by requiring that schools must </w:t>
      </w:r>
      <w:r w:rsidRPr="00C2088B">
        <w:rPr>
          <w:i/>
        </w:rPr>
        <w:t>primarily</w:t>
      </w:r>
      <w:r w:rsidRPr="00C2088B">
        <w:t xml:space="preserve"> use services funded under the E-rate program, in the first instance, for educational purposes.  </w:t>
      </w:r>
      <w:r w:rsidRPr="00C2088B">
        <w:rPr>
          <w:i/>
        </w:rPr>
        <w:t>Schools and Libraries Sixth Report and Order</w:t>
      </w:r>
      <w:r w:rsidRPr="00C2088B">
        <w:t xml:space="preserve">, 25 FCC Rcd at 18774.  </w:t>
      </w:r>
      <w:r w:rsidRPr="00C2088B">
        <w:rPr>
          <w:color w:val="000000"/>
        </w:rPr>
        <w:t xml:space="preserve">This was generally to allow schools to open up their facilities for community use yet ensure that students </w:t>
      </w:r>
      <w:r>
        <w:rPr>
          <w:color w:val="000000"/>
        </w:rPr>
        <w:t>“</w:t>
      </w:r>
      <w:r w:rsidRPr="00C2088B">
        <w:rPr>
          <w:color w:val="000000"/>
        </w:rPr>
        <w:t>always get first priority in use of the schools’ resources.</w:t>
      </w:r>
      <w:r>
        <w:rPr>
          <w:color w:val="000000"/>
        </w:rPr>
        <w:t>”</w:t>
      </w:r>
      <w:r w:rsidRPr="00C2088B">
        <w:rPr>
          <w:color w:val="000000"/>
        </w:rPr>
        <w:t xml:space="preserve">  </w:t>
      </w:r>
      <w:r w:rsidRPr="00C2088B">
        <w:rPr>
          <w:i/>
          <w:color w:val="000000"/>
        </w:rPr>
        <w:t xml:space="preserve">Id.  </w:t>
      </w:r>
    </w:p>
  </w:footnote>
  <w:footnote w:id="146">
    <w:p w14:paraId="66C8CAA3" w14:textId="700B6255" w:rsidR="000364E4" w:rsidRDefault="000364E4">
      <w:pPr>
        <w:pStyle w:val="FootnoteText"/>
      </w:pPr>
      <w:r>
        <w:rPr>
          <w:rStyle w:val="FootnoteReference"/>
        </w:rPr>
        <w:footnoteRef/>
      </w:r>
      <w:r>
        <w:t xml:space="preserve"> </w:t>
      </w:r>
      <w:r w:rsidRPr="00C2088B">
        <w:t xml:space="preserve">47 </w:t>
      </w:r>
      <w:r>
        <w:t>U</w:t>
      </w:r>
      <w:r w:rsidRPr="00C2088B">
        <w:t>.</w:t>
      </w:r>
      <w:r>
        <w:t>S</w:t>
      </w:r>
      <w:r w:rsidRPr="00C2088B">
        <w:t>.</w:t>
      </w:r>
      <w:r>
        <w:t>C</w:t>
      </w:r>
      <w:r w:rsidRPr="00C2088B">
        <w:t>. §</w:t>
      </w:r>
      <w:r w:rsidR="00DA39C5">
        <w:t xml:space="preserve"> </w:t>
      </w:r>
      <w:r w:rsidRPr="00C2088B">
        <w:t>254(h)(1)(B), (2)(A).</w:t>
      </w:r>
    </w:p>
  </w:footnote>
  <w:footnote w:id="147">
    <w:p w14:paraId="4FDBB06D" w14:textId="7FC83775" w:rsidR="00CB28DC" w:rsidRPr="00C2088B" w:rsidRDefault="00CB28DC" w:rsidP="00CB28DC">
      <w:pPr>
        <w:pStyle w:val="FootnoteText"/>
      </w:pPr>
      <w:r w:rsidRPr="00C2088B">
        <w:rPr>
          <w:rStyle w:val="FootnoteReference"/>
          <w:sz w:val="20"/>
        </w:rPr>
        <w:footnoteRef/>
      </w:r>
      <w:r w:rsidRPr="00C2088B">
        <w:t xml:space="preserve"> </w:t>
      </w:r>
      <w:r w:rsidRPr="00C2088B">
        <w:rPr>
          <w:snapToGrid w:val="0"/>
          <w:color w:val="000000"/>
        </w:rPr>
        <w:t xml:space="preserve">In setting up the conditions under which community use would be permitted, the Commission prohibited schools from requesting </w:t>
      </w:r>
      <w:r>
        <w:rPr>
          <w:snapToGrid w:val="0"/>
          <w:color w:val="000000"/>
        </w:rPr>
        <w:t>“</w:t>
      </w:r>
      <w:r w:rsidRPr="00C2088B">
        <w:rPr>
          <w:snapToGrid w:val="0"/>
          <w:color w:val="000000"/>
        </w:rPr>
        <w:t>funding for more services than are necessary for educational purposes to serve their current student population.</w:t>
      </w:r>
      <w:r>
        <w:rPr>
          <w:snapToGrid w:val="0"/>
          <w:color w:val="000000"/>
        </w:rPr>
        <w:t>”</w:t>
      </w:r>
      <w:r w:rsidRPr="00C2088B">
        <w:rPr>
          <w:snapToGrid w:val="0"/>
          <w:color w:val="000000"/>
        </w:rPr>
        <w:t xml:space="preserve"> </w:t>
      </w:r>
      <w:r w:rsidR="00DA39C5">
        <w:rPr>
          <w:snapToGrid w:val="0"/>
          <w:color w:val="000000"/>
        </w:rPr>
        <w:t xml:space="preserve"> </w:t>
      </w:r>
      <w:r w:rsidRPr="00C2088B">
        <w:rPr>
          <w:i/>
          <w:iCs/>
          <w:snapToGrid w:val="0"/>
        </w:rPr>
        <w:t>Schools and Libraries Sixth Report and Order</w:t>
      </w:r>
      <w:r w:rsidRPr="00C2088B">
        <w:rPr>
          <w:snapToGrid w:val="0"/>
        </w:rPr>
        <w:t>, 25 FCC Rcd</w:t>
      </w:r>
      <w:r w:rsidRPr="00C2088B">
        <w:rPr>
          <w:i/>
          <w:iCs/>
          <w:snapToGrid w:val="0"/>
          <w:color w:val="000000"/>
        </w:rPr>
        <w:t xml:space="preserve"> </w:t>
      </w:r>
      <w:r w:rsidRPr="00C2088B">
        <w:rPr>
          <w:snapToGrid w:val="0"/>
          <w:color w:val="000000"/>
        </w:rPr>
        <w:t xml:space="preserve">at </w:t>
      </w:r>
      <w:r w:rsidRPr="00C2088B">
        <w:rPr>
          <w:snapToGrid w:val="0"/>
        </w:rPr>
        <w:t>18775</w:t>
      </w:r>
      <w:r>
        <w:rPr>
          <w:snapToGrid w:val="0"/>
        </w:rPr>
        <w:t>, para. 22</w:t>
      </w:r>
      <w:r w:rsidRPr="00C2088B">
        <w:rPr>
          <w:snapToGrid w:val="0"/>
        </w:rPr>
        <w:t xml:space="preserve">.  </w:t>
      </w:r>
      <w:r w:rsidRPr="00C2088B">
        <w:rPr>
          <w:snapToGrid w:val="0"/>
          <w:color w:val="000000"/>
        </w:rPr>
        <w:t xml:space="preserve">The Commission found this condition </w:t>
      </w:r>
      <w:r>
        <w:rPr>
          <w:snapToGrid w:val="0"/>
          <w:color w:val="000000"/>
        </w:rPr>
        <w:t>“</w:t>
      </w:r>
      <w:r w:rsidRPr="00C2088B">
        <w:rPr>
          <w:snapToGrid w:val="0"/>
          <w:color w:val="000000"/>
        </w:rPr>
        <w:t>necessary to ensure that E-rate funds remain targeted to educational needs of the institution and its students</w:t>
      </w:r>
      <w:r>
        <w:rPr>
          <w:snapToGrid w:val="0"/>
          <w:color w:val="000000"/>
        </w:rPr>
        <w:t>”</w:t>
      </w:r>
      <w:r w:rsidRPr="00C2088B">
        <w:rPr>
          <w:snapToGrid w:val="0"/>
          <w:color w:val="000000"/>
        </w:rPr>
        <w:t xml:space="preserve"> and noted that this condition is </w:t>
      </w:r>
      <w:r>
        <w:rPr>
          <w:snapToGrid w:val="0"/>
          <w:color w:val="000000"/>
        </w:rPr>
        <w:t>“</w:t>
      </w:r>
      <w:r w:rsidRPr="00C2088B">
        <w:rPr>
          <w:snapToGrid w:val="0"/>
          <w:color w:val="000000"/>
        </w:rPr>
        <w:t>essential to preserve limited funds and to carry out Congress’s intent in establishing the E-rate program.</w:t>
      </w:r>
      <w:r>
        <w:rPr>
          <w:snapToGrid w:val="0"/>
          <w:color w:val="000000"/>
        </w:rPr>
        <w:t>”</w:t>
      </w:r>
      <w:r w:rsidRPr="00C2088B">
        <w:rPr>
          <w:snapToGrid w:val="0"/>
          <w:color w:val="000000"/>
        </w:rPr>
        <w:t xml:space="preserve">  </w:t>
      </w:r>
      <w:r w:rsidRPr="00C2088B">
        <w:rPr>
          <w:i/>
          <w:iCs/>
          <w:snapToGrid w:val="0"/>
          <w:color w:val="000000"/>
        </w:rPr>
        <w:t>Id.</w:t>
      </w:r>
    </w:p>
  </w:footnote>
  <w:footnote w:id="148">
    <w:p w14:paraId="7B2E77BA" w14:textId="41F123D3" w:rsidR="00434A8B" w:rsidRPr="00C2088B" w:rsidRDefault="00434A8B">
      <w:pPr>
        <w:pStyle w:val="FootnoteText"/>
      </w:pPr>
      <w:r w:rsidRPr="00C2088B">
        <w:rPr>
          <w:rStyle w:val="FootnoteReference"/>
          <w:sz w:val="20"/>
        </w:rPr>
        <w:footnoteRef/>
      </w:r>
      <w:r w:rsidRPr="00C2088B">
        <w:t xml:space="preserve"> USAC </w:t>
      </w:r>
      <w:r>
        <w:t xml:space="preserve">Schools and Libraries </w:t>
      </w:r>
      <w:r w:rsidRPr="00C2088B">
        <w:t xml:space="preserve">website, Search Commitments, </w:t>
      </w:r>
      <w:r w:rsidRPr="004F322C">
        <w:rPr>
          <w:i/>
        </w:rPr>
        <w:t>available at</w:t>
      </w:r>
      <w:r w:rsidRPr="00C2088B">
        <w:t xml:space="preserve"> </w:t>
      </w:r>
      <w:hyperlink r:id="rId53" w:history="1">
        <w:r w:rsidRPr="00C2088B">
          <w:rPr>
            <w:rStyle w:val="Hyperlink"/>
          </w:rPr>
          <w:t>http://www.usac.org/sl/tools/commitments-search/Default.aspx</w:t>
        </w:r>
      </w:hyperlink>
      <w:r w:rsidRPr="00C2088B">
        <w:t xml:space="preserve"> (last visited July 15, 2013).  </w:t>
      </w:r>
    </w:p>
  </w:footnote>
  <w:footnote w:id="149">
    <w:p w14:paraId="735A208B" w14:textId="629FE460" w:rsidR="00434A8B" w:rsidRPr="00C2088B" w:rsidRDefault="00434A8B" w:rsidP="002D29F2">
      <w:pPr>
        <w:pStyle w:val="FootnoteText"/>
      </w:pPr>
      <w:r w:rsidRPr="00C2088B">
        <w:rPr>
          <w:rStyle w:val="FootnoteReference"/>
          <w:sz w:val="20"/>
        </w:rPr>
        <w:footnoteRef/>
      </w:r>
      <w:r w:rsidRPr="00C2088B">
        <w:t xml:space="preserve"> </w:t>
      </w:r>
      <w:r w:rsidRPr="00C2088B">
        <w:rPr>
          <w:i/>
        </w:rPr>
        <w:t>See</w:t>
      </w:r>
      <w:r w:rsidRPr="00C2088B">
        <w:t xml:space="preserve"> </w:t>
      </w:r>
      <w:r w:rsidRPr="00C2088B">
        <w:rPr>
          <w:i/>
          <w:iCs/>
        </w:rPr>
        <w:t>Schools and Libraries Universal Service Support Mechanism, A National Broadband Plan for our Future</w:t>
      </w:r>
      <w:r w:rsidRPr="00C2088B">
        <w:t>, CC Docket No. 02-6, GN Docket No. 09-51, Notice of Proposed Rulemaking, 25 FCC Rcd 6872, 6905, para. 80 (2010) (</w:t>
      </w:r>
      <w:r w:rsidRPr="00C2088B">
        <w:rPr>
          <w:i/>
          <w:iCs/>
        </w:rPr>
        <w:t>E-rate Broadband NPRM</w:t>
      </w:r>
      <w:r w:rsidRPr="00C2088B">
        <w:t>).</w:t>
      </w:r>
    </w:p>
  </w:footnote>
  <w:footnote w:id="150">
    <w:p w14:paraId="639F670F" w14:textId="456B43BF" w:rsidR="00434A8B" w:rsidRPr="00C2088B" w:rsidRDefault="00434A8B">
      <w:pPr>
        <w:pStyle w:val="FootnoteText"/>
      </w:pPr>
      <w:r w:rsidRPr="00C2088B">
        <w:rPr>
          <w:rStyle w:val="FootnoteReference"/>
          <w:sz w:val="20"/>
        </w:rPr>
        <w:footnoteRef/>
      </w:r>
      <w:r w:rsidRPr="00C2088B">
        <w:t xml:space="preserve"> </w:t>
      </w:r>
      <w:r w:rsidRPr="00C2088B">
        <w:rPr>
          <w:i/>
        </w:rPr>
        <w:t xml:space="preserve">See </w:t>
      </w:r>
      <w:r w:rsidRPr="00C2088B">
        <w:t>47 C.F.R. § 54.502.</w:t>
      </w:r>
    </w:p>
  </w:footnote>
  <w:footnote w:id="151">
    <w:p w14:paraId="298BCABF" w14:textId="3F12CBCE" w:rsidR="00434A8B" w:rsidRPr="00C2088B" w:rsidRDefault="00434A8B">
      <w:pPr>
        <w:pStyle w:val="FootnoteText"/>
      </w:pPr>
      <w:r w:rsidRPr="00C2088B">
        <w:rPr>
          <w:rStyle w:val="FootnoteReference"/>
          <w:sz w:val="20"/>
        </w:rPr>
        <w:footnoteRef/>
      </w:r>
      <w:r w:rsidRPr="00C2088B">
        <w:t xml:space="preserve"> For instance, 86 requests for wireless data service resulted in E-rate commitments of more than $1.7 million for funding year 2011. </w:t>
      </w:r>
      <w:r w:rsidRPr="00C2088B">
        <w:rPr>
          <w:i/>
        </w:rPr>
        <w:t xml:space="preserve">See </w:t>
      </w:r>
      <w:r w:rsidRPr="00C2088B">
        <w:t>2011 PIA Funding Request Data.</w:t>
      </w:r>
    </w:p>
  </w:footnote>
  <w:footnote w:id="152">
    <w:p w14:paraId="1FC8ADB5" w14:textId="1C42ACD1" w:rsidR="00434A8B" w:rsidRDefault="00434A8B">
      <w:pPr>
        <w:pStyle w:val="FootnoteText"/>
      </w:pPr>
      <w:r>
        <w:rPr>
          <w:rStyle w:val="FootnoteReference"/>
        </w:rPr>
        <w:footnoteRef/>
      </w:r>
      <w:r>
        <w:t xml:space="preserve"> </w:t>
      </w:r>
      <w:r>
        <w:rPr>
          <w:i/>
        </w:rPr>
        <w:t xml:space="preserve">See </w:t>
      </w:r>
      <w:r>
        <w:rPr>
          <w:snapToGrid w:val="0"/>
        </w:rPr>
        <w:t>Letter from Gary Rawson, State E-rate Coordinators’ Alliance, to Marlene H. Dortch, Secretary, Federal Communications Commission, CC Docket No. 02-6, at 6 (filed Jun. 24, 2013) (attaching SECA’s “Recommendations for E-rate Reform 2.0”) (SECA June 2013 White Paper).</w:t>
      </w:r>
    </w:p>
  </w:footnote>
  <w:footnote w:id="153">
    <w:p w14:paraId="1220775B" w14:textId="68646336" w:rsidR="00434A8B" w:rsidRPr="00C2088B" w:rsidRDefault="00434A8B" w:rsidP="0041596D">
      <w:pPr>
        <w:pStyle w:val="FootnoteText"/>
      </w:pPr>
      <w:r w:rsidRPr="00C2088B">
        <w:rPr>
          <w:rStyle w:val="FootnoteReference"/>
          <w:sz w:val="20"/>
        </w:rPr>
        <w:footnoteRef/>
      </w:r>
      <w:r w:rsidRPr="00C2088B">
        <w:t xml:space="preserve"> </w:t>
      </w:r>
      <w:r w:rsidRPr="00C2088B">
        <w:rPr>
          <w:i/>
        </w:rPr>
        <w:t xml:space="preserve">Id. </w:t>
      </w:r>
      <w:r w:rsidRPr="00C2088B">
        <w:t xml:space="preserve">at </w:t>
      </w:r>
      <w:r>
        <w:t>7</w:t>
      </w:r>
      <w:r w:rsidRPr="00C2088B">
        <w:t>.</w:t>
      </w:r>
    </w:p>
  </w:footnote>
  <w:footnote w:id="154">
    <w:p w14:paraId="028F9D87" w14:textId="1CF0B467" w:rsidR="00434A8B" w:rsidRPr="00C2088B" w:rsidRDefault="00434A8B" w:rsidP="0041596D">
      <w:pPr>
        <w:pStyle w:val="FootnoteText"/>
      </w:pPr>
      <w:r w:rsidRPr="00C2088B">
        <w:rPr>
          <w:rStyle w:val="FootnoteReference"/>
          <w:sz w:val="20"/>
        </w:rPr>
        <w:footnoteRef/>
      </w:r>
      <w:r w:rsidRPr="00C2088B">
        <w:t xml:space="preserve"> </w:t>
      </w:r>
      <w:r w:rsidRPr="00C2088B">
        <w:rPr>
          <w:i/>
        </w:rPr>
        <w:t xml:space="preserve">Id. </w:t>
      </w:r>
      <w:r w:rsidRPr="00C2088B">
        <w:t>at 8.</w:t>
      </w:r>
    </w:p>
  </w:footnote>
  <w:footnote w:id="155">
    <w:p w14:paraId="0E542996" w14:textId="6840ECF5" w:rsidR="00434A8B" w:rsidRPr="00C2088B" w:rsidRDefault="00434A8B" w:rsidP="003C60F3">
      <w:pPr>
        <w:pStyle w:val="FootnoteText"/>
      </w:pPr>
      <w:r w:rsidRPr="00C2088B">
        <w:rPr>
          <w:rStyle w:val="FootnoteReference"/>
          <w:sz w:val="20"/>
        </w:rPr>
        <w:footnoteRef/>
      </w:r>
      <w:r w:rsidRPr="00C2088B">
        <w:t xml:space="preserve"> </w:t>
      </w:r>
      <w:r w:rsidRPr="00C2088B">
        <w:rPr>
          <w:i/>
        </w:rPr>
        <w:t>See, e.g.,</w:t>
      </w:r>
      <w:r w:rsidRPr="00C2088B">
        <w:t xml:space="preserve"> </w:t>
      </w:r>
      <w:r w:rsidRPr="00C2088B">
        <w:rPr>
          <w:i/>
        </w:rPr>
        <w:t xml:space="preserve">id. </w:t>
      </w:r>
      <w:r w:rsidRPr="00C2088B">
        <w:t>at 6-7 (recommending that telecommunications services that are used only for voice communications should be phased out of E-rate support).</w:t>
      </w:r>
    </w:p>
  </w:footnote>
  <w:footnote w:id="156">
    <w:p w14:paraId="4DCC070E" w14:textId="3AB5E641" w:rsidR="00434A8B" w:rsidRPr="00C2088B" w:rsidRDefault="00434A8B" w:rsidP="003C60F3">
      <w:pPr>
        <w:pStyle w:val="FootnoteText"/>
      </w:pPr>
      <w:r w:rsidRPr="00C2088B">
        <w:rPr>
          <w:rStyle w:val="FootnoteReference"/>
          <w:sz w:val="20"/>
        </w:rPr>
        <w:footnoteRef/>
      </w:r>
      <w:r w:rsidRPr="00C2088B">
        <w:t xml:space="preserve"> 2011 PIA Funding Request Data.</w:t>
      </w:r>
    </w:p>
  </w:footnote>
  <w:footnote w:id="157">
    <w:p w14:paraId="0D4437BF" w14:textId="61E787C6" w:rsidR="00434A8B" w:rsidRPr="00E243C9" w:rsidRDefault="00434A8B">
      <w:pPr>
        <w:pStyle w:val="FootnoteText"/>
      </w:pPr>
      <w:r>
        <w:rPr>
          <w:rStyle w:val="FootnoteReference"/>
        </w:rPr>
        <w:footnoteRef/>
      </w:r>
      <w:r>
        <w:t xml:space="preserve"> </w:t>
      </w:r>
      <w:r>
        <w:rPr>
          <w:i/>
        </w:rPr>
        <w:t>Id</w:t>
      </w:r>
      <w:r>
        <w:t>.</w:t>
      </w:r>
    </w:p>
  </w:footnote>
  <w:footnote w:id="158">
    <w:p w14:paraId="42C5D46D" w14:textId="6102CD1E" w:rsidR="00434A8B" w:rsidRPr="00AA375F" w:rsidRDefault="00434A8B">
      <w:pPr>
        <w:pStyle w:val="FootnoteText"/>
      </w:pPr>
      <w:r w:rsidRPr="00C2088B">
        <w:rPr>
          <w:rStyle w:val="FootnoteReference"/>
          <w:sz w:val="20"/>
        </w:rPr>
        <w:footnoteRef/>
      </w:r>
      <w:r w:rsidRPr="00C2088B">
        <w:t xml:space="preserve"> SECA June 2013 White Paper at 6-7.  SECA asserts that </w:t>
      </w:r>
      <w:r>
        <w:t>t</w:t>
      </w:r>
      <w:r w:rsidRPr="00C2088B">
        <w:t>his approach will incent applicants and service providers to migrate voice telecommunications services onto the data communications network platform wherever feasible and will encourage applicants to focus on augmenting their data network transmission capability to meet the anticipated needs for online testing in the near future.</w:t>
      </w:r>
      <w:r>
        <w:t xml:space="preserve"> </w:t>
      </w:r>
      <w:r>
        <w:rPr>
          <w:i/>
        </w:rPr>
        <w:t>Id</w:t>
      </w:r>
      <w:r>
        <w:t>.</w:t>
      </w:r>
    </w:p>
  </w:footnote>
  <w:footnote w:id="159">
    <w:p w14:paraId="7877BD52" w14:textId="0A5945A6" w:rsidR="00434A8B" w:rsidRPr="00C2088B" w:rsidRDefault="00434A8B" w:rsidP="00B9652C">
      <w:pPr>
        <w:pStyle w:val="Default"/>
        <w:spacing w:after="120"/>
        <w:rPr>
          <w:rFonts w:eastAsiaTheme="minorHAnsi"/>
          <w:sz w:val="20"/>
          <w:szCs w:val="20"/>
        </w:rPr>
      </w:pPr>
      <w:r w:rsidRPr="00C2088B">
        <w:rPr>
          <w:rStyle w:val="FootnoteReference"/>
          <w:sz w:val="20"/>
          <w:szCs w:val="20"/>
        </w:rPr>
        <w:footnoteRef/>
      </w:r>
      <w:r w:rsidRPr="00C2088B">
        <w:rPr>
          <w:sz w:val="20"/>
          <w:szCs w:val="20"/>
        </w:rPr>
        <w:t xml:space="preserve"> </w:t>
      </w:r>
      <w:r>
        <w:rPr>
          <w:i/>
          <w:sz w:val="20"/>
          <w:szCs w:val="20"/>
        </w:rPr>
        <w:t>Id.</w:t>
      </w:r>
      <w:r>
        <w:rPr>
          <w:sz w:val="20"/>
          <w:szCs w:val="20"/>
        </w:rPr>
        <w:t xml:space="preserve"> at 6.  </w:t>
      </w:r>
      <w:r w:rsidRPr="00C2088B">
        <w:rPr>
          <w:sz w:val="20"/>
          <w:szCs w:val="20"/>
        </w:rPr>
        <w:t>SECA’s phase out proposal for basic voice is as follows: Year One 80% of annual phone service would be funded at the applicant’s E-rate discount; Year Two 60% of annual phone service would be funded at the applicant’s E-rate discount; Year Three 40% of annual phone service would be funded at the applicant’s E-rate discount; Year Four 20% of annual phone service would be funded at the applicant’s E-rate discount; Year Five No funding available for phone service.</w:t>
      </w:r>
    </w:p>
  </w:footnote>
  <w:footnote w:id="160">
    <w:p w14:paraId="0F1FD026" w14:textId="77777777" w:rsidR="00434A8B" w:rsidRPr="00C2088B" w:rsidRDefault="00434A8B" w:rsidP="0016642C">
      <w:pPr>
        <w:pStyle w:val="FootnoteText"/>
      </w:pPr>
      <w:r w:rsidRPr="00C2088B">
        <w:rPr>
          <w:rStyle w:val="FootnoteReference"/>
          <w:sz w:val="20"/>
        </w:rPr>
        <w:footnoteRef/>
      </w:r>
      <w:r w:rsidRPr="00C2088B">
        <w:t xml:space="preserve"> </w:t>
      </w:r>
      <w:r w:rsidRPr="00C2088B">
        <w:rPr>
          <w:i/>
        </w:rPr>
        <w:t>E-rate Broadband NPRM</w:t>
      </w:r>
      <w:r w:rsidRPr="00C2088B">
        <w:t>, 25 FCC Rcd at 6897, para. 59.</w:t>
      </w:r>
    </w:p>
  </w:footnote>
  <w:footnote w:id="161">
    <w:p w14:paraId="22C7619A" w14:textId="77777777" w:rsidR="00434A8B" w:rsidRPr="00C2088B" w:rsidRDefault="00434A8B" w:rsidP="00807DFE">
      <w:pPr>
        <w:pStyle w:val="FootnoteText"/>
      </w:pPr>
      <w:r w:rsidRPr="00C2088B">
        <w:rPr>
          <w:rStyle w:val="FootnoteReference"/>
          <w:sz w:val="20"/>
        </w:rPr>
        <w:footnoteRef/>
      </w:r>
      <w:r w:rsidRPr="00C2088B">
        <w:t xml:space="preserve"> We note that voice telephone service is the service supported by the Universal Service Fund’s high-cost and low-income programs.  47 C.F.R. § 54.101.</w:t>
      </w:r>
    </w:p>
  </w:footnote>
  <w:footnote w:id="162">
    <w:p w14:paraId="55F8246A" w14:textId="77777777" w:rsidR="00434A8B" w:rsidRPr="00C2088B" w:rsidRDefault="00434A8B" w:rsidP="00807DFE">
      <w:pPr>
        <w:pStyle w:val="FootnoteText"/>
      </w:pPr>
      <w:r w:rsidRPr="00C2088B">
        <w:rPr>
          <w:rStyle w:val="FootnoteReference"/>
          <w:sz w:val="20"/>
        </w:rPr>
        <w:footnoteRef/>
      </w:r>
      <w:r w:rsidRPr="00C2088B">
        <w:t xml:space="preserve"> 47 U.S.C. § 10.</w:t>
      </w:r>
    </w:p>
  </w:footnote>
  <w:footnote w:id="163">
    <w:p w14:paraId="71AFEC2F" w14:textId="592801F0" w:rsidR="00434A8B" w:rsidRPr="00C2088B" w:rsidRDefault="00434A8B" w:rsidP="00E7791E">
      <w:pPr>
        <w:pStyle w:val="FootnoteText"/>
      </w:pPr>
      <w:r w:rsidRPr="00C2088B">
        <w:rPr>
          <w:rStyle w:val="FootnoteReference"/>
          <w:sz w:val="20"/>
        </w:rPr>
        <w:footnoteRef/>
      </w:r>
      <w:r w:rsidRPr="00C2088B">
        <w:t xml:space="preserve"> </w:t>
      </w:r>
      <w:r w:rsidRPr="00C2088B">
        <w:rPr>
          <w:i/>
        </w:rPr>
        <w:t xml:space="preserve">See supra </w:t>
      </w:r>
      <w:r w:rsidRPr="00C2088B">
        <w:t xml:space="preserve">paras. </w:t>
      </w:r>
      <w:r w:rsidRPr="00C2088B">
        <w:fldChar w:fldCharType="begin"/>
      </w:r>
      <w:r w:rsidRPr="00C2088B">
        <w:instrText xml:space="preserve"> REF _Ref360204320 \r \h  \* MERGEFORMAT </w:instrText>
      </w:r>
      <w:r w:rsidRPr="00C2088B">
        <w:fldChar w:fldCharType="separate"/>
      </w:r>
      <w:r w:rsidR="00A0395D">
        <w:t>60</w:t>
      </w:r>
      <w:r w:rsidRPr="00C2088B">
        <w:fldChar w:fldCharType="end"/>
      </w:r>
      <w:r w:rsidRPr="00C2088B">
        <w:t>-</w:t>
      </w:r>
      <w:r w:rsidRPr="00C2088B">
        <w:fldChar w:fldCharType="begin"/>
      </w:r>
      <w:r w:rsidRPr="00C2088B">
        <w:instrText xml:space="preserve"> REF _Ref360204327 \r \h  \* MERGEFORMAT </w:instrText>
      </w:r>
      <w:r w:rsidRPr="00C2088B">
        <w:fldChar w:fldCharType="separate"/>
      </w:r>
      <w:r w:rsidR="00A0395D">
        <w:t>61</w:t>
      </w:r>
      <w:r w:rsidRPr="00C2088B">
        <w:fldChar w:fldCharType="end"/>
      </w:r>
      <w:r w:rsidRPr="00C2088B">
        <w:t xml:space="preserve">.  </w:t>
      </w:r>
    </w:p>
  </w:footnote>
  <w:footnote w:id="164">
    <w:p w14:paraId="0504C016" w14:textId="3F0488F4" w:rsidR="00434A8B" w:rsidRPr="00C2088B" w:rsidRDefault="00434A8B" w:rsidP="00E7791E">
      <w:pPr>
        <w:pStyle w:val="FootnoteText"/>
      </w:pPr>
      <w:r w:rsidRPr="00C2088B">
        <w:rPr>
          <w:rStyle w:val="FootnoteReference"/>
          <w:sz w:val="20"/>
        </w:rPr>
        <w:footnoteRef/>
      </w:r>
      <w:r w:rsidRPr="00C2088B">
        <w:t xml:space="preserve"> 47 C.F.R</w:t>
      </w:r>
      <w:r w:rsidR="00DA39C5">
        <w:t>.</w:t>
      </w:r>
      <w:r w:rsidRPr="00C2088B">
        <w:t xml:space="preserve"> § 54.505(b)(1).</w:t>
      </w:r>
    </w:p>
  </w:footnote>
  <w:footnote w:id="165">
    <w:p w14:paraId="2249CCF5" w14:textId="77777777" w:rsidR="00434A8B" w:rsidRPr="00C2088B" w:rsidRDefault="00434A8B" w:rsidP="00E7791E">
      <w:pPr>
        <w:pStyle w:val="FootnoteText"/>
      </w:pPr>
      <w:r w:rsidRPr="00C2088B">
        <w:rPr>
          <w:rStyle w:val="FootnoteReference"/>
          <w:sz w:val="20"/>
        </w:rPr>
        <w:footnoteRef/>
      </w:r>
      <w:r w:rsidRPr="00C2088B">
        <w:t xml:space="preserve"> 47 C.F.R. § 54.505(b)(2).</w:t>
      </w:r>
    </w:p>
  </w:footnote>
  <w:footnote w:id="166">
    <w:p w14:paraId="044898FE" w14:textId="77777777" w:rsidR="00434A8B" w:rsidRPr="00C2088B" w:rsidRDefault="00434A8B" w:rsidP="00E7791E">
      <w:pPr>
        <w:pStyle w:val="FootnoteText"/>
      </w:pPr>
      <w:r w:rsidRPr="00C2088B">
        <w:rPr>
          <w:rStyle w:val="FootnoteReference"/>
          <w:sz w:val="20"/>
        </w:rPr>
        <w:footnoteRef/>
      </w:r>
      <w:r w:rsidRPr="00C2088B">
        <w:t xml:space="preserve"> 47 C.F.R. § 54.505(c).</w:t>
      </w:r>
    </w:p>
  </w:footnote>
  <w:footnote w:id="167">
    <w:p w14:paraId="7021EE69" w14:textId="1DD1A382" w:rsidR="00434A8B" w:rsidRPr="00AA375F" w:rsidRDefault="00434A8B" w:rsidP="00E7791E">
      <w:pPr>
        <w:pStyle w:val="FootnoteText"/>
      </w:pPr>
      <w:r w:rsidRPr="00C2088B">
        <w:rPr>
          <w:rStyle w:val="FootnoteReference"/>
          <w:sz w:val="20"/>
        </w:rPr>
        <w:footnoteRef/>
      </w:r>
      <w:r w:rsidRPr="00C2088B">
        <w:t xml:space="preserve"> </w:t>
      </w:r>
      <w:r>
        <w:rPr>
          <w:i/>
        </w:rPr>
        <w:t>Id</w:t>
      </w:r>
      <w:r>
        <w:t xml:space="preserve">.; </w:t>
      </w:r>
      <w:r>
        <w:rPr>
          <w:i/>
        </w:rPr>
        <w:t>see also</w:t>
      </w:r>
      <w:r>
        <w:t xml:space="preserve"> </w:t>
      </w:r>
      <w:r>
        <w:rPr>
          <w:i/>
        </w:rPr>
        <w:t xml:space="preserve">supra </w:t>
      </w:r>
      <w:r>
        <w:t>Figure 1 (School and Library Discount Matrix)</w:t>
      </w:r>
      <w:r w:rsidRPr="00C2088B">
        <w:t>.</w:t>
      </w:r>
    </w:p>
  </w:footnote>
  <w:footnote w:id="168">
    <w:p w14:paraId="60C41D71" w14:textId="77777777" w:rsidR="00434A8B" w:rsidRPr="00C2088B" w:rsidRDefault="00434A8B" w:rsidP="003B5A50">
      <w:pPr>
        <w:pStyle w:val="FootnoteText"/>
      </w:pPr>
      <w:r w:rsidRPr="00C2088B">
        <w:rPr>
          <w:rStyle w:val="FootnoteReference"/>
          <w:sz w:val="20"/>
        </w:rPr>
        <w:footnoteRef/>
      </w:r>
      <w:r w:rsidRPr="00C2088B">
        <w:t xml:space="preserve"> 47 U.S.C. § 254(h)(1)(B).</w:t>
      </w:r>
    </w:p>
  </w:footnote>
  <w:footnote w:id="169">
    <w:p w14:paraId="5EAA5616" w14:textId="0770DA67" w:rsidR="00434A8B" w:rsidRPr="00C2088B" w:rsidRDefault="00434A8B" w:rsidP="00E7791E">
      <w:pPr>
        <w:pStyle w:val="FootnoteText"/>
      </w:pPr>
      <w:r w:rsidRPr="00C2088B">
        <w:rPr>
          <w:rStyle w:val="FootnoteReference"/>
          <w:sz w:val="20"/>
        </w:rPr>
        <w:footnoteRef/>
      </w:r>
      <w:r w:rsidRPr="00C2088B">
        <w:t xml:space="preserve"> </w:t>
      </w:r>
      <w:r w:rsidRPr="00C2088B">
        <w:rPr>
          <w:i/>
        </w:rPr>
        <w:t xml:space="preserve">See </w:t>
      </w:r>
      <w:r w:rsidRPr="00C2088B">
        <w:t xml:space="preserve">USAC, Schools and Libraries, Search Commitments (as of June 13, 2013),  </w:t>
      </w:r>
      <w:r w:rsidRPr="00C2088B">
        <w:rPr>
          <w:i/>
        </w:rPr>
        <w:t>available at</w:t>
      </w:r>
      <w:r w:rsidRPr="00C2088B">
        <w:t xml:space="preserve"> </w:t>
      </w:r>
      <w:hyperlink r:id="rId54" w:history="1">
        <w:r w:rsidRPr="00C2088B">
          <w:rPr>
            <w:rStyle w:val="Hyperlink"/>
          </w:rPr>
          <w:t>http://www.universalservice.org/sl/tools/commitments-search/Default.aspx</w:t>
        </w:r>
      </w:hyperlink>
      <w:r w:rsidRPr="00C2088B">
        <w:t xml:space="preserve"> (last visited July 15, 2013).</w:t>
      </w:r>
    </w:p>
  </w:footnote>
  <w:footnote w:id="170">
    <w:p w14:paraId="47B56242" w14:textId="2CC86010" w:rsidR="00434A8B" w:rsidRPr="00C2088B" w:rsidRDefault="00434A8B" w:rsidP="00767B1C">
      <w:pPr>
        <w:pStyle w:val="FootnoteText"/>
      </w:pPr>
      <w:r w:rsidRPr="00C2088B">
        <w:rPr>
          <w:rStyle w:val="FootnoteReference"/>
          <w:sz w:val="20"/>
        </w:rPr>
        <w:footnoteRef/>
      </w:r>
      <w:r w:rsidRPr="00C2088B">
        <w:t xml:space="preserve"> Some support a maximum </w:t>
      </w:r>
      <w:r>
        <w:t>priority two</w:t>
      </w:r>
      <w:r w:rsidRPr="00C2088B">
        <w:t xml:space="preserve"> discount of 70%.  </w:t>
      </w:r>
      <w:r w:rsidRPr="00C2088B">
        <w:rPr>
          <w:i/>
          <w:iCs/>
        </w:rPr>
        <w:t>See, e.g.,</w:t>
      </w:r>
      <w:r w:rsidRPr="00C2088B">
        <w:t xml:space="preserve"> SECA Comments in CC Docket No. 02-6 at 43 (filed July 8, 2010); California Dept. of Educ. Comments in CC Docket No. 02-6 at 15 (filed July 9, 2010); Wisconsin Dept. of Public Instruction, Comments in CC Docket No. 02-6 at 9 (filed July 9, 2010); Alaska Department of Education and Early Development, Alaska State Library, and Alaska E-rate Coordinator’s Office Comments in CC Docket No. 02-6 at 9-10 (filed July 9, 2010); E-Rate Management Professionals Assoc. Comments in CC Docket No. 02-6 at 18 (filed July 8, 2010)(or 80% maximum).  </w:t>
      </w:r>
      <w:r w:rsidRPr="00C2088B">
        <w:rPr>
          <w:i/>
        </w:rPr>
        <w:t xml:space="preserve">See also infra </w:t>
      </w:r>
      <w:r w:rsidRPr="00C2088B">
        <w:t>n.</w:t>
      </w:r>
      <w:r w:rsidRPr="00C2088B">
        <w:fldChar w:fldCharType="begin"/>
      </w:r>
      <w:r w:rsidRPr="00C2088B">
        <w:instrText xml:space="preserve"> NOTEREF _Ref358985908 \h  \* MERGEFORMAT </w:instrText>
      </w:r>
      <w:r w:rsidRPr="00C2088B">
        <w:fldChar w:fldCharType="separate"/>
      </w:r>
      <w:r w:rsidR="00A0395D">
        <w:t>171</w:t>
      </w:r>
      <w:r w:rsidRPr="00C2088B">
        <w:fldChar w:fldCharType="end"/>
      </w:r>
      <w:r w:rsidRPr="00C2088B">
        <w:t>.</w:t>
      </w:r>
    </w:p>
  </w:footnote>
  <w:footnote w:id="171">
    <w:p w14:paraId="148756C5" w14:textId="3B401F58" w:rsidR="00434A8B" w:rsidRPr="00C2088B" w:rsidRDefault="00434A8B">
      <w:pPr>
        <w:pStyle w:val="FootnoteText"/>
      </w:pPr>
      <w:r w:rsidRPr="00C2088B">
        <w:rPr>
          <w:rStyle w:val="FootnoteReference"/>
          <w:sz w:val="20"/>
        </w:rPr>
        <w:footnoteRef/>
      </w:r>
      <w:r w:rsidRPr="00C2088B">
        <w:t xml:space="preserve"> </w:t>
      </w:r>
      <w:r w:rsidRPr="00C2088B">
        <w:rPr>
          <w:i/>
        </w:rPr>
        <w:t xml:space="preserve">See </w:t>
      </w:r>
      <w:r w:rsidRPr="00C2088B">
        <w:t>USAC, Recommendations of the Task Force on the Prevention of Waste, Fraud and Abuse, at 3-4 (Sept. 22, 2003) (submitted with letter from Cheryl Parrino, USAC, to Marlene Dortch, Secretary, FCC (filed Nov. 26, 2003)) (2003 USAC Task Force).</w:t>
      </w:r>
    </w:p>
  </w:footnote>
  <w:footnote w:id="172">
    <w:p w14:paraId="27188069" w14:textId="7548E3A4" w:rsidR="00434A8B" w:rsidRPr="00C2088B" w:rsidRDefault="00434A8B">
      <w:pPr>
        <w:pStyle w:val="FootnoteText"/>
      </w:pPr>
      <w:r w:rsidRPr="00C2088B">
        <w:rPr>
          <w:rStyle w:val="FootnoteReference"/>
          <w:sz w:val="20"/>
        </w:rPr>
        <w:footnoteRef/>
      </w:r>
      <w:r w:rsidRPr="00C2088B">
        <w:t xml:space="preserve"> </w:t>
      </w:r>
      <w:r w:rsidRPr="00C2088B">
        <w:rPr>
          <w:i/>
        </w:rPr>
        <w:t xml:space="preserve">Id. </w:t>
      </w:r>
      <w:r w:rsidRPr="00C2088B">
        <w:t xml:space="preserve"> Others also supported a reduction in the maximum 80% discount for </w:t>
      </w:r>
      <w:r>
        <w:t>priority two</w:t>
      </w:r>
      <w:r w:rsidRPr="00C2088B">
        <w:t xml:space="preserve"> services in their responses to the 2010 E-rate Broadband NPRM. </w:t>
      </w:r>
      <w:r w:rsidRPr="00C2088B">
        <w:rPr>
          <w:i/>
          <w:iCs/>
        </w:rPr>
        <w:t>See, e.g.,</w:t>
      </w:r>
      <w:r w:rsidRPr="00C2088B">
        <w:t xml:space="preserve"> New York State Depart. Of Education Comments in CC Docket No. 02-6 at 8-9 (filed July 9, 2010) (also supporting an 80% maximum for </w:t>
      </w:r>
      <w:r>
        <w:t>priority one</w:t>
      </w:r>
      <w:r w:rsidRPr="00C2088B">
        <w:t xml:space="preserve"> services); Funds for Learning Comments in CC Docket No. 02-6 at 6-9 (filed July 9, 2010) (also supporting a maximum 85% discount for </w:t>
      </w:r>
      <w:r>
        <w:t>priority one</w:t>
      </w:r>
      <w:r w:rsidRPr="00C2088B">
        <w:t xml:space="preserve"> services); E-Rate Central Reply Comments in CC Docket No. 02-6 at 7 (filed July 24, 2010) (also supporting a maximum 80% discount for </w:t>
      </w:r>
      <w:r>
        <w:t>priority one</w:t>
      </w:r>
      <w:r w:rsidRPr="00C2088B">
        <w:t xml:space="preserve"> services); E-Rate Management Professionals Assoc. Comments in CC Docket No. 02-6 at 18 (filed July 8, 2010) (70% maximum); Kellogg &amp; Sovereign Comments in CC Docket No. 02-6 at 19-23 (filed July 9, 2012).</w:t>
      </w:r>
    </w:p>
  </w:footnote>
  <w:footnote w:id="173">
    <w:p w14:paraId="72030280" w14:textId="0851F641" w:rsidR="00434A8B" w:rsidRPr="00C2088B" w:rsidRDefault="00434A8B">
      <w:pPr>
        <w:pStyle w:val="FootnoteText"/>
      </w:pPr>
      <w:r w:rsidRPr="00C2088B">
        <w:rPr>
          <w:rStyle w:val="FootnoteReference"/>
          <w:sz w:val="20"/>
        </w:rPr>
        <w:footnoteRef/>
      </w:r>
      <w:r w:rsidRPr="00C2088B">
        <w:t xml:space="preserve"> </w:t>
      </w:r>
      <w:r w:rsidRPr="00C2088B">
        <w:rPr>
          <w:i/>
        </w:rPr>
        <w:t>See infra</w:t>
      </w:r>
      <w:r w:rsidRPr="00C2088B">
        <w:t xml:space="preserve"> para. </w:t>
      </w:r>
      <w:r w:rsidRPr="00C2088B">
        <w:fldChar w:fldCharType="begin"/>
      </w:r>
      <w:r w:rsidRPr="00C2088B">
        <w:instrText xml:space="preserve"> REF _Ref360204489 \r \h  \* MERGEFORMAT </w:instrText>
      </w:r>
      <w:r w:rsidRPr="00C2088B">
        <w:fldChar w:fldCharType="separate"/>
      </w:r>
      <w:r w:rsidR="00A0395D">
        <w:t>136</w:t>
      </w:r>
      <w:r w:rsidRPr="00C2088B">
        <w:fldChar w:fldCharType="end"/>
      </w:r>
      <w:r w:rsidRPr="00C2088B">
        <w:t xml:space="preserve">.  </w:t>
      </w:r>
      <w:r w:rsidRPr="00C2088B">
        <w:rPr>
          <w:i/>
        </w:rPr>
        <w:t>See also,</w:t>
      </w:r>
      <w:r w:rsidRPr="00C2088B">
        <w:t xml:space="preserve"> </w:t>
      </w:r>
      <w:r w:rsidRPr="00C2088B">
        <w:rPr>
          <w:i/>
        </w:rPr>
        <w:t xml:space="preserve">e.g., </w:t>
      </w:r>
      <w:r w:rsidRPr="00C2088B">
        <w:t xml:space="preserve">FFL Feb. 2013 Rep. at 16. </w:t>
      </w:r>
    </w:p>
  </w:footnote>
  <w:footnote w:id="174">
    <w:p w14:paraId="709B3719" w14:textId="1C558E9B" w:rsidR="00434A8B" w:rsidRPr="00C2088B" w:rsidRDefault="00434A8B">
      <w:pPr>
        <w:pStyle w:val="FootnoteText"/>
      </w:pPr>
      <w:r w:rsidRPr="00C2088B">
        <w:rPr>
          <w:rStyle w:val="FootnoteReference"/>
          <w:sz w:val="20"/>
        </w:rPr>
        <w:footnoteRef/>
      </w:r>
      <w:r w:rsidRPr="00C2088B">
        <w:t xml:space="preserve"> John Harrington, </w:t>
      </w:r>
      <w:r w:rsidRPr="00C2088B">
        <w:rPr>
          <w:i/>
        </w:rPr>
        <w:t>E-Rate Myths</w:t>
      </w:r>
      <w:r w:rsidRPr="00C2088B">
        <w:t>,</w:t>
      </w:r>
      <w:r w:rsidRPr="00C2088B">
        <w:rPr>
          <w:i/>
        </w:rPr>
        <w:t xml:space="preserve"> </w:t>
      </w:r>
      <w:r w:rsidRPr="00C2088B">
        <w:t xml:space="preserve">Funds for Learning (Jun. 10, 2013), </w:t>
      </w:r>
      <w:r w:rsidRPr="004F322C">
        <w:rPr>
          <w:i/>
        </w:rPr>
        <w:t>available at</w:t>
      </w:r>
      <w:r>
        <w:t xml:space="preserve"> </w:t>
      </w:r>
      <w:hyperlink r:id="rId55" w:history="1">
        <w:r w:rsidRPr="00C2088B">
          <w:t>http://www.fundsforlearning.com/blog/2013/06/e-rate-myths</w:t>
        </w:r>
      </w:hyperlink>
      <w:r w:rsidRPr="00C2088B">
        <w:t xml:space="preserve"> (last visited July 15, 2013).</w:t>
      </w:r>
    </w:p>
  </w:footnote>
  <w:footnote w:id="175">
    <w:p w14:paraId="4DDA7120" w14:textId="24C7BF51" w:rsidR="00434A8B" w:rsidRPr="00AA375F" w:rsidRDefault="00434A8B">
      <w:pPr>
        <w:pStyle w:val="FootnoteText"/>
      </w:pPr>
      <w:r>
        <w:rPr>
          <w:rStyle w:val="FootnoteReference"/>
        </w:rPr>
        <w:footnoteRef/>
      </w:r>
      <w:r>
        <w:t xml:space="preserve"> </w:t>
      </w:r>
      <w:r>
        <w:rPr>
          <w:i/>
        </w:rPr>
        <w:t>Id</w:t>
      </w:r>
      <w:r>
        <w:t>.</w:t>
      </w:r>
    </w:p>
  </w:footnote>
  <w:footnote w:id="176">
    <w:p w14:paraId="08480CAE" w14:textId="14BF768F" w:rsidR="00434A8B" w:rsidRPr="00C2088B" w:rsidRDefault="00434A8B">
      <w:pPr>
        <w:pStyle w:val="FootnoteText"/>
      </w:pPr>
      <w:r w:rsidRPr="00C2088B">
        <w:rPr>
          <w:rStyle w:val="FootnoteReference"/>
          <w:sz w:val="20"/>
        </w:rPr>
        <w:footnoteRef/>
      </w:r>
      <w:r w:rsidRPr="00C2088B">
        <w:t xml:space="preserve"> </w:t>
      </w:r>
      <w:r w:rsidRPr="00C2088B">
        <w:rPr>
          <w:i/>
        </w:rPr>
        <w:t>See</w:t>
      </w:r>
      <w:r w:rsidRPr="00C2088B">
        <w:t xml:space="preserve"> </w:t>
      </w:r>
      <w:r w:rsidRPr="00C2088B">
        <w:rPr>
          <w:i/>
        </w:rPr>
        <w:t>Healthcare Connect Fund Order</w:t>
      </w:r>
      <w:r w:rsidRPr="00C2088B">
        <w:t xml:space="preserve"> 27 FCC Rcd at 16717-19, paras. 84, 91.</w:t>
      </w:r>
    </w:p>
  </w:footnote>
  <w:footnote w:id="177">
    <w:p w14:paraId="733D5282" w14:textId="76580B2A" w:rsidR="00434A8B" w:rsidRPr="00C2088B" w:rsidRDefault="00434A8B" w:rsidP="00ED0CE4">
      <w:pPr>
        <w:pStyle w:val="FootnoteText"/>
      </w:pPr>
      <w:r w:rsidRPr="00C2088B">
        <w:rPr>
          <w:rStyle w:val="FootnoteReference"/>
          <w:sz w:val="20"/>
        </w:rPr>
        <w:footnoteRef/>
      </w:r>
      <w:r w:rsidRPr="00C2088B">
        <w:t xml:space="preserve"> We adopted a 65</w:t>
      </w:r>
      <w:r>
        <w:t>%</w:t>
      </w:r>
      <w:r w:rsidRPr="00C2088B">
        <w:t xml:space="preserve"> discount for eligible health care providers in the </w:t>
      </w:r>
      <w:r w:rsidRPr="00C2088B">
        <w:rPr>
          <w:i/>
        </w:rPr>
        <w:t xml:space="preserve">Healthcare Connect </w:t>
      </w:r>
      <w:r>
        <w:rPr>
          <w:i/>
        </w:rPr>
        <w:t xml:space="preserve">Fund </w:t>
      </w:r>
      <w:r w:rsidRPr="00C2088B">
        <w:rPr>
          <w:i/>
        </w:rPr>
        <w:t>Order</w:t>
      </w:r>
      <w:r w:rsidRPr="00C2088B">
        <w:t xml:space="preserve">.  </w:t>
      </w:r>
      <w:r w:rsidRPr="00C2088B">
        <w:rPr>
          <w:i/>
        </w:rPr>
        <w:t>See id.</w:t>
      </w:r>
    </w:p>
  </w:footnote>
  <w:footnote w:id="178">
    <w:p w14:paraId="5E601A0C" w14:textId="6A4C7309" w:rsidR="00434A8B" w:rsidRPr="00C2088B" w:rsidRDefault="00434A8B" w:rsidP="0096525D">
      <w:pPr>
        <w:pStyle w:val="FootnoteText"/>
      </w:pPr>
      <w:r w:rsidRPr="00C2088B">
        <w:rPr>
          <w:rStyle w:val="FootnoteReference"/>
          <w:sz w:val="20"/>
        </w:rPr>
        <w:footnoteRef/>
      </w:r>
      <w:r w:rsidRPr="00C2088B">
        <w:t xml:space="preserve"> </w:t>
      </w:r>
      <w:r w:rsidRPr="00C2088B">
        <w:rPr>
          <w:i/>
        </w:rPr>
        <w:t>See infra</w:t>
      </w:r>
      <w:r w:rsidRPr="00C2088B">
        <w:t xml:space="preserve"> paras. </w:t>
      </w:r>
      <w:r w:rsidRPr="00C2088B">
        <w:fldChar w:fldCharType="begin"/>
      </w:r>
      <w:r w:rsidRPr="00C2088B">
        <w:instrText xml:space="preserve"> REF _Ref360204550 \r \h  \* MERGEFORMAT </w:instrText>
      </w:r>
      <w:r w:rsidRPr="00C2088B">
        <w:fldChar w:fldCharType="separate"/>
      </w:r>
      <w:r w:rsidR="00A0395D">
        <w:t>179</w:t>
      </w:r>
      <w:r w:rsidRPr="00C2088B">
        <w:fldChar w:fldCharType="end"/>
      </w:r>
      <w:r w:rsidRPr="00C2088B">
        <w:t>-</w:t>
      </w:r>
      <w:r w:rsidRPr="00C2088B">
        <w:fldChar w:fldCharType="begin"/>
      </w:r>
      <w:r w:rsidRPr="00C2088B">
        <w:instrText xml:space="preserve"> REF _Ref360204575 \r \h  \* MERGEFORMAT </w:instrText>
      </w:r>
      <w:r w:rsidRPr="00C2088B">
        <w:fldChar w:fldCharType="separate"/>
      </w:r>
      <w:r w:rsidR="00A0395D">
        <w:t>185</w:t>
      </w:r>
      <w:r w:rsidRPr="00C2088B">
        <w:fldChar w:fldCharType="end"/>
      </w:r>
      <w:r w:rsidRPr="00C2088B">
        <w:t>, discussing ways to expand the use of consortium purchasing in the E-rate program.</w:t>
      </w:r>
    </w:p>
  </w:footnote>
  <w:footnote w:id="179">
    <w:p w14:paraId="0EA1D49F" w14:textId="33E14948" w:rsidR="00434A8B" w:rsidRPr="00C2088B" w:rsidRDefault="00434A8B">
      <w:pPr>
        <w:pStyle w:val="FootnoteText"/>
      </w:pPr>
      <w:r w:rsidRPr="00C2088B">
        <w:rPr>
          <w:rStyle w:val="FootnoteReference"/>
          <w:sz w:val="20"/>
        </w:rPr>
        <w:footnoteRef/>
      </w:r>
      <w:r w:rsidRPr="00C2088B">
        <w:t xml:space="preserve"> SECA </w:t>
      </w:r>
      <w:r w:rsidRPr="00C2088B">
        <w:rPr>
          <w:i/>
        </w:rPr>
        <w:t>E-rate Broadband NPRM</w:t>
      </w:r>
      <w:r w:rsidRPr="00C2088B">
        <w:t xml:space="preserve"> Comments, CC Docket No. 02-6, at 43-44 (filed July 9, 2010) (SECA </w:t>
      </w:r>
      <w:r w:rsidRPr="00C2088B">
        <w:rPr>
          <w:i/>
        </w:rPr>
        <w:t>E-rate Broadband NPRM</w:t>
      </w:r>
      <w:r w:rsidRPr="00C2088B">
        <w:t xml:space="preserve"> Comments).</w:t>
      </w:r>
    </w:p>
  </w:footnote>
  <w:footnote w:id="180">
    <w:p w14:paraId="40A18D64" w14:textId="77777777" w:rsidR="00434A8B" w:rsidRPr="00C2088B" w:rsidRDefault="00434A8B" w:rsidP="00D42D06">
      <w:pPr>
        <w:pStyle w:val="FootnoteText"/>
      </w:pPr>
      <w:r w:rsidRPr="00C2088B">
        <w:rPr>
          <w:rStyle w:val="FootnoteReference"/>
          <w:sz w:val="20"/>
        </w:rPr>
        <w:footnoteRef/>
      </w:r>
      <w:r w:rsidRPr="00C2088B">
        <w:t xml:space="preserve"> </w:t>
      </w:r>
      <w:r w:rsidRPr="00C2088B">
        <w:rPr>
          <w:i/>
          <w:iCs/>
        </w:rPr>
        <w:t>See</w:t>
      </w:r>
      <w:r w:rsidRPr="00C2088B">
        <w:t xml:space="preserve"> 47 C.F.R. § 54.505(b)(4).</w:t>
      </w:r>
      <w:r w:rsidRPr="00C2088B">
        <w:rPr>
          <w:i/>
        </w:rPr>
        <w:t xml:space="preserve"> </w:t>
      </w:r>
    </w:p>
  </w:footnote>
  <w:footnote w:id="181">
    <w:p w14:paraId="10BA04AE" w14:textId="77777777" w:rsidR="00434A8B" w:rsidRPr="00C2088B" w:rsidRDefault="00434A8B" w:rsidP="00D42D06">
      <w:pPr>
        <w:pStyle w:val="FootnoteText"/>
      </w:pPr>
      <w:r w:rsidRPr="00C2088B">
        <w:rPr>
          <w:rStyle w:val="FootnoteReference"/>
          <w:sz w:val="20"/>
        </w:rPr>
        <w:footnoteRef/>
      </w:r>
      <w:r w:rsidRPr="00C2088B">
        <w:t xml:space="preserve"> </w:t>
      </w:r>
      <w:r w:rsidRPr="00C2088B">
        <w:rPr>
          <w:i/>
        </w:rPr>
        <w:t>Id.</w:t>
      </w:r>
    </w:p>
  </w:footnote>
  <w:footnote w:id="182">
    <w:p w14:paraId="4B524866" w14:textId="77777777" w:rsidR="00434A8B" w:rsidRPr="00C2088B" w:rsidRDefault="00434A8B" w:rsidP="00D42D06">
      <w:pPr>
        <w:pStyle w:val="FootnoteText"/>
      </w:pPr>
      <w:r w:rsidRPr="00C2088B">
        <w:rPr>
          <w:rStyle w:val="FootnoteReference"/>
          <w:sz w:val="20"/>
        </w:rPr>
        <w:footnoteRef/>
      </w:r>
      <w:r w:rsidRPr="00C2088B">
        <w:t xml:space="preserve"> </w:t>
      </w:r>
      <w:r w:rsidRPr="00C2088B">
        <w:rPr>
          <w:i/>
        </w:rPr>
        <w:t>Id.</w:t>
      </w:r>
    </w:p>
  </w:footnote>
  <w:footnote w:id="183">
    <w:p w14:paraId="2EB04BF2" w14:textId="77777777" w:rsidR="00434A8B" w:rsidRPr="00C2088B" w:rsidRDefault="00434A8B" w:rsidP="00D42D06">
      <w:pPr>
        <w:pStyle w:val="FootnoteText"/>
      </w:pPr>
      <w:r w:rsidRPr="00C2088B">
        <w:rPr>
          <w:rStyle w:val="FootnoteReference"/>
          <w:sz w:val="20"/>
        </w:rPr>
        <w:footnoteRef/>
      </w:r>
      <w:r w:rsidRPr="00C2088B">
        <w:t xml:space="preserve"> </w:t>
      </w:r>
      <w:r w:rsidRPr="00C2088B">
        <w:rPr>
          <w:i/>
        </w:rPr>
        <w:t xml:space="preserve">Id. </w:t>
      </w:r>
    </w:p>
  </w:footnote>
  <w:footnote w:id="184">
    <w:p w14:paraId="3C5E430E" w14:textId="77777777" w:rsidR="00434A8B" w:rsidRPr="00C2088B" w:rsidRDefault="00434A8B" w:rsidP="00D42D06">
      <w:pPr>
        <w:spacing w:after="120"/>
        <w:rPr>
          <w:sz w:val="20"/>
        </w:rPr>
      </w:pPr>
      <w:r w:rsidRPr="00C2088B">
        <w:rPr>
          <w:rStyle w:val="FootnoteReference"/>
          <w:sz w:val="20"/>
        </w:rPr>
        <w:footnoteRef/>
      </w:r>
      <w:r w:rsidRPr="00C2088B">
        <w:rPr>
          <w:sz w:val="20"/>
        </w:rPr>
        <w:t xml:space="preserve"> </w:t>
      </w:r>
      <w:r w:rsidRPr="00C2088B">
        <w:rPr>
          <w:i/>
          <w:sz w:val="20"/>
        </w:rPr>
        <w:t xml:space="preserve">See </w:t>
      </w:r>
      <w:r w:rsidRPr="00C2088B">
        <w:rPr>
          <w:sz w:val="20"/>
        </w:rPr>
        <w:t xml:space="preserve">Schools and Libraries Universal Service, </w:t>
      </w:r>
      <w:r w:rsidRPr="00C2088B">
        <w:rPr>
          <w:bCs/>
          <w:sz w:val="20"/>
        </w:rPr>
        <w:t>Instructions for Completing the Schools and Libraries Universal Service Services Ordered and Certification Form, OMB 3060-0806 (October 2010).</w:t>
      </w:r>
    </w:p>
  </w:footnote>
  <w:footnote w:id="185">
    <w:p w14:paraId="073F3626" w14:textId="77777777" w:rsidR="00434A8B" w:rsidRPr="00C2088B" w:rsidRDefault="00434A8B" w:rsidP="00D42D06">
      <w:pPr>
        <w:pStyle w:val="FootnoteText"/>
      </w:pPr>
      <w:r w:rsidRPr="00C2088B">
        <w:rPr>
          <w:rStyle w:val="FootnoteReference"/>
          <w:sz w:val="20"/>
        </w:rPr>
        <w:footnoteRef/>
      </w:r>
      <w:r w:rsidRPr="00C2088B">
        <w:t xml:space="preserve"> </w:t>
      </w:r>
      <w:r w:rsidRPr="00C2088B">
        <w:rPr>
          <w:i/>
        </w:rPr>
        <w:t>See E-rate Broadband NPRM</w:t>
      </w:r>
      <w:r w:rsidRPr="00C2088B">
        <w:t>, 25 FCC Rcd at 6887-88, paras. 34-36.</w:t>
      </w:r>
    </w:p>
  </w:footnote>
  <w:footnote w:id="186">
    <w:p w14:paraId="7BA8B002" w14:textId="77777777" w:rsidR="00434A8B" w:rsidRPr="00C2088B" w:rsidRDefault="00434A8B" w:rsidP="00800293">
      <w:pPr>
        <w:pStyle w:val="FootnoteText"/>
      </w:pPr>
      <w:r w:rsidRPr="00C2088B">
        <w:rPr>
          <w:rStyle w:val="FootnoteReference"/>
          <w:sz w:val="20"/>
        </w:rPr>
        <w:footnoteRef/>
      </w:r>
      <w:r w:rsidRPr="00C2088B">
        <w:t xml:space="preserve"> </w:t>
      </w:r>
      <w:r w:rsidRPr="00C2088B">
        <w:rPr>
          <w:i/>
        </w:rPr>
        <w:t>Id.</w:t>
      </w:r>
    </w:p>
  </w:footnote>
  <w:footnote w:id="187">
    <w:p w14:paraId="504F5DD2" w14:textId="77777777" w:rsidR="00434A8B" w:rsidRPr="00C2088B" w:rsidRDefault="00434A8B" w:rsidP="00D42D06">
      <w:pPr>
        <w:pStyle w:val="FootnoteText"/>
      </w:pPr>
      <w:r w:rsidRPr="00C2088B">
        <w:rPr>
          <w:rStyle w:val="FootnoteReference"/>
          <w:sz w:val="20"/>
        </w:rPr>
        <w:footnoteRef/>
      </w:r>
      <w:r w:rsidRPr="00C2088B">
        <w:t xml:space="preserve"> </w:t>
      </w:r>
      <w:r w:rsidRPr="00C2088B">
        <w:rPr>
          <w:i/>
        </w:rPr>
        <w:t>Id.</w:t>
      </w:r>
    </w:p>
  </w:footnote>
  <w:footnote w:id="188">
    <w:p w14:paraId="0FCF1FB4" w14:textId="77777777" w:rsidR="00434A8B" w:rsidRPr="00C2088B" w:rsidRDefault="00434A8B" w:rsidP="00D42D06">
      <w:pPr>
        <w:pStyle w:val="FootnoteText"/>
      </w:pPr>
      <w:r w:rsidRPr="00C2088B">
        <w:rPr>
          <w:rStyle w:val="FootnoteReference"/>
          <w:sz w:val="20"/>
        </w:rPr>
        <w:footnoteRef/>
      </w:r>
      <w:r w:rsidRPr="00C2088B">
        <w:t xml:space="preserve"> </w:t>
      </w:r>
      <w:r w:rsidRPr="00C2088B">
        <w:rPr>
          <w:i/>
        </w:rPr>
        <w:t>Id.</w:t>
      </w:r>
    </w:p>
  </w:footnote>
  <w:footnote w:id="189">
    <w:p w14:paraId="7D61D690" w14:textId="68D1C376" w:rsidR="00434A8B" w:rsidRPr="00C2088B" w:rsidRDefault="00434A8B" w:rsidP="00C00105">
      <w:pPr>
        <w:pStyle w:val="FootnoteText"/>
      </w:pPr>
      <w:r w:rsidRPr="00C2088B">
        <w:rPr>
          <w:rStyle w:val="FootnoteReference"/>
          <w:sz w:val="20"/>
        </w:rPr>
        <w:footnoteRef/>
      </w:r>
      <w:r w:rsidRPr="00C2088B">
        <w:t xml:space="preserve"> SECA June 2013 White Paper at 14.</w:t>
      </w:r>
    </w:p>
  </w:footnote>
  <w:footnote w:id="190">
    <w:p w14:paraId="17FFEAC6" w14:textId="11E60487" w:rsidR="00434A8B" w:rsidRPr="00C2088B" w:rsidRDefault="00434A8B" w:rsidP="00D42D06">
      <w:pPr>
        <w:pStyle w:val="FootnoteText"/>
      </w:pPr>
      <w:r w:rsidRPr="00C2088B">
        <w:rPr>
          <w:rStyle w:val="FootnoteReference"/>
          <w:sz w:val="20"/>
        </w:rPr>
        <w:footnoteRef/>
      </w:r>
      <w:r w:rsidRPr="00C2088B">
        <w:t xml:space="preserve"> We note that a rulemaking change involving C</w:t>
      </w:r>
      <w:r>
        <w:t>EO</w:t>
      </w:r>
      <w:r w:rsidRPr="00C2088B">
        <w:t xml:space="preserve"> could affect this proposed revision.  </w:t>
      </w:r>
      <w:r w:rsidRPr="00C2088B">
        <w:rPr>
          <w:i/>
        </w:rPr>
        <w:t>See infra</w:t>
      </w:r>
      <w:r w:rsidRPr="00C2088B">
        <w:t xml:space="preserve"> paras. </w:t>
      </w:r>
      <w:r w:rsidRPr="00C2088B">
        <w:rPr>
          <w:highlight w:val="yellow"/>
        </w:rPr>
        <w:fldChar w:fldCharType="begin"/>
      </w:r>
      <w:r w:rsidRPr="00C2088B">
        <w:instrText xml:space="preserve"> REF _Ref360204651 \r \h </w:instrText>
      </w:r>
      <w:r w:rsidRPr="00C2088B">
        <w:rPr>
          <w:highlight w:val="yellow"/>
        </w:rPr>
        <w:instrText xml:space="preserve"> \* MERGEFORMAT </w:instrText>
      </w:r>
      <w:r w:rsidRPr="00C2088B">
        <w:rPr>
          <w:highlight w:val="yellow"/>
        </w:rPr>
      </w:r>
      <w:r w:rsidRPr="00C2088B">
        <w:rPr>
          <w:highlight w:val="yellow"/>
        </w:rPr>
        <w:fldChar w:fldCharType="separate"/>
      </w:r>
      <w:r w:rsidR="00A0395D">
        <w:t>282</w:t>
      </w:r>
      <w:r w:rsidRPr="00C2088B">
        <w:rPr>
          <w:highlight w:val="yellow"/>
        </w:rPr>
        <w:fldChar w:fldCharType="end"/>
      </w:r>
      <w:r w:rsidRPr="00C2088B">
        <w:t>-</w:t>
      </w:r>
      <w:r w:rsidRPr="00C2088B">
        <w:fldChar w:fldCharType="begin"/>
      </w:r>
      <w:r w:rsidRPr="00C2088B">
        <w:instrText xml:space="preserve"> REF _Ref360204671 \r \h  \* MERGEFORMAT </w:instrText>
      </w:r>
      <w:r w:rsidRPr="00C2088B">
        <w:fldChar w:fldCharType="separate"/>
      </w:r>
      <w:r w:rsidR="00A0395D">
        <w:t>293</w:t>
      </w:r>
      <w:r w:rsidRPr="00C2088B">
        <w:fldChar w:fldCharType="end"/>
      </w:r>
      <w:r w:rsidRPr="00C2088B">
        <w:t>.</w:t>
      </w:r>
    </w:p>
  </w:footnote>
  <w:footnote w:id="191">
    <w:p w14:paraId="62307DE5" w14:textId="36CDAE56" w:rsidR="00434A8B" w:rsidRPr="00C2088B" w:rsidRDefault="00434A8B">
      <w:pPr>
        <w:pStyle w:val="FootnoteText"/>
      </w:pPr>
      <w:r w:rsidRPr="00C2088B">
        <w:rPr>
          <w:rStyle w:val="FootnoteReference"/>
          <w:sz w:val="20"/>
        </w:rPr>
        <w:footnoteRef/>
      </w:r>
      <w:r w:rsidRPr="00C2088B">
        <w:t xml:space="preserve"> </w:t>
      </w:r>
      <w:r w:rsidRPr="00C2088B">
        <w:rPr>
          <w:i/>
        </w:rPr>
        <w:t xml:space="preserve">See infra </w:t>
      </w:r>
      <w:r w:rsidRPr="00C2088B">
        <w:t>paras.</w:t>
      </w:r>
      <w:r>
        <w:t xml:space="preserve"> </w:t>
      </w:r>
      <w:r>
        <w:fldChar w:fldCharType="begin"/>
      </w:r>
      <w:r>
        <w:instrText xml:space="preserve"> REF _Ref362253043 \r \h </w:instrText>
      </w:r>
      <w:r>
        <w:fldChar w:fldCharType="separate"/>
      </w:r>
      <w:r w:rsidR="00A0395D">
        <w:t>276</w:t>
      </w:r>
      <w:r>
        <w:fldChar w:fldCharType="end"/>
      </w:r>
      <w:r>
        <w:t>-</w:t>
      </w:r>
      <w:r>
        <w:fldChar w:fldCharType="begin"/>
      </w:r>
      <w:r>
        <w:instrText xml:space="preserve"> REF _Ref362253068 \r \h </w:instrText>
      </w:r>
      <w:r>
        <w:fldChar w:fldCharType="separate"/>
      </w:r>
      <w:r w:rsidR="00A0395D">
        <w:t>281</w:t>
      </w:r>
      <w:r>
        <w:fldChar w:fldCharType="end"/>
      </w:r>
      <w:r w:rsidRPr="00C2088B">
        <w:t>.</w:t>
      </w:r>
    </w:p>
  </w:footnote>
  <w:footnote w:id="192">
    <w:p w14:paraId="4EC85F86" w14:textId="6C858A8B" w:rsidR="00434A8B" w:rsidRPr="00C2088B" w:rsidRDefault="00434A8B">
      <w:pPr>
        <w:pStyle w:val="FootnoteText"/>
      </w:pPr>
      <w:r w:rsidRPr="00C2088B">
        <w:rPr>
          <w:rStyle w:val="FootnoteReference"/>
          <w:sz w:val="20"/>
        </w:rPr>
        <w:footnoteRef/>
      </w:r>
      <w:r w:rsidRPr="00C2088B">
        <w:t xml:space="preserve"> </w:t>
      </w:r>
      <w:r w:rsidRPr="00C2088B">
        <w:rPr>
          <w:i/>
        </w:rPr>
        <w:t xml:space="preserve">See infra </w:t>
      </w:r>
      <w:r w:rsidRPr="00C2088B">
        <w:t>para.</w:t>
      </w:r>
      <w:r>
        <w:t xml:space="preserve"> </w:t>
      </w:r>
      <w:r>
        <w:fldChar w:fldCharType="begin"/>
      </w:r>
      <w:r>
        <w:instrText xml:space="preserve"> REF _Ref362253120 \r \h </w:instrText>
      </w:r>
      <w:r>
        <w:fldChar w:fldCharType="separate"/>
      </w:r>
      <w:r w:rsidR="00A0395D">
        <w:t>277</w:t>
      </w:r>
      <w:r>
        <w:fldChar w:fldCharType="end"/>
      </w:r>
      <w:r w:rsidRPr="00C2088B">
        <w:t>.</w:t>
      </w:r>
    </w:p>
  </w:footnote>
  <w:footnote w:id="193">
    <w:p w14:paraId="23CCA79E" w14:textId="2C06BF73" w:rsidR="00434A8B" w:rsidRPr="00C2088B" w:rsidRDefault="00434A8B" w:rsidP="00D42D06">
      <w:pPr>
        <w:pStyle w:val="FootnoteText"/>
      </w:pPr>
      <w:r w:rsidRPr="00C2088B">
        <w:rPr>
          <w:rStyle w:val="FootnoteReference"/>
          <w:sz w:val="20"/>
        </w:rPr>
        <w:footnoteRef/>
      </w:r>
      <w:r w:rsidRPr="00C2088B">
        <w:t xml:space="preserve"> </w:t>
      </w:r>
      <w:r w:rsidRPr="00C2088B">
        <w:rPr>
          <w:i/>
        </w:rPr>
        <w:t xml:space="preserve">See E-rate Broadband </w:t>
      </w:r>
      <w:r w:rsidRPr="00C2088B">
        <w:t xml:space="preserve">NPRM, 25 FCC Rcd at 6905, para. 79. The Commission explained that schools that operate independently from a school district, such as private schools and some charter schools, should still apply for discounts individually. </w:t>
      </w:r>
      <w:r w:rsidR="00DA39C5">
        <w:t xml:space="preserve"> </w:t>
      </w:r>
      <w:r w:rsidRPr="00C2088B">
        <w:rPr>
          <w:i/>
        </w:rPr>
        <w:t>Id.</w:t>
      </w:r>
      <w:r w:rsidRPr="00C2088B">
        <w:t xml:space="preserve"> </w:t>
      </w:r>
    </w:p>
  </w:footnote>
  <w:footnote w:id="194">
    <w:p w14:paraId="7D470D25" w14:textId="77777777" w:rsidR="00434A8B" w:rsidRPr="00C2088B" w:rsidRDefault="00434A8B" w:rsidP="00D42D06">
      <w:pPr>
        <w:pStyle w:val="FootnoteText"/>
      </w:pPr>
      <w:r w:rsidRPr="00C2088B">
        <w:rPr>
          <w:rStyle w:val="FootnoteReference"/>
          <w:sz w:val="20"/>
        </w:rPr>
        <w:footnoteRef/>
      </w:r>
      <w:r w:rsidRPr="00C2088B">
        <w:t xml:space="preserve"> </w:t>
      </w:r>
      <w:r w:rsidRPr="00C2088B">
        <w:rPr>
          <w:i/>
        </w:rPr>
        <w:t>Id.</w:t>
      </w:r>
      <w:r w:rsidRPr="00C2088B">
        <w:t xml:space="preserve"> </w:t>
      </w:r>
    </w:p>
  </w:footnote>
  <w:footnote w:id="195">
    <w:p w14:paraId="29D03FDA" w14:textId="77777777" w:rsidR="00434A8B" w:rsidRPr="00C2088B" w:rsidRDefault="00434A8B" w:rsidP="00D42D06">
      <w:pPr>
        <w:pStyle w:val="FootnoteText"/>
      </w:pPr>
      <w:r w:rsidRPr="00C2088B">
        <w:rPr>
          <w:rStyle w:val="FootnoteReference"/>
          <w:sz w:val="20"/>
        </w:rPr>
        <w:footnoteRef/>
      </w:r>
      <w:r w:rsidRPr="00C2088B">
        <w:t xml:space="preserve"> </w:t>
      </w:r>
      <w:r w:rsidRPr="00C2088B">
        <w:rPr>
          <w:i/>
        </w:rPr>
        <w:t>Id.</w:t>
      </w:r>
      <w:r w:rsidRPr="00C2088B">
        <w:t xml:space="preserve"> </w:t>
      </w:r>
    </w:p>
  </w:footnote>
  <w:footnote w:id="196">
    <w:p w14:paraId="6E6626E2" w14:textId="404863DE" w:rsidR="00434A8B" w:rsidRPr="00C2088B" w:rsidRDefault="00434A8B" w:rsidP="00D63452">
      <w:pPr>
        <w:pStyle w:val="FootnoteText"/>
      </w:pPr>
      <w:r w:rsidRPr="00C2088B">
        <w:rPr>
          <w:rStyle w:val="FootnoteReference"/>
          <w:sz w:val="20"/>
        </w:rPr>
        <w:footnoteRef/>
      </w:r>
      <w:r w:rsidRPr="00C2088B">
        <w:t xml:space="preserve"> </w:t>
      </w:r>
      <w:r w:rsidRPr="00C2088B">
        <w:rPr>
          <w:i/>
        </w:rPr>
        <w:t>See</w:t>
      </w:r>
      <w:r w:rsidRPr="00C2088B">
        <w:t xml:space="preserve"> </w:t>
      </w:r>
      <w:r w:rsidRPr="00C2088B">
        <w:rPr>
          <w:i/>
        </w:rPr>
        <w:t>Universal Service First Report and Order</w:t>
      </w:r>
      <w:r w:rsidRPr="00C2088B">
        <w:t>, 12 FCC at 9040-45, paras. 501-07.</w:t>
      </w:r>
    </w:p>
  </w:footnote>
  <w:footnote w:id="197">
    <w:p w14:paraId="5FEEAD34" w14:textId="342C17A9" w:rsidR="00434A8B" w:rsidRPr="00C2088B" w:rsidRDefault="00434A8B" w:rsidP="00D63452">
      <w:pPr>
        <w:pStyle w:val="FootnoteText"/>
      </w:pPr>
      <w:r w:rsidRPr="00C2088B">
        <w:rPr>
          <w:rStyle w:val="FootnoteReference"/>
          <w:sz w:val="20"/>
        </w:rPr>
        <w:footnoteRef/>
      </w:r>
      <w:r w:rsidRPr="00C2088B">
        <w:t xml:space="preserve"> </w:t>
      </w:r>
      <w:r w:rsidRPr="00C2088B">
        <w:rPr>
          <w:i/>
          <w:iCs/>
        </w:rPr>
        <w:t>See</w:t>
      </w:r>
      <w:r w:rsidRPr="00C2088B">
        <w:t xml:space="preserve"> </w:t>
      </w:r>
      <w:r w:rsidRPr="00C2088B">
        <w:rPr>
          <w:i/>
          <w:iCs/>
        </w:rPr>
        <w:t>E-rate Broadband NPRM</w:t>
      </w:r>
      <w:r w:rsidRPr="00C2088B">
        <w:t>, 25 FCC Rcd at 6873, paras. 5-6.</w:t>
      </w:r>
    </w:p>
  </w:footnote>
  <w:footnote w:id="198">
    <w:p w14:paraId="6F7AA824" w14:textId="5B4F8A73" w:rsidR="00434A8B" w:rsidRPr="00C2088B" w:rsidRDefault="00434A8B" w:rsidP="000D3059">
      <w:pPr>
        <w:pStyle w:val="FootnoteText"/>
      </w:pPr>
      <w:r w:rsidRPr="00C2088B">
        <w:rPr>
          <w:rStyle w:val="FootnoteReference"/>
          <w:sz w:val="20"/>
        </w:rPr>
        <w:footnoteRef/>
      </w:r>
      <w:r w:rsidRPr="00C2088B">
        <w:t xml:space="preserve"> </w:t>
      </w:r>
      <w:r w:rsidRPr="00C2088B">
        <w:rPr>
          <w:i/>
        </w:rPr>
        <w:t xml:space="preserve">See </w:t>
      </w:r>
      <w:r w:rsidRPr="00C2088B">
        <w:t xml:space="preserve">ALA </w:t>
      </w:r>
      <w:r w:rsidRPr="00C2088B">
        <w:rPr>
          <w:i/>
        </w:rPr>
        <w:t xml:space="preserve">E-rate Broadband NPRM </w:t>
      </w:r>
      <w:r w:rsidRPr="00C2088B">
        <w:t>Comments</w:t>
      </w:r>
      <w:r w:rsidRPr="00C2088B">
        <w:rPr>
          <w:i/>
        </w:rPr>
        <w:t xml:space="preserve">, </w:t>
      </w:r>
      <w:r w:rsidRPr="00C2088B">
        <w:t xml:space="preserve">CC Docket No. 02-6, at 11 (filed July 9, 2010) (proposing to move all schools and libraries to the current rural discount rate for each respective NSLP range); </w:t>
      </w:r>
      <w:r w:rsidRPr="00C2088B">
        <w:rPr>
          <w:i/>
        </w:rPr>
        <w:t xml:space="preserve">see also </w:t>
      </w:r>
      <w:r w:rsidRPr="00C2088B">
        <w:t xml:space="preserve">Funds for Learning </w:t>
      </w:r>
      <w:r w:rsidRPr="00C2088B">
        <w:rPr>
          <w:i/>
        </w:rPr>
        <w:t>E-rate Broadband NPRM</w:t>
      </w:r>
      <w:r w:rsidRPr="00C2088B">
        <w:t xml:space="preserve"> Comments, CC Docket No. 02-6, at 7 (filed July 9, 2010); State Consortium Group </w:t>
      </w:r>
      <w:r w:rsidRPr="00C2088B">
        <w:rPr>
          <w:i/>
        </w:rPr>
        <w:t>E-rate Broadband NPRM</w:t>
      </w:r>
      <w:r w:rsidRPr="00C2088B">
        <w:t xml:space="preserve"> Comments, CC Docket No. 02-6, at 2 (filed July 9, 2010); New York State Education Department  </w:t>
      </w:r>
      <w:r w:rsidRPr="00C2088B">
        <w:rPr>
          <w:i/>
        </w:rPr>
        <w:t>E-rate Broadband NPRM</w:t>
      </w:r>
      <w:r w:rsidRPr="00C2088B">
        <w:t xml:space="preserve"> Comments, CC Docket No. 02-6, at 8-9 (filed July 9, 2010); E-rate Provider Services</w:t>
      </w:r>
      <w:r w:rsidRPr="00C2088B">
        <w:rPr>
          <w:i/>
        </w:rPr>
        <w:t xml:space="preserve"> E-rate Broadband NPRM</w:t>
      </w:r>
      <w:r w:rsidRPr="00C2088B">
        <w:t xml:space="preserve"> Comments, CC Docket No. 02-6, at 5 (filed July 1, 2010).</w:t>
      </w:r>
    </w:p>
  </w:footnote>
  <w:footnote w:id="199">
    <w:p w14:paraId="165154FB" w14:textId="4DC7D67E" w:rsidR="00434A8B" w:rsidRPr="00C2088B" w:rsidRDefault="00434A8B" w:rsidP="000D3059">
      <w:pPr>
        <w:pStyle w:val="FootnoteText"/>
      </w:pPr>
      <w:r w:rsidRPr="00C2088B">
        <w:rPr>
          <w:rStyle w:val="FootnoteReference"/>
          <w:sz w:val="20"/>
        </w:rPr>
        <w:footnoteRef/>
      </w:r>
      <w:r w:rsidRPr="00C2088B">
        <w:t xml:space="preserve"> </w:t>
      </w:r>
      <w:r w:rsidRPr="00C2088B">
        <w:rPr>
          <w:i/>
        </w:rPr>
        <w:t xml:space="preserve">See supra </w:t>
      </w:r>
      <w:r w:rsidRPr="00C2088B">
        <w:t xml:space="preserve">paras. </w:t>
      </w:r>
      <w:r w:rsidRPr="00C2088B">
        <w:fldChar w:fldCharType="begin"/>
      </w:r>
      <w:r w:rsidRPr="00C2088B">
        <w:instrText xml:space="preserve"> REF _Ref360204823 \r \h  \* MERGEFORMAT </w:instrText>
      </w:r>
      <w:r w:rsidRPr="00C2088B">
        <w:fldChar w:fldCharType="separate"/>
      </w:r>
      <w:r w:rsidR="00A0395D">
        <w:t>117</w:t>
      </w:r>
      <w:r w:rsidRPr="00C2088B">
        <w:fldChar w:fldCharType="end"/>
      </w:r>
      <w:r w:rsidRPr="00C2088B">
        <w:t>-</w:t>
      </w:r>
      <w:r w:rsidRPr="00C2088B">
        <w:fldChar w:fldCharType="begin"/>
      </w:r>
      <w:r w:rsidRPr="00C2088B">
        <w:instrText xml:space="preserve"> REF _Ref360204837 \r \h  \* MERGEFORMAT </w:instrText>
      </w:r>
      <w:r w:rsidRPr="00C2088B">
        <w:fldChar w:fldCharType="separate"/>
      </w:r>
      <w:r w:rsidR="00A0395D">
        <w:t>125</w:t>
      </w:r>
      <w:r w:rsidRPr="00C2088B">
        <w:fldChar w:fldCharType="end"/>
      </w:r>
      <w:r w:rsidRPr="00C2088B">
        <w:t>.</w:t>
      </w:r>
    </w:p>
  </w:footnote>
  <w:footnote w:id="200">
    <w:p w14:paraId="67A7867A" w14:textId="77777777" w:rsidR="00434A8B" w:rsidRPr="00C2088B" w:rsidRDefault="00434A8B" w:rsidP="008E2908">
      <w:pPr>
        <w:pStyle w:val="FootnoteText"/>
      </w:pPr>
      <w:r w:rsidRPr="00C2088B">
        <w:rPr>
          <w:rStyle w:val="FootnoteReference"/>
          <w:sz w:val="20"/>
        </w:rPr>
        <w:footnoteRef/>
      </w:r>
      <w:r w:rsidRPr="00C2088B">
        <w:t xml:space="preserve"> </w:t>
      </w:r>
      <w:r w:rsidRPr="00C2088B">
        <w:rPr>
          <w:i/>
          <w:iCs/>
        </w:rPr>
        <w:t xml:space="preserve">See </w:t>
      </w:r>
      <w:r w:rsidRPr="00C2088B">
        <w:t>2003 USAC Task Force at 5.</w:t>
      </w:r>
    </w:p>
  </w:footnote>
  <w:footnote w:id="201">
    <w:p w14:paraId="20DEE1FF" w14:textId="4CE175EE" w:rsidR="00434A8B" w:rsidRPr="00C2088B" w:rsidRDefault="00434A8B" w:rsidP="008E2908">
      <w:pPr>
        <w:pStyle w:val="FootnoteText"/>
      </w:pPr>
      <w:r w:rsidRPr="00C2088B">
        <w:rPr>
          <w:rStyle w:val="FootnoteReference"/>
          <w:sz w:val="20"/>
        </w:rPr>
        <w:footnoteRef/>
      </w:r>
      <w:r w:rsidRPr="00C2088B">
        <w:t xml:space="preserve"> </w:t>
      </w:r>
      <w:r w:rsidRPr="00C2088B">
        <w:rPr>
          <w:i/>
        </w:rPr>
        <w:t xml:space="preserve">See </w:t>
      </w:r>
      <w:r w:rsidRPr="00C2088B">
        <w:t xml:space="preserve">Funds for Learning, USF for Schools and Libraries FY 2013 and Beyond: Growing to Meet the Needs of Students and Library Patrons at 15 (dated Feb. 8, 2013) (FFL Feb. 2013 Rep.) (filed by Miami Dade Public Schools, CC Docket No. 02-6 (Mar. 4, 2013)). </w:t>
      </w:r>
    </w:p>
  </w:footnote>
  <w:footnote w:id="202">
    <w:p w14:paraId="2190A7CA" w14:textId="1870E305" w:rsidR="00434A8B" w:rsidRPr="00C2088B" w:rsidRDefault="00434A8B" w:rsidP="008E2908">
      <w:pPr>
        <w:pStyle w:val="FootnoteText"/>
      </w:pPr>
      <w:r w:rsidRPr="00C2088B">
        <w:rPr>
          <w:rStyle w:val="FootnoteReference"/>
          <w:sz w:val="20"/>
        </w:rPr>
        <w:footnoteRef/>
      </w:r>
      <w:r w:rsidRPr="00C2088B">
        <w:t xml:space="preserve"> </w:t>
      </w:r>
      <w:r w:rsidRPr="00C2088B">
        <w:rPr>
          <w:i/>
        </w:rPr>
        <w:t xml:space="preserve">See </w:t>
      </w:r>
      <w:r w:rsidRPr="00C2088B">
        <w:t>Funds for Learning, FY 2012 Per-student Per-Discount Funding Analysis at 10</w:t>
      </w:r>
      <w:r>
        <w:t xml:space="preserve"> (dated</w:t>
      </w:r>
      <w:r w:rsidRPr="00C2088B">
        <w:t xml:space="preserve"> Mar. 1, 2013</w:t>
      </w:r>
      <w:r>
        <w:t>)</w:t>
      </w:r>
      <w:r w:rsidRPr="00C2088B">
        <w:t xml:space="preserve">, </w:t>
      </w:r>
      <w:r w:rsidRPr="00C2088B">
        <w:rPr>
          <w:i/>
        </w:rPr>
        <w:t>available at</w:t>
      </w:r>
      <w:r w:rsidRPr="00C2088B">
        <w:t xml:space="preserve"> </w:t>
      </w:r>
      <w:hyperlink r:id="rId56" w:history="1">
        <w:r w:rsidRPr="00C2088B">
          <w:rPr>
            <w:rStyle w:val="Hyperlink"/>
          </w:rPr>
          <w:t>http://www.fundsforlearning.com/docs/2013/03/COMM-WEB-PerStudentPreDiscount_2013.pdf</w:t>
        </w:r>
      </w:hyperlink>
      <w:r w:rsidRPr="00C2088B">
        <w:t>) (last visited June 14, 2013).</w:t>
      </w:r>
    </w:p>
  </w:footnote>
  <w:footnote w:id="203">
    <w:p w14:paraId="4581B40B" w14:textId="77777777" w:rsidR="00434A8B" w:rsidRPr="00C2088B" w:rsidRDefault="00434A8B" w:rsidP="008E2908">
      <w:pPr>
        <w:pStyle w:val="FootnoteText"/>
      </w:pPr>
      <w:r w:rsidRPr="00C2088B">
        <w:rPr>
          <w:rStyle w:val="FootnoteReference"/>
          <w:sz w:val="20"/>
        </w:rPr>
        <w:footnoteRef/>
      </w:r>
      <w:r w:rsidRPr="00C2088B">
        <w:t xml:space="preserve"> </w:t>
      </w:r>
      <w:r w:rsidRPr="00C2088B">
        <w:rPr>
          <w:i/>
        </w:rPr>
        <w:t>Id.</w:t>
      </w:r>
      <w:r w:rsidRPr="00C2088B">
        <w:t xml:space="preserve"> at 11-12.</w:t>
      </w:r>
    </w:p>
  </w:footnote>
  <w:footnote w:id="204">
    <w:p w14:paraId="1BE4E4A9" w14:textId="2668989C" w:rsidR="00434A8B" w:rsidRPr="00C2088B" w:rsidRDefault="00434A8B" w:rsidP="008E2908">
      <w:pPr>
        <w:pStyle w:val="FootnoteText"/>
      </w:pPr>
      <w:r w:rsidRPr="00C2088B">
        <w:rPr>
          <w:rStyle w:val="FootnoteReference"/>
          <w:sz w:val="20"/>
        </w:rPr>
        <w:footnoteRef/>
      </w:r>
      <w:r w:rsidRPr="00C2088B">
        <w:t xml:space="preserve"> </w:t>
      </w:r>
      <w:r w:rsidRPr="00C2088B">
        <w:rPr>
          <w:i/>
        </w:rPr>
        <w:t>See</w:t>
      </w:r>
      <w:r w:rsidR="00414DF2">
        <w:rPr>
          <w:i/>
        </w:rPr>
        <w:t>,</w:t>
      </w:r>
      <w:r w:rsidRPr="00C2088B">
        <w:rPr>
          <w:i/>
        </w:rPr>
        <w:t xml:space="preserve"> e.g.</w:t>
      </w:r>
      <w:r w:rsidR="00414DF2">
        <w:rPr>
          <w:i/>
        </w:rPr>
        <w:t>,</w:t>
      </w:r>
      <w:r w:rsidRPr="00C2088B">
        <w:rPr>
          <w:i/>
        </w:rPr>
        <w:t xml:space="preserve"> Universal Service First Report and Order</w:t>
      </w:r>
      <w:r w:rsidRPr="00C2088B">
        <w:t>, 12 FCC Rcd at 9006-07, paras. 431-32 (citing differing priorities and approaches in comments from several states).</w:t>
      </w:r>
    </w:p>
  </w:footnote>
  <w:footnote w:id="205">
    <w:p w14:paraId="3724F8FE" w14:textId="1D4DB32F" w:rsidR="00434A8B" w:rsidRPr="00C2088B" w:rsidRDefault="00434A8B" w:rsidP="008E2908">
      <w:pPr>
        <w:pStyle w:val="FootnoteText"/>
      </w:pPr>
      <w:r w:rsidRPr="00C2088B">
        <w:rPr>
          <w:rStyle w:val="FootnoteReference"/>
          <w:sz w:val="20"/>
        </w:rPr>
        <w:footnoteRef/>
      </w:r>
      <w:r w:rsidRPr="00C2088B">
        <w:t xml:space="preserve"> </w:t>
      </w:r>
      <w:r w:rsidRPr="00C2088B">
        <w:rPr>
          <w:i/>
        </w:rPr>
        <w:t xml:space="preserve">See </w:t>
      </w:r>
      <w:r w:rsidRPr="00C2088B">
        <w:rPr>
          <w:rFonts w:eastAsiaTheme="minorHAnsi"/>
          <w:bCs/>
        </w:rPr>
        <w:t xml:space="preserve">Funds for Learning, FY2013 E-rate Funding Requests, Telecommunications and Internet Access </w:t>
      </w:r>
      <w:r>
        <w:rPr>
          <w:rFonts w:eastAsiaTheme="minorHAnsi"/>
          <w:bCs/>
        </w:rPr>
        <w:t>by Schools and School Districts, CC Docket No. 02-6,</w:t>
      </w:r>
      <w:r w:rsidRPr="00C2088B">
        <w:rPr>
          <w:rFonts w:eastAsiaTheme="minorHAnsi"/>
          <w:bCs/>
        </w:rPr>
        <w:t xml:space="preserve"> at 8, 9 (filed Jul. 3, 2013), </w:t>
      </w:r>
      <w:r w:rsidRPr="004F322C">
        <w:rPr>
          <w:rFonts w:eastAsiaTheme="minorHAnsi"/>
          <w:bCs/>
          <w:i/>
        </w:rPr>
        <w:t>available at</w:t>
      </w:r>
      <w:r w:rsidRPr="00C2088B">
        <w:rPr>
          <w:rFonts w:eastAsiaTheme="minorHAnsi"/>
          <w:bCs/>
        </w:rPr>
        <w:t xml:space="preserve"> </w:t>
      </w:r>
      <w:hyperlink r:id="rId57" w:history="1">
        <w:r w:rsidRPr="00C2088B">
          <w:rPr>
            <w:rFonts w:eastAsiaTheme="minorHAnsi"/>
            <w:bCs/>
            <w:color w:val="0000FF" w:themeColor="hyperlink"/>
            <w:u w:val="single"/>
          </w:rPr>
          <w:t>http://apps.fcc.gov/ecfs/document/view?id=7520927795</w:t>
        </w:r>
      </w:hyperlink>
      <w:r w:rsidRPr="00C2088B">
        <w:rPr>
          <w:rFonts w:eastAsiaTheme="minorHAnsi"/>
          <w:bCs/>
        </w:rPr>
        <w:t xml:space="preserve"> (last visited Jul</w:t>
      </w:r>
      <w:r>
        <w:rPr>
          <w:rFonts w:eastAsiaTheme="minorHAnsi"/>
          <w:bCs/>
        </w:rPr>
        <w:t>y</w:t>
      </w:r>
      <w:r w:rsidRPr="00C2088B">
        <w:rPr>
          <w:rFonts w:eastAsiaTheme="minorHAnsi"/>
          <w:bCs/>
        </w:rPr>
        <w:t xml:space="preserve"> 15, 2013) </w:t>
      </w:r>
      <w:r w:rsidRPr="00C2088B">
        <w:t>(note that this report did not include funding requests of libraries or consortia in its analysis)</w:t>
      </w:r>
      <w:r w:rsidRPr="00C2088B">
        <w:rPr>
          <w:rFonts w:eastAsiaTheme="minorHAnsi"/>
          <w:bCs/>
        </w:rPr>
        <w:t>.</w:t>
      </w:r>
    </w:p>
  </w:footnote>
  <w:footnote w:id="206">
    <w:p w14:paraId="2070FAB2" w14:textId="77777777" w:rsidR="00434A8B" w:rsidRPr="00C2088B" w:rsidRDefault="00434A8B" w:rsidP="008E2908">
      <w:pPr>
        <w:pStyle w:val="FootnoteText"/>
      </w:pPr>
      <w:r w:rsidRPr="00C2088B">
        <w:rPr>
          <w:rStyle w:val="FootnoteReference"/>
          <w:sz w:val="20"/>
        </w:rPr>
        <w:footnoteRef/>
      </w:r>
      <w:r w:rsidRPr="00C2088B">
        <w:t xml:space="preserve"> </w:t>
      </w:r>
      <w:r w:rsidRPr="00C2088B">
        <w:rPr>
          <w:i/>
        </w:rPr>
        <w:t>Id</w:t>
      </w:r>
      <w:r w:rsidRPr="00C2088B">
        <w:t>. at 17.</w:t>
      </w:r>
    </w:p>
  </w:footnote>
  <w:footnote w:id="207">
    <w:p w14:paraId="294E5103" w14:textId="77777777" w:rsidR="00434A8B" w:rsidRPr="00C2088B" w:rsidRDefault="00434A8B" w:rsidP="008E2908">
      <w:pPr>
        <w:pStyle w:val="FootnoteText"/>
      </w:pPr>
      <w:r w:rsidRPr="00C2088B">
        <w:rPr>
          <w:rStyle w:val="FootnoteReference"/>
          <w:sz w:val="20"/>
        </w:rPr>
        <w:footnoteRef/>
      </w:r>
      <w:r w:rsidRPr="00C2088B">
        <w:t xml:space="preserve"> </w:t>
      </w:r>
      <w:r w:rsidRPr="00C2088B">
        <w:rPr>
          <w:i/>
        </w:rPr>
        <w:t>Id</w:t>
      </w:r>
      <w:r w:rsidRPr="00C2088B">
        <w:t>.</w:t>
      </w:r>
    </w:p>
  </w:footnote>
  <w:footnote w:id="208">
    <w:p w14:paraId="498D3380" w14:textId="55C8445B" w:rsidR="00434A8B" w:rsidRPr="001B5EF0" w:rsidRDefault="00434A8B">
      <w:pPr>
        <w:pStyle w:val="FootnoteText"/>
      </w:pPr>
      <w:r w:rsidRPr="001B5EF0">
        <w:rPr>
          <w:rStyle w:val="FootnoteReference"/>
          <w:sz w:val="20"/>
        </w:rPr>
        <w:footnoteRef/>
      </w:r>
      <w:r w:rsidRPr="001B5EF0">
        <w:t xml:space="preserve"> </w:t>
      </w:r>
      <w:r w:rsidRPr="001B5EF0">
        <w:rPr>
          <w:i/>
        </w:rPr>
        <w:t>Id</w:t>
      </w:r>
      <w:r w:rsidRPr="001B5EF0">
        <w:t>.</w:t>
      </w:r>
    </w:p>
  </w:footnote>
  <w:footnote w:id="209">
    <w:p w14:paraId="2F62A8D6" w14:textId="3C61FBCF" w:rsidR="00434A8B" w:rsidRPr="00C2088B" w:rsidRDefault="00434A8B" w:rsidP="00837052">
      <w:pPr>
        <w:pStyle w:val="FootnoteText"/>
      </w:pPr>
      <w:r w:rsidRPr="00C2088B">
        <w:rPr>
          <w:rStyle w:val="FootnoteReference"/>
          <w:sz w:val="20"/>
        </w:rPr>
        <w:footnoteRef/>
      </w:r>
      <w:r w:rsidRPr="00C2088B">
        <w:t xml:space="preserve"> </w:t>
      </w:r>
      <w:r w:rsidRPr="00C2088B">
        <w:rPr>
          <w:i/>
        </w:rPr>
        <w:t>E-rate Broadband NPRM</w:t>
      </w:r>
      <w:r w:rsidRPr="00C2088B">
        <w:t>, 25 FCC Rcd at 6902, para. 71.</w:t>
      </w:r>
    </w:p>
  </w:footnote>
  <w:footnote w:id="210">
    <w:p w14:paraId="0DC2C40C" w14:textId="53D5A7D5" w:rsidR="00434A8B" w:rsidRPr="00C2088B" w:rsidRDefault="00434A8B" w:rsidP="003A358F">
      <w:pPr>
        <w:pStyle w:val="FootnoteText"/>
      </w:pPr>
      <w:r w:rsidRPr="00C2088B">
        <w:rPr>
          <w:rStyle w:val="FootnoteReference"/>
          <w:sz w:val="20"/>
        </w:rPr>
        <w:footnoteRef/>
      </w:r>
      <w:r w:rsidRPr="00C2088B">
        <w:t xml:space="preserve"> </w:t>
      </w:r>
      <w:r w:rsidRPr="00C2088B">
        <w:rPr>
          <w:i/>
        </w:rPr>
        <w:t>See, e.g.,</w:t>
      </w:r>
      <w:r w:rsidRPr="00C2088B">
        <w:t xml:space="preserve"> SECA</w:t>
      </w:r>
      <w:r w:rsidRPr="004F322C">
        <w:rPr>
          <w:i/>
        </w:rPr>
        <w:t xml:space="preserve"> </w:t>
      </w:r>
      <w:r w:rsidRPr="00C2088B">
        <w:rPr>
          <w:i/>
        </w:rPr>
        <w:t xml:space="preserve">E-rate Broadband NPRM </w:t>
      </w:r>
      <w:r w:rsidRPr="00C2088B">
        <w:t xml:space="preserve">Comments at 41; Council of Great City Schools </w:t>
      </w:r>
      <w:r w:rsidRPr="00C2088B">
        <w:rPr>
          <w:i/>
        </w:rPr>
        <w:t xml:space="preserve">E-rate Broadband NPRM </w:t>
      </w:r>
      <w:r w:rsidRPr="00C2088B">
        <w:t xml:space="preserve">Comments, CC Docket No. 02-6, at 9-10 (filed July 9, 2010); Funds For Learning LLC </w:t>
      </w:r>
      <w:r w:rsidRPr="00C2088B">
        <w:rPr>
          <w:i/>
        </w:rPr>
        <w:t xml:space="preserve">E-rate Broadband NPRM </w:t>
      </w:r>
      <w:r w:rsidRPr="00C2088B">
        <w:t xml:space="preserve">Comments, CC Docket No. 02-6, at 8-9 (filed July 9, 2010); E-rate Central </w:t>
      </w:r>
      <w:r w:rsidRPr="00C2088B">
        <w:rPr>
          <w:i/>
        </w:rPr>
        <w:t xml:space="preserve">E-rate Broadband NPRM  </w:t>
      </w:r>
      <w:r w:rsidRPr="00C2088B">
        <w:t>Reply to Comments, CC Docket No. 02-6, at 7 (filed July 26, 2010).</w:t>
      </w:r>
    </w:p>
  </w:footnote>
  <w:footnote w:id="211">
    <w:p w14:paraId="7E9391A6" w14:textId="12F53187" w:rsidR="00434A8B" w:rsidRPr="00C2088B" w:rsidRDefault="00434A8B">
      <w:pPr>
        <w:pStyle w:val="FootnoteText"/>
      </w:pPr>
      <w:r w:rsidRPr="00C2088B">
        <w:rPr>
          <w:rStyle w:val="FootnoteReference"/>
          <w:sz w:val="20"/>
        </w:rPr>
        <w:footnoteRef/>
      </w:r>
      <w:r w:rsidRPr="00C2088B">
        <w:t xml:space="preserve"> </w:t>
      </w:r>
      <w:r w:rsidRPr="004F322C">
        <w:rPr>
          <w:i/>
        </w:rPr>
        <w:t>See</w:t>
      </w:r>
      <w:r w:rsidRPr="00C2088B">
        <w:t xml:space="preserve"> Presentation from John Harrington, FFL, CC Docket No. 02-6 (filed June 14, 2013) (FFL 2.0 Proposal).</w:t>
      </w:r>
    </w:p>
  </w:footnote>
  <w:footnote w:id="212">
    <w:p w14:paraId="3784A8AC" w14:textId="72DBF07A" w:rsidR="00434A8B" w:rsidRPr="00C2088B" w:rsidRDefault="00434A8B">
      <w:pPr>
        <w:pStyle w:val="FootnoteText"/>
      </w:pPr>
      <w:r w:rsidRPr="00C2088B">
        <w:rPr>
          <w:rStyle w:val="FootnoteReference"/>
          <w:sz w:val="20"/>
        </w:rPr>
        <w:footnoteRef/>
      </w:r>
      <w:r w:rsidRPr="00C2088B">
        <w:t xml:space="preserve"> </w:t>
      </w:r>
      <w:r w:rsidRPr="00C2088B">
        <w:rPr>
          <w:i/>
        </w:rPr>
        <w:t>See supra</w:t>
      </w:r>
      <w:r w:rsidRPr="00C2088B">
        <w:t xml:space="preserve"> paras. </w:t>
      </w:r>
      <w:r w:rsidRPr="00C2088B">
        <w:fldChar w:fldCharType="begin"/>
      </w:r>
      <w:r w:rsidRPr="00C2088B">
        <w:instrText xml:space="preserve"> REF _Ref360204897 \r \h  \* MERGEFORMAT </w:instrText>
      </w:r>
      <w:r w:rsidRPr="00C2088B">
        <w:fldChar w:fldCharType="separate"/>
      </w:r>
      <w:r w:rsidR="00A0395D">
        <w:t>70</w:t>
      </w:r>
      <w:r w:rsidRPr="00C2088B">
        <w:fldChar w:fldCharType="end"/>
      </w:r>
      <w:r w:rsidRPr="00C2088B">
        <w:t>-</w:t>
      </w:r>
      <w:r w:rsidRPr="00C2088B">
        <w:fldChar w:fldCharType="begin"/>
      </w:r>
      <w:r w:rsidRPr="00C2088B">
        <w:instrText xml:space="preserve"> REF _Ref360204906 \r \h  \* MERGEFORMAT </w:instrText>
      </w:r>
      <w:r w:rsidRPr="00C2088B">
        <w:fldChar w:fldCharType="separate"/>
      </w:r>
      <w:r w:rsidR="00A0395D">
        <w:t>78</w:t>
      </w:r>
      <w:r w:rsidRPr="00C2088B">
        <w:fldChar w:fldCharType="end"/>
      </w:r>
      <w:r w:rsidRPr="00C2088B">
        <w:t>.</w:t>
      </w:r>
    </w:p>
  </w:footnote>
  <w:footnote w:id="213">
    <w:p w14:paraId="22E6E124" w14:textId="63DA376D" w:rsidR="00434A8B" w:rsidRPr="001B5EF0" w:rsidRDefault="00434A8B">
      <w:pPr>
        <w:pStyle w:val="FootnoteText"/>
      </w:pPr>
      <w:r w:rsidRPr="001B5EF0">
        <w:rPr>
          <w:rStyle w:val="FootnoteReference"/>
          <w:sz w:val="20"/>
        </w:rPr>
        <w:footnoteRef/>
      </w:r>
      <w:r w:rsidRPr="001B5EF0">
        <w:t xml:space="preserve"> </w:t>
      </w:r>
      <w:r w:rsidRPr="001B5EF0">
        <w:rPr>
          <w:i/>
          <w:iCs/>
        </w:rPr>
        <w:t>E-rate Broadband NPRM</w:t>
      </w:r>
      <w:r w:rsidRPr="001B5EF0">
        <w:t>, 25 FCC Rcd at 6902, para. 69, n.167.</w:t>
      </w:r>
    </w:p>
  </w:footnote>
  <w:footnote w:id="214">
    <w:p w14:paraId="13A8B4FD" w14:textId="2BBAE905" w:rsidR="00434A8B" w:rsidRPr="00C2088B" w:rsidRDefault="00434A8B" w:rsidP="006D7813">
      <w:pPr>
        <w:pStyle w:val="FootnoteText"/>
      </w:pPr>
      <w:r w:rsidRPr="00C2088B">
        <w:rPr>
          <w:rStyle w:val="FootnoteReference"/>
          <w:sz w:val="20"/>
        </w:rPr>
        <w:footnoteRef/>
      </w:r>
      <w:r w:rsidRPr="00C2088B">
        <w:t xml:space="preserve"> </w:t>
      </w:r>
      <w:r w:rsidRPr="00C2088B">
        <w:rPr>
          <w:i/>
        </w:rPr>
        <w:t>See</w:t>
      </w:r>
      <w:r w:rsidRPr="00C2088B">
        <w:t xml:space="preserve"> Comments of Funds for Learning Comments, CC Docket No. 02-6, at 2 (filed Apr. 8, 2013) (arguing that priority two funding is needed to utilize broadband in a cost-effective manner); Supplemental Comments of Funds for Learning, CC Docket No. 02-6, at 3-4 (filed May 23, 2013) (proposing more E-rate support for internal connections to maximize broadband capacity).  </w:t>
      </w:r>
    </w:p>
  </w:footnote>
  <w:footnote w:id="215">
    <w:p w14:paraId="4A3400DC" w14:textId="3C8A264E" w:rsidR="00434A8B" w:rsidRPr="00C2088B" w:rsidRDefault="00434A8B" w:rsidP="006D7813">
      <w:pPr>
        <w:pStyle w:val="FootnoteText"/>
      </w:pPr>
      <w:r w:rsidRPr="00C2088B">
        <w:rPr>
          <w:rStyle w:val="FootnoteReference"/>
          <w:sz w:val="20"/>
        </w:rPr>
        <w:footnoteRef/>
      </w:r>
      <w:r w:rsidRPr="00C2088B">
        <w:t xml:space="preserve"> </w:t>
      </w:r>
      <w:r w:rsidRPr="00C2088B">
        <w:rPr>
          <w:i/>
        </w:rPr>
        <w:t>See</w:t>
      </w:r>
      <w:r w:rsidRPr="00C2088B">
        <w:t xml:space="preserve"> </w:t>
      </w:r>
      <w:r w:rsidRPr="004F322C">
        <w:rPr>
          <w:i/>
        </w:rPr>
        <w:t>Schools and Libraries Third Report and Order</w:t>
      </w:r>
      <w:r w:rsidRPr="00C2088B">
        <w:t>, 18 FCC Rcd at 26916-17, paras. 9, 11.</w:t>
      </w:r>
    </w:p>
  </w:footnote>
  <w:footnote w:id="216">
    <w:p w14:paraId="4811E58B" w14:textId="4DC84A98" w:rsidR="00434A8B" w:rsidRPr="00C2088B" w:rsidRDefault="00434A8B" w:rsidP="006D7813">
      <w:pPr>
        <w:pStyle w:val="FootnoteText"/>
      </w:pPr>
      <w:r w:rsidRPr="00C2088B">
        <w:rPr>
          <w:rStyle w:val="FootnoteReference"/>
          <w:sz w:val="20"/>
        </w:rPr>
        <w:footnoteRef/>
      </w:r>
      <w:r w:rsidRPr="00C2088B">
        <w:t xml:space="preserve"> </w:t>
      </w:r>
      <w:r w:rsidRPr="00C2088B">
        <w:rPr>
          <w:i/>
        </w:rPr>
        <w:t>See</w:t>
      </w:r>
      <w:r w:rsidRPr="00C2088B">
        <w:t xml:space="preserve"> SECA June 2013 White Paper at 9.</w:t>
      </w:r>
    </w:p>
  </w:footnote>
  <w:footnote w:id="217">
    <w:p w14:paraId="719FD55E" w14:textId="3FFDFA71" w:rsidR="00434A8B" w:rsidRPr="00C2088B" w:rsidRDefault="00434A8B" w:rsidP="006D7813">
      <w:pPr>
        <w:pStyle w:val="FootnoteText"/>
      </w:pPr>
      <w:r w:rsidRPr="00C2088B">
        <w:rPr>
          <w:rStyle w:val="FootnoteReference"/>
          <w:sz w:val="20"/>
        </w:rPr>
        <w:footnoteRef/>
      </w:r>
      <w:r w:rsidRPr="00C2088B">
        <w:t xml:space="preserve"> </w:t>
      </w:r>
      <w:r w:rsidRPr="00C2088B">
        <w:rPr>
          <w:i/>
        </w:rPr>
        <w:t>Id.</w:t>
      </w:r>
      <w:r w:rsidRPr="00C2088B">
        <w:t xml:space="preserve"> at 9, 11-13.</w:t>
      </w:r>
    </w:p>
  </w:footnote>
  <w:footnote w:id="218">
    <w:p w14:paraId="1BC9691E" w14:textId="0F66DE16" w:rsidR="00434A8B" w:rsidRPr="00C2088B" w:rsidRDefault="00434A8B" w:rsidP="006D7813">
      <w:pPr>
        <w:pStyle w:val="FootnoteText"/>
      </w:pPr>
      <w:r w:rsidRPr="00C2088B">
        <w:rPr>
          <w:rStyle w:val="FootnoteReference"/>
          <w:sz w:val="20"/>
        </w:rPr>
        <w:footnoteRef/>
      </w:r>
      <w:r w:rsidRPr="00C2088B">
        <w:t xml:space="preserve"> </w:t>
      </w:r>
      <w:r w:rsidRPr="00C2088B">
        <w:rPr>
          <w:i/>
        </w:rPr>
        <w:t xml:space="preserve">Id. </w:t>
      </w:r>
    </w:p>
  </w:footnote>
  <w:footnote w:id="219">
    <w:p w14:paraId="6DA7BB63" w14:textId="77777777" w:rsidR="00434A8B" w:rsidRPr="00C2088B" w:rsidRDefault="00434A8B" w:rsidP="0037799F">
      <w:pPr>
        <w:pStyle w:val="FootnoteText"/>
      </w:pPr>
      <w:r w:rsidRPr="00C2088B">
        <w:rPr>
          <w:rStyle w:val="FootnoteReference"/>
          <w:sz w:val="20"/>
        </w:rPr>
        <w:footnoteRef/>
      </w:r>
      <w:r w:rsidRPr="00C2088B">
        <w:t xml:space="preserve"> </w:t>
      </w:r>
      <w:r w:rsidRPr="00C2088B">
        <w:rPr>
          <w:i/>
        </w:rPr>
        <w:t xml:space="preserve">See, e.g., </w:t>
      </w:r>
      <w:r w:rsidRPr="00C2088B">
        <w:t>Funds for Learning, USF for Schools and Libraries: FY 2013 and Beyond, CC Docket No. 02-6, at 4, 5, 30 (filed Mar. 25, 2013) (favoring a per student cap on E-rate support).</w:t>
      </w:r>
    </w:p>
  </w:footnote>
  <w:footnote w:id="220">
    <w:p w14:paraId="56CCB0EF" w14:textId="1C3D8B04" w:rsidR="00434A8B" w:rsidRPr="00C2088B" w:rsidRDefault="00434A8B" w:rsidP="0037799F">
      <w:pPr>
        <w:pStyle w:val="FootnoteText"/>
      </w:pPr>
      <w:r w:rsidRPr="00C2088B">
        <w:rPr>
          <w:rStyle w:val="FootnoteReference"/>
          <w:sz w:val="20"/>
        </w:rPr>
        <w:footnoteRef/>
      </w:r>
      <w:r w:rsidRPr="00C2088B">
        <w:t xml:space="preserve"> </w:t>
      </w:r>
      <w:r w:rsidRPr="00C2088B">
        <w:rPr>
          <w:i/>
        </w:rPr>
        <w:t xml:space="preserve">See supra </w:t>
      </w:r>
      <w:r w:rsidRPr="004F322C">
        <w:t>paras</w:t>
      </w:r>
      <w:r w:rsidRPr="00C2088B">
        <w:rPr>
          <w:i/>
        </w:rPr>
        <w:t xml:space="preserve">. </w:t>
      </w:r>
      <w:r w:rsidRPr="00C2088B">
        <w:fldChar w:fldCharType="begin"/>
      </w:r>
      <w:r w:rsidRPr="00C2088B">
        <w:instrText xml:space="preserve"> REF _Ref360207555 \r \h  \* MERGEFORMAT </w:instrText>
      </w:r>
      <w:r w:rsidRPr="00C2088B">
        <w:fldChar w:fldCharType="separate"/>
      </w:r>
      <w:r w:rsidR="00A0395D">
        <w:t>135</w:t>
      </w:r>
      <w:r w:rsidRPr="00C2088B">
        <w:fldChar w:fldCharType="end"/>
      </w:r>
      <w:r w:rsidRPr="00C2088B">
        <w:t>-</w:t>
      </w:r>
      <w:r w:rsidRPr="00C2088B">
        <w:fldChar w:fldCharType="begin"/>
      </w:r>
      <w:r w:rsidRPr="00C2088B">
        <w:instrText xml:space="preserve"> REF _Ref360207564 \r \h  \* MERGEFORMAT </w:instrText>
      </w:r>
      <w:r w:rsidRPr="00C2088B">
        <w:fldChar w:fldCharType="separate"/>
      </w:r>
      <w:r w:rsidR="00A0395D">
        <w:t>142</w:t>
      </w:r>
      <w:r w:rsidRPr="00C2088B">
        <w:fldChar w:fldCharType="end"/>
      </w:r>
      <w:r w:rsidRPr="00C2088B">
        <w:t>.</w:t>
      </w:r>
    </w:p>
  </w:footnote>
  <w:footnote w:id="221">
    <w:p w14:paraId="02013101" w14:textId="77777777" w:rsidR="00434A8B" w:rsidRPr="00C2088B" w:rsidRDefault="00434A8B" w:rsidP="00C51793">
      <w:pPr>
        <w:pStyle w:val="FootnoteText"/>
      </w:pPr>
      <w:r w:rsidRPr="00C2088B">
        <w:rPr>
          <w:rStyle w:val="FootnoteReference"/>
          <w:sz w:val="20"/>
        </w:rPr>
        <w:footnoteRef/>
      </w:r>
      <w:r w:rsidRPr="00C2088B">
        <w:t xml:space="preserve"> In other words, rather than some services denoted priority one and others priority two, services would simply be eligible or ineligible for support.</w:t>
      </w:r>
    </w:p>
  </w:footnote>
  <w:footnote w:id="222">
    <w:p w14:paraId="02C19E60" w14:textId="77777777" w:rsidR="00434A8B" w:rsidRPr="00C2088B" w:rsidRDefault="00434A8B" w:rsidP="00C51793">
      <w:pPr>
        <w:pStyle w:val="FootnoteText"/>
      </w:pPr>
      <w:r w:rsidRPr="00C2088B">
        <w:rPr>
          <w:rStyle w:val="FootnoteReference"/>
          <w:sz w:val="20"/>
        </w:rPr>
        <w:footnoteRef/>
      </w:r>
      <w:r w:rsidRPr="00C2088B">
        <w:t xml:space="preserve"> A floor would mean that if a school’s total funding fell below a given level (such as $10,000), its allocation would be increased to that level.  A baseline funding amount would mean that each school receives some amount (such as $5,000) in addition to its per-student funding.</w:t>
      </w:r>
    </w:p>
  </w:footnote>
  <w:footnote w:id="223">
    <w:p w14:paraId="58E58664" w14:textId="3A923D9F" w:rsidR="00434A8B" w:rsidRPr="00C2088B" w:rsidRDefault="00434A8B" w:rsidP="00C51793">
      <w:pPr>
        <w:pStyle w:val="FootnoteText"/>
      </w:pPr>
      <w:r w:rsidRPr="00C2088B">
        <w:rPr>
          <w:rStyle w:val="FootnoteReference"/>
          <w:sz w:val="20"/>
        </w:rPr>
        <w:footnoteRef/>
      </w:r>
      <w:r w:rsidRPr="00C2088B">
        <w:t xml:space="preserve"> </w:t>
      </w:r>
      <w:r w:rsidRPr="00C2088B">
        <w:rPr>
          <w:i/>
        </w:rPr>
        <w:t>See</w:t>
      </w:r>
      <w:r w:rsidRPr="00C2088B">
        <w:t xml:space="preserve"> </w:t>
      </w:r>
      <w:r w:rsidRPr="00C2088B">
        <w:rPr>
          <w:i/>
        </w:rPr>
        <w:t xml:space="preserve">Healthcare Connect </w:t>
      </w:r>
      <w:r>
        <w:rPr>
          <w:i/>
        </w:rPr>
        <w:t xml:space="preserve">Fund </w:t>
      </w:r>
      <w:r w:rsidRPr="00C2088B">
        <w:rPr>
          <w:i/>
        </w:rPr>
        <w:t>Order</w:t>
      </w:r>
      <w:r>
        <w:t>, 27 FCC Rcd</w:t>
      </w:r>
      <w:r w:rsidRPr="00C2088B">
        <w:t xml:space="preserve"> at </w:t>
      </w:r>
      <w:r>
        <w:t xml:space="preserve">16717-19, </w:t>
      </w:r>
      <w:r w:rsidRPr="00C2088B">
        <w:t>paras. 84, 91.</w:t>
      </w:r>
    </w:p>
  </w:footnote>
  <w:footnote w:id="224">
    <w:p w14:paraId="62C0000E" w14:textId="31AAF33E" w:rsidR="00434A8B" w:rsidRDefault="00434A8B">
      <w:pPr>
        <w:pStyle w:val="FootnoteText"/>
      </w:pPr>
      <w:r>
        <w:rPr>
          <w:rStyle w:val="FootnoteReference"/>
        </w:rPr>
        <w:footnoteRef/>
      </w:r>
      <w:r>
        <w:t xml:space="preserve"> </w:t>
      </w:r>
      <w:r w:rsidRPr="00C2088B">
        <w:t>Wi-Fi (Wireless Fidelity) is a wireless technology that is based on the Institute of Electrical and Electronics Engineers 802.11 standards to offer fixed wireless broadband services to compatible devices.</w:t>
      </w:r>
    </w:p>
  </w:footnote>
  <w:footnote w:id="225">
    <w:p w14:paraId="51ADCC52" w14:textId="09C63878" w:rsidR="00434A8B" w:rsidRPr="00C2088B" w:rsidRDefault="00434A8B">
      <w:pPr>
        <w:pStyle w:val="FootnoteText"/>
      </w:pPr>
      <w:r w:rsidRPr="00C2088B">
        <w:rPr>
          <w:rStyle w:val="FootnoteReference"/>
          <w:sz w:val="20"/>
        </w:rPr>
        <w:footnoteRef/>
      </w:r>
      <w:r w:rsidRPr="00C2088B">
        <w:t xml:space="preserve"> </w:t>
      </w:r>
      <w:r w:rsidRPr="00C2088B">
        <w:rPr>
          <w:i/>
          <w:iCs/>
        </w:rPr>
        <w:t>See</w:t>
      </w:r>
      <w:r w:rsidRPr="00C2088B">
        <w:t xml:space="preserve"> Letter from Alan Buzacott, Executive Director of Federal Regulatory Affairs, Verizon, to Marlene Dortch, Secretary, FCC, CC Docket No. 02-6 (filed July 11, 2013).</w:t>
      </w:r>
    </w:p>
  </w:footnote>
  <w:footnote w:id="226">
    <w:p w14:paraId="6BE7505B" w14:textId="77777777" w:rsidR="00434A8B" w:rsidRPr="00C2088B" w:rsidRDefault="00434A8B" w:rsidP="005D347D">
      <w:pPr>
        <w:pStyle w:val="FootnoteText"/>
      </w:pPr>
      <w:r w:rsidRPr="00C2088B">
        <w:rPr>
          <w:rStyle w:val="FootnoteReference"/>
          <w:sz w:val="20"/>
        </w:rPr>
        <w:footnoteRef/>
      </w:r>
      <w:r w:rsidRPr="00C2088B">
        <w:t xml:space="preserve"> </w:t>
      </w:r>
      <w:r w:rsidRPr="00C2088B">
        <w:rPr>
          <w:i/>
        </w:rPr>
        <w:t>USF/ICC Transformation Order</w:t>
      </w:r>
      <w:r w:rsidRPr="00C2088B">
        <w:t>, 26 FCC Rcd at 17695, para. 86.</w:t>
      </w:r>
    </w:p>
  </w:footnote>
  <w:footnote w:id="227">
    <w:p w14:paraId="2402ABD8" w14:textId="5A69E2FB" w:rsidR="00434A8B" w:rsidRPr="00C2088B" w:rsidRDefault="00434A8B" w:rsidP="005D347D">
      <w:pPr>
        <w:pStyle w:val="FootnoteText"/>
      </w:pPr>
      <w:r w:rsidRPr="00C2088B">
        <w:rPr>
          <w:rStyle w:val="FootnoteReference"/>
          <w:sz w:val="20"/>
        </w:rPr>
        <w:footnoteRef/>
      </w:r>
      <w:r w:rsidRPr="00C2088B">
        <w:t xml:space="preserve"> </w:t>
      </w:r>
      <w:r w:rsidRPr="00C2088B">
        <w:rPr>
          <w:i/>
        </w:rPr>
        <w:t xml:space="preserve">Id. </w:t>
      </w:r>
      <w:r w:rsidRPr="00C2088B">
        <w:t xml:space="preserve">at 17700, para. 102; 47 C.F.R. § 54.5 (defining </w:t>
      </w:r>
      <w:r>
        <w:t>“</w:t>
      </w:r>
      <w:r w:rsidRPr="00C2088B">
        <w:t>community anchor institution</w:t>
      </w:r>
      <w:r>
        <w:t>”</w:t>
      </w:r>
      <w:r w:rsidRPr="00C2088B">
        <w:t>).</w:t>
      </w:r>
    </w:p>
  </w:footnote>
  <w:footnote w:id="228">
    <w:p w14:paraId="15874FD1" w14:textId="77777777" w:rsidR="00434A8B" w:rsidRPr="00C2088B" w:rsidRDefault="00434A8B" w:rsidP="005D347D">
      <w:pPr>
        <w:pStyle w:val="FootnoteText"/>
      </w:pPr>
      <w:r w:rsidRPr="00C2088B">
        <w:rPr>
          <w:rStyle w:val="FootnoteReference"/>
          <w:sz w:val="20"/>
        </w:rPr>
        <w:footnoteRef/>
      </w:r>
      <w:r w:rsidRPr="00C2088B">
        <w:t xml:space="preserve"> 47 C.F.R. § 54.313(e)(3)(ii), (f)(1)(ii).</w:t>
      </w:r>
    </w:p>
  </w:footnote>
  <w:footnote w:id="229">
    <w:p w14:paraId="1C1D22BD" w14:textId="6F3C3ED8" w:rsidR="00434A8B" w:rsidRPr="00C2088B" w:rsidRDefault="00434A8B">
      <w:pPr>
        <w:pStyle w:val="FootnoteText"/>
      </w:pPr>
      <w:r w:rsidRPr="00C2088B">
        <w:rPr>
          <w:rStyle w:val="FootnoteReference"/>
          <w:sz w:val="20"/>
        </w:rPr>
        <w:footnoteRef/>
      </w:r>
      <w:r w:rsidRPr="00C2088B">
        <w:t xml:space="preserve"> </w:t>
      </w:r>
      <w:r w:rsidRPr="004F322C">
        <w:rPr>
          <w:i/>
        </w:rPr>
        <w:t>USF/ICC Transformation Order</w:t>
      </w:r>
      <w:r w:rsidRPr="00C2088B">
        <w:t>, 26 FCC Rcd at 17727, para. 166.</w:t>
      </w:r>
    </w:p>
  </w:footnote>
  <w:footnote w:id="230">
    <w:p w14:paraId="43FD0FD6" w14:textId="43BB45D0" w:rsidR="00434A8B" w:rsidRPr="00C2088B" w:rsidRDefault="00434A8B" w:rsidP="005D347D">
      <w:pPr>
        <w:pStyle w:val="FootnoteText"/>
      </w:pPr>
      <w:r w:rsidRPr="00C2088B">
        <w:rPr>
          <w:rStyle w:val="FootnoteReference"/>
          <w:sz w:val="20"/>
        </w:rPr>
        <w:footnoteRef/>
      </w:r>
      <w:r w:rsidRPr="00C2088B">
        <w:t xml:space="preserve"> By Commission rule, all schools and libraries participating in E-rate </w:t>
      </w:r>
      <w:r>
        <w:t>“</w:t>
      </w:r>
      <w:r w:rsidRPr="00C2088B">
        <w:t>must conduct a fair and open competitive bidding process.</w:t>
      </w:r>
      <w:r>
        <w:t>”</w:t>
      </w:r>
      <w:r w:rsidRPr="00C2088B">
        <w:t xml:space="preserve">  47 C.F.R. § 54.503.  Connect America Phase II funding will be targeted to areas where there is no competing fixed broadband provider.</w:t>
      </w:r>
    </w:p>
  </w:footnote>
  <w:footnote w:id="231">
    <w:p w14:paraId="5E5553DE" w14:textId="02721E59" w:rsidR="00434A8B" w:rsidRPr="00C2088B" w:rsidRDefault="00434A8B" w:rsidP="005D347D">
      <w:pPr>
        <w:pStyle w:val="FootnoteText"/>
      </w:pPr>
      <w:r w:rsidRPr="00C2088B">
        <w:rPr>
          <w:rStyle w:val="FootnoteReference"/>
          <w:sz w:val="20"/>
        </w:rPr>
        <w:footnoteRef/>
      </w:r>
      <w:r w:rsidRPr="00C2088B">
        <w:t xml:space="preserve"> </w:t>
      </w:r>
      <w:r w:rsidRPr="00C2088B">
        <w:rPr>
          <w:i/>
        </w:rPr>
        <w:t>See</w:t>
      </w:r>
      <w:r w:rsidRPr="00C2088B">
        <w:t xml:space="preserve"> </w:t>
      </w:r>
      <w:r w:rsidRPr="00C2088B">
        <w:rPr>
          <w:i/>
        </w:rPr>
        <w:t>Healthcare Connect Fund Order</w:t>
      </w:r>
      <w:r w:rsidRPr="00C2088B">
        <w:t>, 27 FCC Rcd at 16792-93, paras. 266-267.</w:t>
      </w:r>
    </w:p>
  </w:footnote>
  <w:footnote w:id="232">
    <w:p w14:paraId="172CDF4E" w14:textId="7AA56D6E" w:rsidR="00434A8B" w:rsidRPr="00C2088B" w:rsidRDefault="00434A8B" w:rsidP="00235F5A">
      <w:pPr>
        <w:pStyle w:val="FootnoteText"/>
      </w:pPr>
      <w:r w:rsidRPr="00C2088B">
        <w:rPr>
          <w:rStyle w:val="FootnoteReference"/>
          <w:sz w:val="20"/>
        </w:rPr>
        <w:footnoteRef/>
      </w:r>
      <w:r w:rsidRPr="00C2088B">
        <w:t xml:space="preserve"> </w:t>
      </w:r>
      <w:r w:rsidRPr="00C2088B">
        <w:rPr>
          <w:i/>
        </w:rPr>
        <w:t>See supra</w:t>
      </w:r>
      <w:r w:rsidRPr="00C2088B">
        <w:t xml:space="preserve"> n.</w:t>
      </w:r>
      <w:r w:rsidRPr="00C2088B">
        <w:fldChar w:fldCharType="begin"/>
      </w:r>
      <w:r w:rsidRPr="00C2088B">
        <w:instrText xml:space="preserve"> NOTEREF _Ref360205281 \h  \* MERGEFORMAT </w:instrText>
      </w:r>
      <w:r w:rsidRPr="00C2088B">
        <w:fldChar w:fldCharType="separate"/>
      </w:r>
      <w:r w:rsidR="00A0395D">
        <w:t>30</w:t>
      </w:r>
      <w:r w:rsidRPr="00C2088B">
        <w:fldChar w:fldCharType="end"/>
      </w:r>
      <w:r w:rsidRPr="00C2088B">
        <w:t xml:space="preserve">.  </w:t>
      </w:r>
    </w:p>
  </w:footnote>
  <w:footnote w:id="233">
    <w:p w14:paraId="2F7F67F0" w14:textId="7FAA36ED" w:rsidR="00434A8B" w:rsidRPr="00C2088B" w:rsidRDefault="00434A8B" w:rsidP="00235F5A">
      <w:pPr>
        <w:pStyle w:val="FootnoteText"/>
      </w:pPr>
      <w:r w:rsidRPr="00C2088B">
        <w:rPr>
          <w:rStyle w:val="FootnoteReference"/>
          <w:sz w:val="20"/>
        </w:rPr>
        <w:footnoteRef/>
      </w:r>
      <w:r w:rsidRPr="00C2088B">
        <w:t xml:space="preserve"> </w:t>
      </w:r>
      <w:r w:rsidRPr="00C2088B">
        <w:rPr>
          <w:i/>
        </w:rPr>
        <w:t>See generally supra</w:t>
      </w:r>
      <w:r w:rsidRPr="00C2088B">
        <w:t xml:space="preserve"> paras. </w:t>
      </w:r>
      <w:r w:rsidRPr="00C2088B">
        <w:fldChar w:fldCharType="begin"/>
      </w:r>
      <w:r w:rsidRPr="00C2088B">
        <w:instrText xml:space="preserve"> REF _Ref360205325 \r \h  \* MERGEFORMAT </w:instrText>
      </w:r>
      <w:r w:rsidRPr="00C2088B">
        <w:fldChar w:fldCharType="separate"/>
      </w:r>
      <w:r w:rsidR="00A0395D">
        <w:t>96</w:t>
      </w:r>
      <w:r w:rsidRPr="00C2088B">
        <w:fldChar w:fldCharType="end"/>
      </w:r>
      <w:r w:rsidRPr="00C2088B">
        <w:t>-</w:t>
      </w:r>
      <w:r w:rsidRPr="00C2088B">
        <w:fldChar w:fldCharType="begin"/>
      </w:r>
      <w:r w:rsidRPr="00C2088B">
        <w:instrText xml:space="preserve"> REF _Ref360205352 \r \h  \* MERGEFORMAT </w:instrText>
      </w:r>
      <w:r w:rsidRPr="00C2088B">
        <w:fldChar w:fldCharType="separate"/>
      </w:r>
      <w:r w:rsidR="00A0395D">
        <w:t>97</w:t>
      </w:r>
      <w:r w:rsidRPr="00C2088B">
        <w:fldChar w:fldCharType="end"/>
      </w:r>
      <w:r w:rsidRPr="00C2088B">
        <w:t xml:space="preserve">.  </w:t>
      </w:r>
    </w:p>
  </w:footnote>
  <w:footnote w:id="234">
    <w:p w14:paraId="45C3294B" w14:textId="2C66701C" w:rsidR="00434A8B" w:rsidRPr="00C2088B" w:rsidRDefault="00434A8B" w:rsidP="00235F5A">
      <w:pPr>
        <w:pStyle w:val="FootnoteText"/>
      </w:pPr>
      <w:r w:rsidRPr="00C2088B">
        <w:rPr>
          <w:rStyle w:val="FootnoteReference"/>
          <w:sz w:val="20"/>
        </w:rPr>
        <w:footnoteRef/>
      </w:r>
      <w:r w:rsidRPr="00C2088B">
        <w:t xml:space="preserve"> </w:t>
      </w:r>
      <w:r w:rsidRPr="00C2088B">
        <w:rPr>
          <w:i/>
        </w:rPr>
        <w:t>Schools and Libraries Sixth Report and Order</w:t>
      </w:r>
      <w:r w:rsidRPr="00C2088B">
        <w:t xml:space="preserve">, 25 FCC Rcd at 18780-81, para. 35.  For example, some stakeholders have suggested that the Commission did not go far enough when it directed that the E-rate cap be indexed for inflation beginning in 2010.  Those commenters suggest that the Commission should raise the cap on the E-rate program to fully index for inflation between 1998-2010  </w:t>
      </w:r>
      <w:r w:rsidRPr="00C2088B">
        <w:rPr>
          <w:i/>
        </w:rPr>
        <w:t>see, e.g</w:t>
      </w:r>
      <w:r w:rsidRPr="00C2088B">
        <w:t xml:space="preserve">., eChalk, Inc. </w:t>
      </w:r>
      <w:r w:rsidRPr="00C2088B">
        <w:rPr>
          <w:i/>
        </w:rPr>
        <w:t xml:space="preserve">E-rate Broadband NPRM </w:t>
      </w:r>
      <w:r w:rsidRPr="00C2088B">
        <w:t xml:space="preserve">Comments, CC Docket No. 02-6, at 4 (filed July 9, 2010); Funds for Learning, LLC </w:t>
      </w:r>
      <w:r w:rsidRPr="00C2088B">
        <w:rPr>
          <w:i/>
        </w:rPr>
        <w:t xml:space="preserve">E-rate Broadband NPRM </w:t>
      </w:r>
      <w:r w:rsidRPr="00C2088B">
        <w:t xml:space="preserve">Comments, CC Docket No. 02-6, at 12 (filed July 9, 2010). Other commenters suggest that the cap should be reset based on current program demand </w:t>
      </w:r>
      <w:r w:rsidRPr="00C2088B">
        <w:rPr>
          <w:i/>
        </w:rPr>
        <w:t>see, e.g</w:t>
      </w:r>
      <w:r w:rsidRPr="00C2088B">
        <w:t>., Public Broadcasting Service (PBS)</w:t>
      </w:r>
      <w:r w:rsidRPr="00C2088B">
        <w:rPr>
          <w:i/>
        </w:rPr>
        <w:t xml:space="preserve"> E-rate Broadband NPRM </w:t>
      </w:r>
      <w:r w:rsidRPr="00C2088B">
        <w:t xml:space="preserve">Comments, CC Docket No. 02-6, at 6 (filed July 9, 2010); NATOA, NACo, New America Found </w:t>
      </w:r>
      <w:r w:rsidRPr="00C2088B">
        <w:rPr>
          <w:i/>
        </w:rPr>
        <w:t xml:space="preserve">E-rate Broadband NPRM </w:t>
      </w:r>
      <w:r w:rsidRPr="00C2088B">
        <w:t xml:space="preserve">Comments, CC Docket No. 02-6, at 9 (filed July 9, 2010); Cisco Systems </w:t>
      </w:r>
      <w:r w:rsidRPr="00C2088B">
        <w:rPr>
          <w:i/>
        </w:rPr>
        <w:t xml:space="preserve">E-rate Broadband NPRM </w:t>
      </w:r>
      <w:r w:rsidRPr="00C2088B">
        <w:t>Comments, CC Docket No. 02-6, at 18-19 (filed July 9, 2010);  SECA June 2013 White Paper at 3-4.</w:t>
      </w:r>
    </w:p>
  </w:footnote>
  <w:footnote w:id="235">
    <w:p w14:paraId="6B140A8B" w14:textId="70E7AF32" w:rsidR="00434A8B" w:rsidRPr="00C2088B" w:rsidRDefault="00434A8B" w:rsidP="00235F5A">
      <w:pPr>
        <w:pStyle w:val="FootnoteText"/>
      </w:pPr>
      <w:r w:rsidRPr="00C2088B">
        <w:rPr>
          <w:rStyle w:val="FootnoteReference"/>
          <w:sz w:val="20"/>
        </w:rPr>
        <w:footnoteRef/>
      </w:r>
      <w:r w:rsidRPr="00C2088B">
        <w:t xml:space="preserve"> </w:t>
      </w:r>
      <w:r w:rsidRPr="00C2088B">
        <w:rPr>
          <w:i/>
        </w:rPr>
        <w:t xml:space="preserve">See Universal Service First Report and Order, </w:t>
      </w:r>
      <w:r w:rsidRPr="00C2088B">
        <w:t>12 FCC Rcd at 9056, para. 529.</w:t>
      </w:r>
    </w:p>
  </w:footnote>
  <w:footnote w:id="236">
    <w:p w14:paraId="7AE570B3" w14:textId="033906E1" w:rsidR="00434A8B" w:rsidRPr="00C2088B" w:rsidRDefault="00434A8B" w:rsidP="00235F5A">
      <w:pPr>
        <w:pStyle w:val="FootnoteText"/>
      </w:pPr>
      <w:r w:rsidRPr="00C2088B">
        <w:rPr>
          <w:rStyle w:val="FootnoteReference"/>
          <w:sz w:val="20"/>
        </w:rPr>
        <w:footnoteRef/>
      </w:r>
      <w:r w:rsidRPr="00C2088B">
        <w:t xml:space="preserve"> </w:t>
      </w:r>
      <w:r w:rsidRPr="00C2088B">
        <w:rPr>
          <w:i/>
        </w:rPr>
        <w:t>See, e.g.,</w:t>
      </w:r>
      <w:r w:rsidRPr="00C2088B">
        <w:t xml:space="preserve"> Funds for Learning, LLC </w:t>
      </w:r>
      <w:r w:rsidRPr="00C2088B">
        <w:rPr>
          <w:i/>
        </w:rPr>
        <w:t xml:space="preserve">E-rate Broadband NPRM </w:t>
      </w:r>
      <w:r w:rsidRPr="00C2088B">
        <w:t>Comments, CC Docket No. 02-6, at 12 (filed July 9, 2010);</w:t>
      </w:r>
      <w:r w:rsidRPr="00C2088B" w:rsidDel="00FA68E0">
        <w:t xml:space="preserve"> </w:t>
      </w:r>
      <w:r w:rsidRPr="00C2088B">
        <w:rPr>
          <w:rStyle w:val="text"/>
          <w:color w:val="000000"/>
        </w:rPr>
        <w:t xml:space="preserve">Blackboard Inc. </w:t>
      </w:r>
      <w:r w:rsidRPr="00C2088B">
        <w:t xml:space="preserve">Funds for Learning, LLC </w:t>
      </w:r>
      <w:r w:rsidRPr="00C2088B">
        <w:rPr>
          <w:i/>
        </w:rPr>
        <w:t xml:space="preserve">E-rate Broadband NPRM </w:t>
      </w:r>
      <w:r w:rsidRPr="00C2088B">
        <w:t>Comments, CC Docket No. 02-6, at 22-23 (filed July 9, 2010); SECA June 2013 White Paper at 3.</w:t>
      </w:r>
    </w:p>
  </w:footnote>
  <w:footnote w:id="237">
    <w:p w14:paraId="4F218D1F" w14:textId="77777777" w:rsidR="00434A8B" w:rsidRPr="00C2088B" w:rsidRDefault="00434A8B" w:rsidP="00235F5A">
      <w:pPr>
        <w:pStyle w:val="FootnoteText"/>
      </w:pPr>
      <w:r w:rsidRPr="00C2088B">
        <w:rPr>
          <w:rStyle w:val="FootnoteReference"/>
          <w:sz w:val="20"/>
        </w:rPr>
        <w:footnoteRef/>
      </w:r>
      <w:r w:rsidRPr="00C2088B">
        <w:t xml:space="preserve"> </w:t>
      </w:r>
      <w:r w:rsidRPr="00C2088B">
        <w:rPr>
          <w:i/>
        </w:rPr>
        <w:t>See</w:t>
      </w:r>
      <w:r w:rsidRPr="00C2088B">
        <w:t xml:space="preserve"> eChalk, Inc. </w:t>
      </w:r>
      <w:r w:rsidRPr="00C2088B">
        <w:rPr>
          <w:i/>
        </w:rPr>
        <w:t xml:space="preserve">E-rate Broadband NPRM </w:t>
      </w:r>
      <w:r w:rsidRPr="00C2088B">
        <w:t>Comments, CC Docket No. 02-6, at 4 (filed July 9, 2010).</w:t>
      </w:r>
    </w:p>
  </w:footnote>
  <w:footnote w:id="238">
    <w:p w14:paraId="552FAF1C" w14:textId="553FD594" w:rsidR="00434A8B" w:rsidRPr="00C2088B" w:rsidRDefault="00434A8B" w:rsidP="00235F5A">
      <w:pPr>
        <w:pStyle w:val="FootnoteText"/>
      </w:pPr>
      <w:r w:rsidRPr="00C2088B">
        <w:rPr>
          <w:rStyle w:val="FootnoteReference"/>
          <w:sz w:val="20"/>
        </w:rPr>
        <w:footnoteRef/>
      </w:r>
      <w:r w:rsidRPr="00C2088B">
        <w:t xml:space="preserve"> </w:t>
      </w:r>
      <w:r w:rsidRPr="00C2088B">
        <w:rPr>
          <w:i/>
        </w:rPr>
        <w:t xml:space="preserve">See infra </w:t>
      </w:r>
      <w:r w:rsidRPr="00BA13CC">
        <w:t>paras.</w:t>
      </w:r>
      <w:r w:rsidRPr="00C2088B">
        <w:rPr>
          <w:i/>
        </w:rPr>
        <w:t xml:space="preserve"> </w:t>
      </w:r>
      <w:r w:rsidRPr="00C2088B">
        <w:fldChar w:fldCharType="begin"/>
      </w:r>
      <w:r w:rsidRPr="00C2088B">
        <w:instrText xml:space="preserve"> REF _Ref360205409 \r \h  \* MERGEFORMAT </w:instrText>
      </w:r>
      <w:r w:rsidRPr="00C2088B">
        <w:fldChar w:fldCharType="separate"/>
      </w:r>
      <w:r w:rsidR="00A0395D">
        <w:t>220</w:t>
      </w:r>
      <w:r w:rsidRPr="00C2088B">
        <w:fldChar w:fldCharType="end"/>
      </w:r>
      <w:r w:rsidRPr="00C2088B">
        <w:t>-</w:t>
      </w:r>
      <w:r w:rsidRPr="00C2088B">
        <w:fldChar w:fldCharType="begin"/>
      </w:r>
      <w:r w:rsidRPr="00C2088B">
        <w:instrText xml:space="preserve"> REF _Ref360205415 \r \h  \* MERGEFORMAT </w:instrText>
      </w:r>
      <w:r w:rsidRPr="00C2088B">
        <w:fldChar w:fldCharType="separate"/>
      </w:r>
      <w:r w:rsidR="00A0395D">
        <w:t>221</w:t>
      </w:r>
      <w:r w:rsidRPr="00C2088B">
        <w:fldChar w:fldCharType="end"/>
      </w:r>
      <w:r w:rsidRPr="00C2088B">
        <w:t>.</w:t>
      </w:r>
    </w:p>
  </w:footnote>
  <w:footnote w:id="239">
    <w:p w14:paraId="4CC7ABA8" w14:textId="3DC9A700" w:rsidR="00434A8B" w:rsidRPr="00C2088B" w:rsidRDefault="00434A8B" w:rsidP="004938D8">
      <w:pPr>
        <w:pStyle w:val="FootnoteText"/>
      </w:pPr>
      <w:r w:rsidRPr="00C2088B">
        <w:rPr>
          <w:rStyle w:val="FootnoteReference"/>
          <w:sz w:val="20"/>
        </w:rPr>
        <w:footnoteRef/>
      </w:r>
      <w:r w:rsidRPr="00C2088B">
        <w:t xml:space="preserve"> The last recommendation from the Federal-State Joint Board on Universal Service regarding the E-</w:t>
      </w:r>
      <w:r>
        <w:t>r</w:t>
      </w:r>
      <w:r w:rsidRPr="00C2088B">
        <w:t xml:space="preserve">ate Program was in 1996.  </w:t>
      </w:r>
      <w:r w:rsidRPr="00C2088B">
        <w:rPr>
          <w:i/>
        </w:rPr>
        <w:t>See</w:t>
      </w:r>
      <w:r w:rsidRPr="00C2088B">
        <w:t xml:space="preserve"> </w:t>
      </w:r>
      <w:r w:rsidRPr="00C2088B">
        <w:rPr>
          <w:i/>
        </w:rPr>
        <w:t>Federal-State Joint Board on Universal Service</w:t>
      </w:r>
      <w:r w:rsidRPr="00C2088B">
        <w:t>, CC Docket No. 96-45, Recommended Decision, 12 FCC Rcd 87, 130–92 (Joint Bd. 1996).</w:t>
      </w:r>
    </w:p>
  </w:footnote>
  <w:footnote w:id="240">
    <w:p w14:paraId="34B7D22F" w14:textId="1FF1ACC4" w:rsidR="00434A8B" w:rsidRPr="00C2088B" w:rsidRDefault="00434A8B">
      <w:pPr>
        <w:pStyle w:val="FootnoteText"/>
      </w:pPr>
      <w:r w:rsidRPr="00C2088B">
        <w:rPr>
          <w:rStyle w:val="FootnoteReference"/>
          <w:sz w:val="20"/>
        </w:rPr>
        <w:footnoteRef/>
      </w:r>
      <w:r w:rsidRPr="00C2088B">
        <w:t xml:space="preserve"> </w:t>
      </w:r>
      <w:r w:rsidRPr="00C2088B">
        <w:rPr>
          <w:i/>
        </w:rPr>
        <w:t>See</w:t>
      </w:r>
      <w:r w:rsidRPr="00C2088B">
        <w:t xml:space="preserve"> </w:t>
      </w:r>
      <w:r w:rsidRPr="00C2088B">
        <w:rPr>
          <w:i/>
        </w:rPr>
        <w:t>Universal Service</w:t>
      </w:r>
      <w:r w:rsidRPr="00C2088B">
        <w:t xml:space="preserve"> </w:t>
      </w:r>
      <w:r w:rsidRPr="00C2088B">
        <w:rPr>
          <w:i/>
        </w:rPr>
        <w:t>First Report and Order</w:t>
      </w:r>
      <w:r w:rsidRPr="00C2088B">
        <w:t>, 12 FCC Rcd at 8795, para. 33.</w:t>
      </w:r>
    </w:p>
  </w:footnote>
  <w:footnote w:id="241">
    <w:p w14:paraId="0B071584" w14:textId="019F494F" w:rsidR="00434A8B" w:rsidRPr="00C2088B" w:rsidRDefault="00434A8B">
      <w:pPr>
        <w:pStyle w:val="FootnoteText"/>
      </w:pPr>
      <w:r w:rsidRPr="00C2088B">
        <w:rPr>
          <w:rStyle w:val="FootnoteReference"/>
          <w:sz w:val="20"/>
        </w:rPr>
        <w:footnoteRef/>
      </w:r>
      <w:r w:rsidRPr="00C2088B">
        <w:t xml:space="preserve"> </w:t>
      </w:r>
      <w:r w:rsidRPr="00C2088B">
        <w:rPr>
          <w:i/>
        </w:rPr>
        <w:t>Id.</w:t>
      </w:r>
      <w:r w:rsidRPr="00C2088B">
        <w:t xml:space="preserve"> </w:t>
      </w:r>
      <w:r w:rsidR="00265EF7">
        <w:t xml:space="preserve"> </w:t>
      </w:r>
      <w:r w:rsidRPr="00C2088B">
        <w:t>While school districts also function as consortia of individual schools, for this purpose, a consortium includes a group of schools and</w:t>
      </w:r>
      <w:r>
        <w:t>/or</w:t>
      </w:r>
      <w:r w:rsidRPr="00C2088B">
        <w:t xml:space="preserve"> libraries.</w:t>
      </w:r>
    </w:p>
  </w:footnote>
  <w:footnote w:id="242">
    <w:p w14:paraId="29D12486" w14:textId="35E975F5" w:rsidR="00434A8B" w:rsidRPr="00C2088B" w:rsidRDefault="00434A8B" w:rsidP="00462090">
      <w:pPr>
        <w:pStyle w:val="FootnoteText"/>
      </w:pPr>
      <w:r w:rsidRPr="00C2088B">
        <w:rPr>
          <w:rStyle w:val="FootnoteReference"/>
          <w:sz w:val="20"/>
        </w:rPr>
        <w:footnoteRef/>
      </w:r>
      <w:r w:rsidRPr="00C2088B">
        <w:t xml:space="preserve"> </w:t>
      </w:r>
      <w:r w:rsidRPr="00C2088B">
        <w:rPr>
          <w:i/>
        </w:rPr>
        <w:t xml:space="preserve">See </w:t>
      </w:r>
      <w:r w:rsidRPr="004F322C">
        <w:t>National</w:t>
      </w:r>
      <w:r>
        <w:rPr>
          <w:i/>
        </w:rPr>
        <w:t xml:space="preserve"> </w:t>
      </w:r>
      <w:r>
        <w:t xml:space="preserve">Broadband Plan </w:t>
      </w:r>
      <w:r w:rsidRPr="00C2088B">
        <w:t>at 238 (Recommendation 11.21).</w:t>
      </w:r>
    </w:p>
  </w:footnote>
  <w:footnote w:id="243">
    <w:p w14:paraId="4532F934" w14:textId="77777777" w:rsidR="00434A8B" w:rsidRPr="00C2088B" w:rsidRDefault="00434A8B" w:rsidP="00DE013B">
      <w:pPr>
        <w:spacing w:after="120"/>
        <w:rPr>
          <w:sz w:val="20"/>
        </w:rPr>
      </w:pPr>
      <w:r w:rsidRPr="00C2088B">
        <w:rPr>
          <w:rStyle w:val="FootnoteReference"/>
          <w:sz w:val="20"/>
        </w:rPr>
        <w:footnoteRef/>
      </w:r>
      <w:r w:rsidRPr="00C2088B">
        <w:rPr>
          <w:sz w:val="20"/>
        </w:rPr>
        <w:t xml:space="preserve"> </w:t>
      </w:r>
      <w:r w:rsidRPr="00C2088B">
        <w:rPr>
          <w:i/>
          <w:sz w:val="20"/>
        </w:rPr>
        <w:t>Universal Service</w:t>
      </w:r>
      <w:r w:rsidRPr="00C2088B">
        <w:rPr>
          <w:sz w:val="20"/>
        </w:rPr>
        <w:t xml:space="preserve"> </w:t>
      </w:r>
      <w:r w:rsidRPr="00C2088B">
        <w:rPr>
          <w:i/>
          <w:sz w:val="20"/>
        </w:rPr>
        <w:t>First Report and Order</w:t>
      </w:r>
      <w:r w:rsidRPr="00C2088B">
        <w:rPr>
          <w:sz w:val="20"/>
        </w:rPr>
        <w:t>, 12 FCC Rcd at 8795, para. 33.</w:t>
      </w:r>
    </w:p>
  </w:footnote>
  <w:footnote w:id="244">
    <w:p w14:paraId="4F8F1562" w14:textId="77777777" w:rsidR="00434A8B" w:rsidRPr="00C2088B" w:rsidRDefault="00434A8B" w:rsidP="00DE013B">
      <w:pPr>
        <w:pStyle w:val="FootnoteText"/>
      </w:pPr>
      <w:r w:rsidRPr="00C2088B">
        <w:rPr>
          <w:rStyle w:val="FootnoteReference"/>
          <w:sz w:val="20"/>
        </w:rPr>
        <w:footnoteRef/>
      </w:r>
      <w:r w:rsidRPr="00C2088B">
        <w:t xml:space="preserve"> </w:t>
      </w:r>
      <w:r w:rsidRPr="00C2088B">
        <w:rPr>
          <w:i/>
        </w:rPr>
        <w:t>Id.</w:t>
      </w:r>
      <w:r w:rsidRPr="00C2088B">
        <w:t xml:space="preserve"> at 9027, para. 47.  </w:t>
      </w:r>
    </w:p>
  </w:footnote>
  <w:footnote w:id="245">
    <w:p w14:paraId="3F34341B" w14:textId="6CE1223B" w:rsidR="00434A8B" w:rsidRPr="00C2088B" w:rsidRDefault="00434A8B" w:rsidP="00DE013B">
      <w:pPr>
        <w:pStyle w:val="FootnoteText"/>
      </w:pPr>
      <w:r w:rsidRPr="00C2088B">
        <w:rPr>
          <w:rStyle w:val="FootnoteReference"/>
          <w:sz w:val="20"/>
        </w:rPr>
        <w:footnoteRef/>
      </w:r>
      <w:r w:rsidRPr="00C2088B">
        <w:t xml:space="preserve"> </w:t>
      </w:r>
      <w:r w:rsidRPr="00C2088B">
        <w:rPr>
          <w:color w:val="000000"/>
        </w:rPr>
        <w:t xml:space="preserve">Letter from Melvin R. Blackwell, Vice President, Schools and Libraries Division, to </w:t>
      </w:r>
      <w:r w:rsidRPr="00C2088B">
        <w:t>Lisa Hone, Deputy Division Chief, TAPD, Wireline Competition Bureau</w:t>
      </w:r>
      <w:r>
        <w:t>, CC Docket No. 02-6</w:t>
      </w:r>
      <w:r w:rsidRPr="00C2088B">
        <w:rPr>
          <w:color w:val="000000"/>
        </w:rPr>
        <w:t xml:space="preserve"> (June 28, 2013).</w:t>
      </w:r>
    </w:p>
  </w:footnote>
  <w:footnote w:id="246">
    <w:p w14:paraId="50BFD20A" w14:textId="4D3AA8F6" w:rsidR="00434A8B" w:rsidRPr="00C2088B" w:rsidRDefault="00434A8B" w:rsidP="00DE013B">
      <w:pPr>
        <w:pStyle w:val="FootnoteText"/>
        <w:rPr>
          <w:i/>
        </w:rPr>
      </w:pPr>
      <w:r w:rsidRPr="00C2088B">
        <w:rPr>
          <w:rStyle w:val="FootnoteReference"/>
          <w:sz w:val="20"/>
        </w:rPr>
        <w:footnoteRef/>
      </w:r>
      <w:r w:rsidRPr="00C2088B">
        <w:t xml:space="preserve"> </w:t>
      </w:r>
      <w:r w:rsidRPr="00C2088B">
        <w:rPr>
          <w:i/>
        </w:rPr>
        <w:t>Id.</w:t>
      </w:r>
    </w:p>
  </w:footnote>
  <w:footnote w:id="247">
    <w:p w14:paraId="69E9A87D" w14:textId="25F40AF9" w:rsidR="00434A8B" w:rsidRPr="00C2088B" w:rsidRDefault="00434A8B" w:rsidP="00DE013B">
      <w:pPr>
        <w:pStyle w:val="FootnoteText"/>
        <w:rPr>
          <w:i/>
        </w:rPr>
      </w:pPr>
      <w:r w:rsidRPr="00C2088B">
        <w:rPr>
          <w:rStyle w:val="FootnoteReference"/>
          <w:sz w:val="20"/>
        </w:rPr>
        <w:footnoteRef/>
      </w:r>
      <w:r w:rsidRPr="00C2088B">
        <w:t xml:space="preserve"> </w:t>
      </w:r>
      <w:r w:rsidRPr="00C2088B">
        <w:rPr>
          <w:i/>
        </w:rPr>
        <w:t>Id.</w:t>
      </w:r>
    </w:p>
  </w:footnote>
  <w:footnote w:id="248">
    <w:p w14:paraId="43F1C1F7" w14:textId="7C81257F" w:rsidR="00434A8B" w:rsidRPr="00C2088B" w:rsidRDefault="00434A8B" w:rsidP="00DE013B">
      <w:pPr>
        <w:spacing w:after="120"/>
        <w:rPr>
          <w:sz w:val="20"/>
        </w:rPr>
      </w:pPr>
      <w:r w:rsidRPr="00C2088B">
        <w:rPr>
          <w:rStyle w:val="FootnoteReference"/>
          <w:sz w:val="20"/>
        </w:rPr>
        <w:footnoteRef/>
      </w:r>
      <w:r w:rsidRPr="00C2088B">
        <w:rPr>
          <w:sz w:val="20"/>
        </w:rPr>
        <w:t xml:space="preserve"> </w:t>
      </w:r>
      <w:r w:rsidRPr="00C2088B">
        <w:rPr>
          <w:i/>
          <w:sz w:val="20"/>
        </w:rPr>
        <w:t>See</w:t>
      </w:r>
      <w:r w:rsidRPr="00C2088B">
        <w:rPr>
          <w:sz w:val="20"/>
        </w:rPr>
        <w:t xml:space="preserve"> </w:t>
      </w:r>
      <w:r w:rsidRPr="00C2088B">
        <w:rPr>
          <w:i/>
          <w:sz w:val="20"/>
        </w:rPr>
        <w:t>Healthcare Connect Fund Order</w:t>
      </w:r>
      <w:r w:rsidRPr="00C2088B">
        <w:rPr>
          <w:sz w:val="20"/>
        </w:rPr>
        <w:t xml:space="preserve">, 27 FCC Rcd at 16702, para. 54.  </w:t>
      </w:r>
      <w:r w:rsidRPr="00C2088B">
        <w:rPr>
          <w:i/>
          <w:sz w:val="20"/>
        </w:rPr>
        <w:t>See also</w:t>
      </w:r>
      <w:r w:rsidRPr="00C2088B">
        <w:rPr>
          <w:sz w:val="20"/>
        </w:rPr>
        <w:t xml:space="preserve"> </w:t>
      </w:r>
      <w:r w:rsidRPr="00C2088B">
        <w:rPr>
          <w:i/>
          <w:sz w:val="20"/>
        </w:rPr>
        <w:t>Wireline Competition Bureau Evaluation of Rural Health Care Pilot Program</w:t>
      </w:r>
      <w:r w:rsidRPr="00C2088B">
        <w:rPr>
          <w:sz w:val="20"/>
        </w:rPr>
        <w:t>, WC Docket No. 02-60, Staff Report, 27 FCC Rcd 9387, 9435, paras. 77-78 (Wireline Comp. Bur. 2012).</w:t>
      </w:r>
    </w:p>
  </w:footnote>
  <w:footnote w:id="249">
    <w:p w14:paraId="2CAAF28E" w14:textId="0EEB3F83" w:rsidR="00434A8B" w:rsidRPr="00C2088B" w:rsidRDefault="00434A8B" w:rsidP="00DE013B">
      <w:pPr>
        <w:pStyle w:val="FootnoteText"/>
      </w:pPr>
      <w:r w:rsidRPr="00C2088B">
        <w:rPr>
          <w:rStyle w:val="FootnoteReference"/>
          <w:sz w:val="20"/>
        </w:rPr>
        <w:footnoteRef/>
      </w:r>
      <w:r w:rsidRPr="00C2088B">
        <w:rPr>
          <w:i/>
        </w:rPr>
        <w:t xml:space="preserve"> See also </w:t>
      </w:r>
      <w:r w:rsidR="00AB1373">
        <w:rPr>
          <w:i/>
        </w:rPr>
        <w:t>su</w:t>
      </w:r>
      <w:r w:rsidRPr="00C2088B">
        <w:rPr>
          <w:i/>
        </w:rPr>
        <w:t>ra</w:t>
      </w:r>
      <w:r w:rsidRPr="00C2088B">
        <w:t xml:space="preserve"> Section </w:t>
      </w:r>
      <w:r w:rsidR="00AB1373">
        <w:t>II.D.</w:t>
      </w:r>
      <w:r w:rsidRPr="00C2088B">
        <w:t xml:space="preserve">, </w:t>
      </w:r>
      <w:r w:rsidR="00AB1373">
        <w:t>Streamlining</w:t>
      </w:r>
      <w:r w:rsidRPr="00C2088B">
        <w:t xml:space="preserve"> the Administrati</w:t>
      </w:r>
      <w:r w:rsidR="00AB1373">
        <w:t>on</w:t>
      </w:r>
      <w:r w:rsidRPr="00C2088B">
        <w:t xml:space="preserve"> of the E-rate Program. </w:t>
      </w:r>
    </w:p>
  </w:footnote>
  <w:footnote w:id="250">
    <w:p w14:paraId="7DCBA580" w14:textId="0341914D" w:rsidR="00434A8B" w:rsidRPr="00C2088B" w:rsidRDefault="00434A8B" w:rsidP="00785A08">
      <w:pPr>
        <w:pStyle w:val="FootnoteText"/>
      </w:pPr>
      <w:r w:rsidRPr="00C2088B">
        <w:rPr>
          <w:rStyle w:val="FootnoteReference"/>
          <w:sz w:val="20"/>
        </w:rPr>
        <w:footnoteRef/>
      </w:r>
      <w:r w:rsidRPr="00C2088B">
        <w:t xml:space="preserve"> </w:t>
      </w:r>
      <w:r w:rsidRPr="00C2088B">
        <w:rPr>
          <w:i/>
          <w:snapToGrid w:val="0"/>
        </w:rPr>
        <w:t>See</w:t>
      </w:r>
      <w:r>
        <w:rPr>
          <w:i/>
          <w:snapToGrid w:val="0"/>
        </w:rPr>
        <w:t>,</w:t>
      </w:r>
      <w:r w:rsidRPr="00C2088B">
        <w:rPr>
          <w:i/>
          <w:snapToGrid w:val="0"/>
        </w:rPr>
        <w:t xml:space="preserve"> e.g.</w:t>
      </w:r>
      <w:r>
        <w:rPr>
          <w:i/>
          <w:snapToGrid w:val="0"/>
        </w:rPr>
        <w:t>,</w:t>
      </w:r>
      <w:r w:rsidRPr="00C2088B">
        <w:rPr>
          <w:i/>
          <w:snapToGrid w:val="0"/>
        </w:rPr>
        <w:t xml:space="preserve"> Arizona Dept. of Educ., Arizona State Master Contract available at </w:t>
      </w:r>
      <w:hyperlink r:id="rId58" w:history="1">
        <w:r w:rsidRPr="00C2088B">
          <w:rPr>
            <w:i/>
            <w:snapToGrid w:val="0"/>
          </w:rPr>
          <w:t>http://www.azed.gov/educational-technology/e-rate/arizona-state-master-contract</w:t>
        </w:r>
      </w:hyperlink>
      <w:r w:rsidRPr="00C2088B">
        <w:rPr>
          <w:i/>
          <w:snapToGrid w:val="0"/>
        </w:rPr>
        <w:t xml:space="preserve"> </w:t>
      </w:r>
      <w:r w:rsidRPr="004F322C">
        <w:t xml:space="preserve">(last visited </w:t>
      </w:r>
      <w:r w:rsidRPr="00C2088B">
        <w:rPr>
          <w:snapToGrid w:val="0"/>
        </w:rPr>
        <w:t>July 15</w:t>
      </w:r>
      <w:r w:rsidRPr="004F322C">
        <w:t>, 2013</w:t>
      </w:r>
      <w:r w:rsidRPr="00C2088B">
        <w:rPr>
          <w:i/>
          <w:snapToGrid w:val="0"/>
        </w:rPr>
        <w:t>).</w:t>
      </w:r>
    </w:p>
  </w:footnote>
  <w:footnote w:id="251">
    <w:p w14:paraId="08992BD8" w14:textId="6878EB54" w:rsidR="00434A8B" w:rsidRPr="00C2088B" w:rsidRDefault="00434A8B" w:rsidP="00513328">
      <w:pPr>
        <w:pStyle w:val="FootnoteText"/>
      </w:pPr>
      <w:r w:rsidRPr="00C2088B">
        <w:rPr>
          <w:rStyle w:val="FootnoteReference"/>
          <w:sz w:val="20"/>
        </w:rPr>
        <w:footnoteRef/>
      </w:r>
      <w:r w:rsidRPr="00C2088B">
        <w:t xml:space="preserve"> </w:t>
      </w:r>
      <w:r w:rsidR="00E33DA7" w:rsidRPr="00E33DA7">
        <w:rPr>
          <w:i/>
        </w:rPr>
        <w:t>See, e.g.,</w:t>
      </w:r>
      <w:r w:rsidRPr="00C2088B">
        <w:rPr>
          <w:i/>
        </w:rPr>
        <w:t xml:space="preserve"> </w:t>
      </w:r>
      <w:r w:rsidRPr="00C2088B">
        <w:t xml:space="preserve">MCNC, Connecting North Carolina’s Future Today, </w:t>
      </w:r>
      <w:r w:rsidRPr="00510855">
        <w:rPr>
          <w:i/>
        </w:rPr>
        <w:t>available at</w:t>
      </w:r>
      <w:r w:rsidRPr="00C2088B">
        <w:t xml:space="preserve"> </w:t>
      </w:r>
      <w:hyperlink r:id="rId59" w:history="1">
        <w:r w:rsidRPr="00C2088B">
          <w:rPr>
            <w:rStyle w:val="Hyperlink"/>
          </w:rPr>
          <w:t>https://mcnc.org/about.html</w:t>
        </w:r>
      </w:hyperlink>
      <w:r w:rsidRPr="00C2088B">
        <w:t xml:space="preserve"> (last visited July 15, 2013). </w:t>
      </w:r>
      <w:r w:rsidRPr="00C2088B">
        <w:rPr>
          <w:i/>
        </w:rPr>
        <w:t xml:space="preserve"> See</w:t>
      </w:r>
      <w:r w:rsidRPr="00C2088B">
        <w:t xml:space="preserve"> </w:t>
      </w:r>
      <w:r w:rsidRPr="00C2088B">
        <w:rPr>
          <w:i/>
        </w:rPr>
        <w:t>generally</w:t>
      </w:r>
      <w:r w:rsidRPr="00C2088B">
        <w:t xml:space="preserve"> R&amp;E Network, </w:t>
      </w:r>
      <w:r w:rsidRPr="00C2088B">
        <w:rPr>
          <w:i/>
        </w:rPr>
        <w:t>Connections, Capacity, Community: Exploring Potential Benefits of Research and Education Networks for Public Libraries</w:t>
      </w:r>
      <w:r w:rsidRPr="00C2088B">
        <w:t xml:space="preserve"> (Feb. 21, 2011), </w:t>
      </w:r>
      <w:r w:rsidRPr="00C2088B">
        <w:rPr>
          <w:i/>
        </w:rPr>
        <w:t>available at</w:t>
      </w:r>
      <w:r w:rsidRPr="00C2088B">
        <w:t xml:space="preserve"> </w:t>
      </w:r>
      <w:hyperlink r:id="rId60" w:history="1">
        <w:r w:rsidRPr="00C2088B">
          <w:rPr>
            <w:rStyle w:val="Hyperlink"/>
          </w:rPr>
          <w:t>http://www.tmng.com/sites/tmng.com/files/CSMG_Gates%20Foundation_Connections%20Capacity%20Community%20RE%20Network%20Paper_21Feb2011.pdf</w:t>
        </w:r>
      </w:hyperlink>
      <w:r w:rsidRPr="00C2088B">
        <w:t xml:space="preserve"> (last visited July 15, 2013).</w:t>
      </w:r>
    </w:p>
  </w:footnote>
  <w:footnote w:id="252">
    <w:p w14:paraId="1654375D" w14:textId="47D66037" w:rsidR="00434A8B" w:rsidRPr="00C2088B" w:rsidRDefault="00434A8B" w:rsidP="00513328">
      <w:pPr>
        <w:pStyle w:val="FootnoteText"/>
      </w:pPr>
      <w:r w:rsidRPr="00C2088B">
        <w:rPr>
          <w:rStyle w:val="FootnoteReference"/>
          <w:sz w:val="20"/>
        </w:rPr>
        <w:footnoteRef/>
      </w:r>
      <w:r w:rsidRPr="00C2088B">
        <w:t xml:space="preserve"> </w:t>
      </w:r>
      <w:r w:rsidRPr="00C2088B">
        <w:rPr>
          <w:i/>
        </w:rPr>
        <w:t xml:space="preserve">See supra </w:t>
      </w:r>
      <w:r w:rsidRPr="00C2088B">
        <w:t xml:space="preserve">paras. </w:t>
      </w:r>
      <w:r w:rsidR="00E34777">
        <w:fldChar w:fldCharType="begin"/>
      </w:r>
      <w:r w:rsidR="00E34777">
        <w:instrText xml:space="preserve"> REF _Ref362341576 \r \h </w:instrText>
      </w:r>
      <w:r w:rsidR="00E34777">
        <w:fldChar w:fldCharType="separate"/>
      </w:r>
      <w:r w:rsidR="00A0395D">
        <w:t>79</w:t>
      </w:r>
      <w:r w:rsidR="00E34777">
        <w:fldChar w:fldCharType="end"/>
      </w:r>
      <w:r w:rsidRPr="00C2088B">
        <w:t>-</w:t>
      </w:r>
      <w:r w:rsidRPr="00C2088B">
        <w:fldChar w:fldCharType="begin"/>
      </w:r>
      <w:r w:rsidRPr="00C2088B">
        <w:instrText xml:space="preserve"> REF _Ref360205594 \r \h  \* MERGEFORMAT </w:instrText>
      </w:r>
      <w:r w:rsidRPr="00C2088B">
        <w:fldChar w:fldCharType="separate"/>
      </w:r>
      <w:r w:rsidR="00A0395D">
        <w:t>82</w:t>
      </w:r>
      <w:r w:rsidRPr="00C2088B">
        <w:fldChar w:fldCharType="end"/>
      </w:r>
      <w:r w:rsidRPr="00C2088B">
        <w:t>.</w:t>
      </w:r>
    </w:p>
  </w:footnote>
  <w:footnote w:id="253">
    <w:p w14:paraId="37DCA4DB" w14:textId="2311BAF2" w:rsidR="00434A8B" w:rsidRPr="00C2088B" w:rsidRDefault="00434A8B" w:rsidP="00513328">
      <w:pPr>
        <w:pStyle w:val="FootnoteText"/>
      </w:pPr>
      <w:r w:rsidRPr="00C2088B">
        <w:rPr>
          <w:rStyle w:val="FootnoteReference"/>
          <w:sz w:val="20"/>
        </w:rPr>
        <w:footnoteRef/>
      </w:r>
      <w:r w:rsidRPr="00C2088B">
        <w:t xml:space="preserve"> </w:t>
      </w:r>
      <w:r w:rsidRPr="00C2088B">
        <w:rPr>
          <w:i/>
        </w:rPr>
        <w:t>See</w:t>
      </w:r>
      <w:r w:rsidRPr="00C2088B">
        <w:t xml:space="preserve"> Gates Ex Parte Letter at 6-7.</w:t>
      </w:r>
    </w:p>
  </w:footnote>
  <w:footnote w:id="254">
    <w:p w14:paraId="26AD36A2" w14:textId="380AF84F" w:rsidR="00434A8B" w:rsidRPr="00C2088B" w:rsidRDefault="00434A8B" w:rsidP="00513328">
      <w:pPr>
        <w:pStyle w:val="FootnoteText"/>
        <w:rPr>
          <w:i/>
        </w:rPr>
      </w:pPr>
      <w:r w:rsidRPr="00C2088B">
        <w:rPr>
          <w:rStyle w:val="FootnoteReference"/>
          <w:sz w:val="20"/>
        </w:rPr>
        <w:footnoteRef/>
      </w:r>
      <w:r w:rsidRPr="00C2088B">
        <w:t xml:space="preserve"> </w:t>
      </w:r>
      <w:r w:rsidRPr="00C2088B">
        <w:rPr>
          <w:i/>
        </w:rPr>
        <w:t>Id.</w:t>
      </w:r>
    </w:p>
  </w:footnote>
  <w:footnote w:id="255">
    <w:p w14:paraId="7A0F1429" w14:textId="77777777" w:rsidR="00434A8B" w:rsidRPr="00C2088B" w:rsidRDefault="00434A8B" w:rsidP="004938D8">
      <w:pPr>
        <w:pStyle w:val="FootnoteText"/>
      </w:pPr>
      <w:r w:rsidRPr="00C2088B">
        <w:rPr>
          <w:rStyle w:val="FootnoteReference"/>
          <w:sz w:val="20"/>
        </w:rPr>
        <w:footnoteRef/>
      </w:r>
      <w:r w:rsidRPr="00C2088B">
        <w:t xml:space="preserve"> National Broadband Plan Recommendation 11.20.</w:t>
      </w:r>
    </w:p>
  </w:footnote>
  <w:footnote w:id="256">
    <w:p w14:paraId="00953CC2" w14:textId="24579559" w:rsidR="00434A8B" w:rsidRPr="001C6BD4" w:rsidRDefault="00434A8B" w:rsidP="001C6BD4">
      <w:pPr>
        <w:spacing w:after="120"/>
        <w:rPr>
          <w:color w:val="1F497D"/>
          <w:sz w:val="20"/>
        </w:rPr>
      </w:pPr>
      <w:r w:rsidRPr="00C2088B">
        <w:rPr>
          <w:rStyle w:val="FootnoteReference"/>
          <w:sz w:val="20"/>
        </w:rPr>
        <w:footnoteRef/>
      </w:r>
      <w:r w:rsidRPr="00C2088B">
        <w:rPr>
          <w:sz w:val="20"/>
        </w:rPr>
        <w:t xml:space="preserve"> </w:t>
      </w:r>
      <w:r w:rsidRPr="00C2088B">
        <w:rPr>
          <w:i/>
          <w:sz w:val="20"/>
        </w:rPr>
        <w:t>See supra</w:t>
      </w:r>
      <w:r w:rsidRPr="00C2088B">
        <w:rPr>
          <w:sz w:val="20"/>
        </w:rPr>
        <w:t xml:space="preserve"> n.</w:t>
      </w:r>
      <w:r w:rsidRPr="00C2088B">
        <w:rPr>
          <w:sz w:val="20"/>
        </w:rPr>
        <w:fldChar w:fldCharType="begin"/>
      </w:r>
      <w:r w:rsidRPr="00C2088B">
        <w:rPr>
          <w:sz w:val="20"/>
        </w:rPr>
        <w:instrText xml:space="preserve"> NOTEREF _Ref360205721 \h  \* MERGEFORMAT </w:instrText>
      </w:r>
      <w:r w:rsidRPr="00C2088B">
        <w:rPr>
          <w:sz w:val="20"/>
        </w:rPr>
      </w:r>
      <w:r w:rsidRPr="00C2088B">
        <w:rPr>
          <w:sz w:val="20"/>
        </w:rPr>
        <w:fldChar w:fldCharType="separate"/>
      </w:r>
      <w:r w:rsidR="00A0395D">
        <w:rPr>
          <w:sz w:val="20"/>
        </w:rPr>
        <w:t>79</w:t>
      </w:r>
      <w:r w:rsidRPr="00C2088B">
        <w:rPr>
          <w:sz w:val="20"/>
        </w:rPr>
        <w:fldChar w:fldCharType="end"/>
      </w:r>
      <w:r w:rsidRPr="00C2088B">
        <w:rPr>
          <w:sz w:val="20"/>
        </w:rPr>
        <w:t xml:space="preserve">. Applicants provide the information in the Item 21 attachments they provide with their funding applications. USAC does not publicly disclose this data.  </w:t>
      </w:r>
      <w:r w:rsidRPr="00C2088B">
        <w:rPr>
          <w:i/>
          <w:sz w:val="20"/>
        </w:rPr>
        <w:t xml:space="preserve">See </w:t>
      </w:r>
      <w:r w:rsidRPr="00C2088B">
        <w:rPr>
          <w:sz w:val="20"/>
        </w:rPr>
        <w:t xml:space="preserve">USAC, Schools and Libraries, Item 21, </w:t>
      </w:r>
      <w:r w:rsidRPr="00510855">
        <w:rPr>
          <w:i/>
          <w:sz w:val="20"/>
        </w:rPr>
        <w:t>available at</w:t>
      </w:r>
      <w:r w:rsidRPr="00C2088B">
        <w:rPr>
          <w:sz w:val="20"/>
        </w:rPr>
        <w:t xml:space="preserve"> </w:t>
      </w:r>
      <w:hyperlink r:id="rId61" w:tooltip="http://www.universalservice.org/sl/applicants/step04/item-21.aspx" w:history="1">
        <w:r w:rsidRPr="00C2088B">
          <w:rPr>
            <w:rStyle w:val="Hyperlink"/>
            <w:sz w:val="20"/>
          </w:rPr>
          <w:t>http://www.universalservice.org/sl/applicants/step04/item-21.aspx</w:t>
        </w:r>
      </w:hyperlink>
      <w:r w:rsidRPr="00C2088B">
        <w:rPr>
          <w:rStyle w:val="Hyperlink"/>
          <w:sz w:val="20"/>
        </w:rPr>
        <w:t xml:space="preserve"> (last visited July 15, 2013). </w:t>
      </w:r>
    </w:p>
  </w:footnote>
  <w:footnote w:id="257">
    <w:p w14:paraId="784880DE" w14:textId="3837B00C" w:rsidR="00434A8B" w:rsidRPr="00C2088B" w:rsidRDefault="00434A8B">
      <w:pPr>
        <w:pStyle w:val="FootnoteText"/>
      </w:pPr>
      <w:r w:rsidRPr="00C2088B">
        <w:rPr>
          <w:rStyle w:val="FootnoteReference"/>
          <w:sz w:val="20"/>
        </w:rPr>
        <w:footnoteRef/>
      </w:r>
      <w:r w:rsidRPr="00C2088B">
        <w:t xml:space="preserve"> For more information about the lowest corresponding price rule</w:t>
      </w:r>
      <w:r w:rsidR="0079276A">
        <w:t>,</w:t>
      </w:r>
      <w:r w:rsidRPr="00C2088B">
        <w:t xml:space="preserve"> </w:t>
      </w:r>
      <w:r w:rsidRPr="0079276A">
        <w:rPr>
          <w:i/>
        </w:rPr>
        <w:t>see</w:t>
      </w:r>
      <w:r w:rsidRPr="00C2088B">
        <w:t xml:space="preserve"> </w:t>
      </w:r>
      <w:r w:rsidR="00C248B6" w:rsidRPr="00C248B6">
        <w:rPr>
          <w:i/>
        </w:rPr>
        <w:t>supra</w:t>
      </w:r>
      <w:r w:rsidRPr="00C2088B">
        <w:t xml:space="preserve"> paras. </w:t>
      </w:r>
      <w:r w:rsidRPr="00C2088B">
        <w:fldChar w:fldCharType="begin"/>
      </w:r>
      <w:r w:rsidRPr="00C2088B">
        <w:instrText xml:space="preserve"> REF _Ref360205813 \r \h  \* MERGEFORMAT </w:instrText>
      </w:r>
      <w:r w:rsidRPr="00C2088B">
        <w:fldChar w:fldCharType="separate"/>
      </w:r>
      <w:r w:rsidR="00A0395D">
        <w:t>209</w:t>
      </w:r>
      <w:r w:rsidRPr="00C2088B">
        <w:fldChar w:fldCharType="end"/>
      </w:r>
      <w:r w:rsidRPr="00C2088B">
        <w:t>-</w:t>
      </w:r>
      <w:r w:rsidRPr="00C2088B">
        <w:fldChar w:fldCharType="begin"/>
      </w:r>
      <w:r w:rsidRPr="00C2088B">
        <w:instrText xml:space="preserve"> REF _Ref360205818 \r \h  \* MERGEFORMAT </w:instrText>
      </w:r>
      <w:r w:rsidRPr="00C2088B">
        <w:fldChar w:fldCharType="separate"/>
      </w:r>
      <w:r w:rsidR="00A0395D">
        <w:t>210</w:t>
      </w:r>
      <w:r w:rsidRPr="00C2088B">
        <w:fldChar w:fldCharType="end"/>
      </w:r>
      <w:r w:rsidRPr="00C2088B">
        <w:t>.</w:t>
      </w:r>
    </w:p>
  </w:footnote>
  <w:footnote w:id="258">
    <w:p w14:paraId="1084ACCE" w14:textId="77777777" w:rsidR="00434A8B" w:rsidRPr="00C2088B" w:rsidRDefault="00434A8B" w:rsidP="00513328">
      <w:pPr>
        <w:pStyle w:val="FootnoteText"/>
      </w:pPr>
      <w:r w:rsidRPr="00C2088B">
        <w:rPr>
          <w:rStyle w:val="FootnoteReference"/>
          <w:sz w:val="20"/>
        </w:rPr>
        <w:footnoteRef/>
      </w:r>
      <w:r w:rsidRPr="00C2088B">
        <w:rPr>
          <w:i/>
        </w:rPr>
        <w:t xml:space="preserve"> See</w:t>
      </w:r>
      <w:r w:rsidRPr="00C2088B">
        <w:t xml:space="preserve"> 47 C.F.R. § 54.501(c)(3).</w:t>
      </w:r>
    </w:p>
  </w:footnote>
  <w:footnote w:id="259">
    <w:p w14:paraId="4CE605EB" w14:textId="0D002516" w:rsidR="00434A8B" w:rsidRPr="00C2088B" w:rsidRDefault="00434A8B" w:rsidP="000A70A8">
      <w:pPr>
        <w:pStyle w:val="FootnoteText"/>
      </w:pPr>
      <w:r w:rsidRPr="00C2088B">
        <w:rPr>
          <w:rStyle w:val="FootnoteReference"/>
          <w:sz w:val="20"/>
        </w:rPr>
        <w:footnoteRef/>
      </w:r>
      <w:r w:rsidRPr="00C2088B">
        <w:t xml:space="preserve"> </w:t>
      </w:r>
      <w:r w:rsidRPr="00C2088B">
        <w:rPr>
          <w:i/>
        </w:rPr>
        <w:t>Second Report and Order</w:t>
      </w:r>
      <w:r w:rsidRPr="00C2088B">
        <w:t>, 18 FCC Rcd at 9213-15, paras. 31-37.</w:t>
      </w:r>
    </w:p>
  </w:footnote>
  <w:footnote w:id="260">
    <w:p w14:paraId="2F7DF338" w14:textId="27C958EF" w:rsidR="00434A8B" w:rsidRPr="00C2088B" w:rsidRDefault="00434A8B" w:rsidP="00513328">
      <w:pPr>
        <w:pStyle w:val="FootnoteText"/>
      </w:pPr>
      <w:r w:rsidRPr="00C2088B">
        <w:rPr>
          <w:rStyle w:val="FootnoteReference"/>
          <w:sz w:val="20"/>
        </w:rPr>
        <w:footnoteRef/>
      </w:r>
      <w:r w:rsidRPr="00C2088B">
        <w:t xml:space="preserve"> SECA has noted that </w:t>
      </w:r>
      <w:r>
        <w:t>“</w:t>
      </w:r>
      <w:r w:rsidRPr="00C2088B">
        <w:t>[v]ery few, if any, entities receive viable bids as a result of their priority one form 470 postings [but rather] applicants must [often] reach out to prospective service providers to encourage them to participate in the procurement.</w:t>
      </w:r>
      <w:r>
        <w:t>”</w:t>
      </w:r>
      <w:r w:rsidRPr="00C2088B">
        <w:t xml:space="preserve"> </w:t>
      </w:r>
      <w:r>
        <w:t xml:space="preserve"> </w:t>
      </w:r>
      <w:r w:rsidRPr="00C2088B">
        <w:t xml:space="preserve">SECA </w:t>
      </w:r>
      <w:r w:rsidRPr="00C2088B">
        <w:rPr>
          <w:i/>
        </w:rPr>
        <w:t>E-rate Broadband NPRM</w:t>
      </w:r>
      <w:r w:rsidRPr="00C2088B">
        <w:t xml:space="preserve"> Comments at 10.</w:t>
      </w:r>
    </w:p>
  </w:footnote>
  <w:footnote w:id="261">
    <w:p w14:paraId="0DE885EF" w14:textId="339E4498" w:rsidR="00434A8B" w:rsidRPr="00C2088B" w:rsidRDefault="00434A8B" w:rsidP="00513328">
      <w:pPr>
        <w:pStyle w:val="FootnoteText"/>
      </w:pPr>
      <w:r w:rsidRPr="00C2088B">
        <w:rPr>
          <w:rStyle w:val="FootnoteReference"/>
          <w:sz w:val="20"/>
        </w:rPr>
        <w:footnoteRef/>
      </w:r>
      <w:r w:rsidRPr="00C2088B">
        <w:t xml:space="preserve"> </w:t>
      </w:r>
      <w:hyperlink r:id="rId62" w:tgtFrame="_top" w:history="1">
        <w:r w:rsidRPr="00C2088B">
          <w:rPr>
            <w:rStyle w:val="Hyperlink"/>
            <w:color w:val="000000"/>
            <w:u w:val="none"/>
          </w:rPr>
          <w:t>47 C.F.R. § 54.50</w:t>
        </w:r>
      </w:hyperlink>
      <w:r w:rsidRPr="00C2088B">
        <w:rPr>
          <w:color w:val="000000"/>
        </w:rPr>
        <w:t>3(c).</w:t>
      </w:r>
      <w:r w:rsidRPr="00C2088B" w:rsidDel="00094355">
        <w:t xml:space="preserve"> </w:t>
      </w:r>
    </w:p>
  </w:footnote>
  <w:footnote w:id="262">
    <w:p w14:paraId="2C66EC74" w14:textId="5E14BFEE" w:rsidR="00434A8B" w:rsidRPr="00C2088B" w:rsidRDefault="00434A8B" w:rsidP="00513328">
      <w:pPr>
        <w:pStyle w:val="FootnoteText"/>
      </w:pPr>
      <w:r w:rsidRPr="00C2088B">
        <w:rPr>
          <w:rStyle w:val="FootnoteReference"/>
          <w:sz w:val="20"/>
        </w:rPr>
        <w:footnoteRef/>
      </w:r>
      <w:r w:rsidRPr="00C2088B">
        <w:t xml:space="preserve"> </w:t>
      </w:r>
      <w:r w:rsidRPr="00C2088B">
        <w:rPr>
          <w:i/>
        </w:rPr>
        <w:t>Id.</w:t>
      </w:r>
    </w:p>
  </w:footnote>
  <w:footnote w:id="263">
    <w:p w14:paraId="0389F4B0" w14:textId="579D29C0" w:rsidR="00434A8B" w:rsidRPr="00C2088B" w:rsidRDefault="00434A8B" w:rsidP="00513328">
      <w:pPr>
        <w:pStyle w:val="FootnoteText"/>
      </w:pPr>
      <w:r w:rsidRPr="00C2088B">
        <w:rPr>
          <w:rStyle w:val="FootnoteReference"/>
          <w:sz w:val="20"/>
        </w:rPr>
        <w:footnoteRef/>
      </w:r>
      <w:r w:rsidRPr="00C2088B">
        <w:t xml:space="preserve"> </w:t>
      </w:r>
      <w:r w:rsidRPr="00C2088B">
        <w:rPr>
          <w:i/>
        </w:rPr>
        <w:t xml:space="preserve">See </w:t>
      </w:r>
      <w:r w:rsidRPr="00C2088B">
        <w:t xml:space="preserve">USAC, Schools and Libraries, Selecting Service Providers, </w:t>
      </w:r>
      <w:r w:rsidRPr="00510855">
        <w:rPr>
          <w:i/>
        </w:rPr>
        <w:t>available at</w:t>
      </w:r>
      <w:r w:rsidRPr="00C2088B">
        <w:t xml:space="preserve"> </w:t>
      </w:r>
      <w:hyperlink r:id="rId63" w:history="1">
        <w:r w:rsidRPr="00C2088B">
          <w:rPr>
            <w:rStyle w:val="Hyperlink"/>
          </w:rPr>
          <w:t>http://www.usac.org/sl/applicants/step03/default.aspx</w:t>
        </w:r>
      </w:hyperlink>
      <w:r w:rsidRPr="00C2088B">
        <w:t xml:space="preserve"> (last visited July 15, 2013).</w:t>
      </w:r>
    </w:p>
  </w:footnote>
  <w:footnote w:id="264">
    <w:p w14:paraId="5E7CAF8B" w14:textId="050AF9A8" w:rsidR="00434A8B" w:rsidRPr="00C2088B" w:rsidRDefault="00434A8B">
      <w:pPr>
        <w:pStyle w:val="FootnoteText"/>
      </w:pPr>
      <w:r w:rsidRPr="00C2088B">
        <w:rPr>
          <w:rStyle w:val="FootnoteReference"/>
          <w:sz w:val="20"/>
        </w:rPr>
        <w:footnoteRef/>
      </w:r>
      <w:r w:rsidRPr="00C2088B">
        <w:t xml:space="preserve"> </w:t>
      </w:r>
      <w:r w:rsidRPr="00C2088B">
        <w:rPr>
          <w:i/>
        </w:rPr>
        <w:t>See Universal Service First Report and Order</w:t>
      </w:r>
      <w:r w:rsidRPr="00C2088B">
        <w:t xml:space="preserve">, 12 FCC Rcd at 9078, para. 575 (noting that applicants must provide sufficient detail </w:t>
      </w:r>
      <w:r>
        <w:t>“</w:t>
      </w:r>
      <w:r w:rsidRPr="00C2088B">
        <w:t>to allow providers to reasonably evaluate the requests and submit bids</w:t>
      </w:r>
      <w:r>
        <w:t>”</w:t>
      </w:r>
      <w:r w:rsidRPr="00C2088B">
        <w:t>).</w:t>
      </w:r>
    </w:p>
  </w:footnote>
  <w:footnote w:id="265">
    <w:p w14:paraId="70675CC2" w14:textId="749D4FDF" w:rsidR="00434A8B" w:rsidRPr="00C2088B" w:rsidRDefault="00434A8B">
      <w:pPr>
        <w:pStyle w:val="FootnoteText"/>
      </w:pPr>
      <w:r w:rsidRPr="00C2088B">
        <w:rPr>
          <w:rStyle w:val="FootnoteReference"/>
          <w:sz w:val="20"/>
        </w:rPr>
        <w:footnoteRef/>
      </w:r>
      <w:r w:rsidRPr="00C2088B">
        <w:t xml:space="preserve"> </w:t>
      </w:r>
      <w:r w:rsidRPr="00C2088B">
        <w:rPr>
          <w:i/>
        </w:rPr>
        <w:t>See R</w:t>
      </w:r>
      <w:r w:rsidRPr="00C2088B">
        <w:rPr>
          <w:i/>
          <w:iCs/>
        </w:rPr>
        <w:t xml:space="preserve">equest for Review by Ysleta Independent School District of the Decision </w:t>
      </w:r>
      <w:r w:rsidRPr="00C2088B">
        <w:rPr>
          <w:rStyle w:val="documentbody1"/>
          <w:rFonts w:ascii="Times New Roman" w:hAnsi="Times New Roman"/>
          <w:i/>
          <w:iCs/>
          <w:color w:val="000000"/>
          <w:sz w:val="20"/>
        </w:rPr>
        <w:t>of the Universal Service Administrator</w:t>
      </w:r>
      <w:r w:rsidRPr="00C2088B">
        <w:rPr>
          <w:rStyle w:val="documentbody1"/>
          <w:rFonts w:ascii="Times New Roman" w:hAnsi="Times New Roman"/>
          <w:color w:val="000000"/>
          <w:sz w:val="20"/>
        </w:rPr>
        <w:t xml:space="preserve">, CC Docket Nos. 96-45, 97-21, Order, 18 FCC Rcd 26407, 26421, para. 29 </w:t>
      </w:r>
      <w:r w:rsidR="001C6BD4">
        <w:rPr>
          <w:rStyle w:val="documentbody1"/>
          <w:rFonts w:ascii="Times New Roman" w:hAnsi="Times New Roman"/>
          <w:color w:val="000000"/>
          <w:sz w:val="20"/>
        </w:rPr>
        <w:t xml:space="preserve">(2003) </w:t>
      </w:r>
      <w:r w:rsidRPr="00C2088B">
        <w:rPr>
          <w:rStyle w:val="documentbody1"/>
          <w:rFonts w:ascii="Times New Roman" w:hAnsi="Times New Roman"/>
          <w:color w:val="000000"/>
          <w:sz w:val="20"/>
        </w:rPr>
        <w:t>(</w:t>
      </w:r>
      <w:r w:rsidRPr="00C2088B">
        <w:rPr>
          <w:rStyle w:val="documentbody1"/>
          <w:rFonts w:ascii="Times New Roman" w:hAnsi="Times New Roman"/>
          <w:i/>
          <w:color w:val="000000"/>
          <w:sz w:val="20"/>
        </w:rPr>
        <w:t>Ysleta Order</w:t>
      </w:r>
      <w:r w:rsidRPr="00C2088B">
        <w:rPr>
          <w:rStyle w:val="documentbody1"/>
          <w:rFonts w:ascii="Times New Roman" w:hAnsi="Times New Roman"/>
          <w:color w:val="000000"/>
          <w:sz w:val="20"/>
        </w:rPr>
        <w:t xml:space="preserve">). </w:t>
      </w:r>
      <w:r w:rsidRPr="00C2088B" w:rsidDel="00D42779">
        <w:rPr>
          <w:highlight w:val="yellow"/>
        </w:rPr>
        <w:t xml:space="preserve"> </w:t>
      </w:r>
    </w:p>
  </w:footnote>
  <w:footnote w:id="266">
    <w:p w14:paraId="485E6295" w14:textId="77777777" w:rsidR="00434A8B" w:rsidRPr="00C2088B" w:rsidRDefault="00434A8B" w:rsidP="005D26F1">
      <w:pPr>
        <w:pStyle w:val="FootnoteText"/>
      </w:pPr>
      <w:r w:rsidRPr="00C2088B">
        <w:rPr>
          <w:rStyle w:val="FootnoteReference"/>
          <w:sz w:val="20"/>
        </w:rPr>
        <w:footnoteRef/>
      </w:r>
      <w:r w:rsidRPr="00C2088B">
        <w:t xml:space="preserve"> </w:t>
      </w:r>
      <w:r w:rsidRPr="00C2088B">
        <w:rPr>
          <w:i/>
        </w:rPr>
        <w:t>See</w:t>
      </w:r>
      <w:r w:rsidRPr="00C2088B">
        <w:t xml:space="preserve"> 47 C.F.R. § 54.503(a).</w:t>
      </w:r>
    </w:p>
  </w:footnote>
  <w:footnote w:id="267">
    <w:p w14:paraId="67F8BB61" w14:textId="77777777" w:rsidR="00434A8B" w:rsidRPr="00C2088B" w:rsidRDefault="00434A8B">
      <w:pPr>
        <w:pStyle w:val="FootnoteText"/>
      </w:pPr>
      <w:r w:rsidRPr="00C2088B">
        <w:rPr>
          <w:rStyle w:val="FootnoteReference"/>
          <w:sz w:val="20"/>
        </w:rPr>
        <w:footnoteRef/>
      </w:r>
      <w:r w:rsidRPr="00C2088B">
        <w:t xml:space="preserve"> </w:t>
      </w:r>
      <w:r w:rsidRPr="00C2088B">
        <w:rPr>
          <w:i/>
        </w:rPr>
        <w:t>See</w:t>
      </w:r>
      <w:r w:rsidRPr="00C2088B">
        <w:t xml:space="preserve"> 47 C.F.R. § 54.503(b).</w:t>
      </w:r>
    </w:p>
  </w:footnote>
  <w:footnote w:id="268">
    <w:p w14:paraId="0EB742F7" w14:textId="111859EE" w:rsidR="00434A8B" w:rsidRPr="00C2088B" w:rsidRDefault="00434A8B">
      <w:pPr>
        <w:pStyle w:val="FootnoteText"/>
      </w:pPr>
      <w:r w:rsidRPr="00C2088B">
        <w:rPr>
          <w:rStyle w:val="FootnoteReference"/>
          <w:sz w:val="20"/>
        </w:rPr>
        <w:footnoteRef/>
      </w:r>
      <w:r w:rsidRPr="00C2088B">
        <w:t xml:space="preserve"> </w:t>
      </w:r>
      <w:r w:rsidRPr="00C2088B">
        <w:rPr>
          <w:i/>
        </w:rPr>
        <w:t>See</w:t>
      </w:r>
      <w:r w:rsidRPr="00C2088B">
        <w:t xml:space="preserve"> </w:t>
      </w:r>
      <w:r>
        <w:t>4</w:t>
      </w:r>
      <w:r w:rsidRPr="00C2088B">
        <w:t>7 C.F.R. § 54.504.</w:t>
      </w:r>
    </w:p>
  </w:footnote>
  <w:footnote w:id="269">
    <w:p w14:paraId="2FA327F3" w14:textId="77777777" w:rsidR="00434A8B" w:rsidRPr="00C2088B" w:rsidRDefault="00434A8B" w:rsidP="00976809">
      <w:pPr>
        <w:pStyle w:val="FootnoteText"/>
      </w:pPr>
      <w:r w:rsidRPr="00C2088B">
        <w:rPr>
          <w:rStyle w:val="FootnoteReference"/>
          <w:sz w:val="20"/>
        </w:rPr>
        <w:footnoteRef/>
      </w:r>
      <w:r w:rsidRPr="00C2088B">
        <w:t xml:space="preserve"> 47 C.F.R. §§ 54.500(f); 54.511(b).</w:t>
      </w:r>
    </w:p>
  </w:footnote>
  <w:footnote w:id="270">
    <w:p w14:paraId="76B283C1" w14:textId="5F9EE1B5" w:rsidR="00434A8B" w:rsidRPr="00C2088B" w:rsidRDefault="00434A8B" w:rsidP="005D347D">
      <w:pPr>
        <w:pStyle w:val="FootnoteText"/>
      </w:pPr>
      <w:r w:rsidRPr="00C2088B">
        <w:rPr>
          <w:rStyle w:val="FootnoteReference"/>
          <w:sz w:val="20"/>
        </w:rPr>
        <w:footnoteRef/>
      </w:r>
      <w:r w:rsidRPr="00C2088B">
        <w:t xml:space="preserve"> </w:t>
      </w:r>
      <w:r w:rsidRPr="00C2088B">
        <w:rPr>
          <w:i/>
        </w:rPr>
        <w:t>See</w:t>
      </w:r>
      <w:r w:rsidRPr="00C2088B">
        <w:t xml:space="preserve"> USTelecom/CTIA Petition at 1.  The </w:t>
      </w:r>
      <w:r>
        <w:t>“</w:t>
      </w:r>
      <w:r w:rsidRPr="00C2088B">
        <w:t>lowest corresponding price</w:t>
      </w:r>
      <w:r>
        <w:t>”</w:t>
      </w:r>
      <w:r w:rsidRPr="00C2088B">
        <w:t xml:space="preserve"> is defined as </w:t>
      </w:r>
      <w:r>
        <w:t>“</w:t>
      </w:r>
      <w:r w:rsidRPr="00C2088B">
        <w:t>the lowest price that a service provider charges to non-residential customers who are similarly situated to a particular school, library, or library consortium for similar services.</w:t>
      </w:r>
      <w:r>
        <w:t>”</w:t>
      </w:r>
      <w:r w:rsidRPr="00C2088B">
        <w:t xml:space="preserve"> 47 C.F.R. § 54.500(f).</w:t>
      </w:r>
    </w:p>
  </w:footnote>
  <w:footnote w:id="271">
    <w:p w14:paraId="39756B0A" w14:textId="3FBEFDC2" w:rsidR="00434A8B" w:rsidRPr="00C2088B" w:rsidRDefault="00434A8B" w:rsidP="005D347D">
      <w:pPr>
        <w:pStyle w:val="FootnoteText"/>
      </w:pPr>
      <w:r w:rsidRPr="00C2088B">
        <w:rPr>
          <w:rStyle w:val="FootnoteReference"/>
          <w:sz w:val="20"/>
        </w:rPr>
        <w:footnoteRef/>
      </w:r>
      <w:r w:rsidRPr="00C2088B">
        <w:t xml:space="preserve"> </w:t>
      </w:r>
      <w:r w:rsidRPr="00C2088B">
        <w:rPr>
          <w:i/>
        </w:rPr>
        <w:t xml:space="preserve">See </w:t>
      </w:r>
      <w:r w:rsidRPr="00C2088B">
        <w:t>USTelecom/CTIA Petition at 1.</w:t>
      </w:r>
      <w:r w:rsidRPr="00C2088B">
        <w:rPr>
          <w:i/>
        </w:rPr>
        <w:t xml:space="preserve"> See also </w:t>
      </w:r>
      <w:r w:rsidRPr="00C2088B">
        <w:t xml:space="preserve">47 C.F.R. § 54.511(b). </w:t>
      </w:r>
    </w:p>
  </w:footnote>
  <w:footnote w:id="272">
    <w:p w14:paraId="68983612" w14:textId="41C88B9C" w:rsidR="00434A8B" w:rsidRPr="00C2088B" w:rsidRDefault="00434A8B" w:rsidP="005D347D">
      <w:pPr>
        <w:pStyle w:val="FootnoteText"/>
      </w:pPr>
      <w:r w:rsidRPr="00C2088B">
        <w:rPr>
          <w:rStyle w:val="FootnoteReference"/>
          <w:sz w:val="20"/>
        </w:rPr>
        <w:footnoteRef/>
      </w:r>
      <w:r w:rsidRPr="00C2088B">
        <w:t xml:space="preserve"> </w:t>
      </w:r>
      <w:r w:rsidRPr="00C2088B">
        <w:rPr>
          <w:i/>
        </w:rPr>
        <w:t xml:space="preserve">See </w:t>
      </w:r>
      <w:r w:rsidRPr="004118B5">
        <w:rPr>
          <w:i/>
        </w:rPr>
        <w:t>USTelecom/CTIA Petition Public Notice</w:t>
      </w:r>
      <w:r w:rsidRPr="00C2088B">
        <w:t>.</w:t>
      </w:r>
    </w:p>
  </w:footnote>
  <w:footnote w:id="273">
    <w:p w14:paraId="01964162" w14:textId="2CA2685D" w:rsidR="00434A8B" w:rsidRPr="00C2088B" w:rsidRDefault="00434A8B" w:rsidP="00513328">
      <w:pPr>
        <w:pStyle w:val="FootnoteText"/>
      </w:pPr>
      <w:r w:rsidRPr="00C2088B">
        <w:rPr>
          <w:rStyle w:val="FootnoteReference"/>
          <w:sz w:val="20"/>
        </w:rPr>
        <w:footnoteRef/>
      </w:r>
      <w:r w:rsidRPr="00C2088B">
        <w:t xml:space="preserve"> </w:t>
      </w:r>
      <w:r w:rsidRPr="00C2088B">
        <w:rPr>
          <w:i/>
        </w:rPr>
        <w:t>See Ysleta Order</w:t>
      </w:r>
      <w:r w:rsidRPr="00C2088B">
        <w:t>, 18 FCC Rcd at 26429, para. 50.</w:t>
      </w:r>
    </w:p>
  </w:footnote>
  <w:footnote w:id="274">
    <w:p w14:paraId="7C57022C" w14:textId="269B7B94" w:rsidR="00434A8B" w:rsidRPr="00C2088B" w:rsidRDefault="00434A8B" w:rsidP="00513328">
      <w:pPr>
        <w:pStyle w:val="FootnoteText"/>
      </w:pPr>
      <w:r w:rsidRPr="00C2088B">
        <w:rPr>
          <w:rStyle w:val="FootnoteReference"/>
          <w:sz w:val="20"/>
        </w:rPr>
        <w:footnoteRef/>
      </w:r>
      <w:r w:rsidRPr="00C2088B">
        <w:t xml:space="preserve"> </w:t>
      </w:r>
      <w:r w:rsidRPr="00C2088B">
        <w:rPr>
          <w:i/>
        </w:rPr>
        <w:t>See</w:t>
      </w:r>
      <w:r w:rsidRPr="00C2088B">
        <w:t xml:space="preserve"> </w:t>
      </w:r>
      <w:r w:rsidRPr="00C2088B">
        <w:rPr>
          <w:i/>
        </w:rPr>
        <w:t xml:space="preserve">Schools and Libraries </w:t>
      </w:r>
      <w:r w:rsidRPr="004F322C">
        <w:rPr>
          <w:i/>
        </w:rPr>
        <w:t>Third Report and Order</w:t>
      </w:r>
      <w:r w:rsidRPr="00C2088B">
        <w:t xml:space="preserve">, 18 FCC Rcd at 26947, para. 87.  The majority of commenters stated that implementation of a standard to evaluate cost-effective decisions would be administratively difficult.  </w:t>
      </w:r>
      <w:r w:rsidRPr="00C2088B">
        <w:rPr>
          <w:i/>
        </w:rPr>
        <w:t xml:space="preserve">See, e.g., </w:t>
      </w:r>
      <w:r w:rsidRPr="00C2088B">
        <w:t xml:space="preserve">Verizon </w:t>
      </w:r>
      <w:r w:rsidRPr="00C2088B">
        <w:rPr>
          <w:i/>
        </w:rPr>
        <w:t>Schools and Libraries Third Report and Order</w:t>
      </w:r>
      <w:r w:rsidRPr="00C2088B">
        <w:t xml:space="preserve">Comments, CC Docket No. 02-6, at 13-15 (filed Mar. 11, 2004); Council of Great City Schools </w:t>
      </w:r>
      <w:r w:rsidRPr="00C2088B">
        <w:rPr>
          <w:i/>
        </w:rPr>
        <w:t xml:space="preserve">Schools and Libraries Third Report and Order </w:t>
      </w:r>
      <w:r w:rsidRPr="00C2088B">
        <w:t xml:space="preserve">Comments, CC Docket No. 02-6, at 4-5 (filed Mar. 11, 2004); General Communication, Inc.  </w:t>
      </w:r>
      <w:r w:rsidRPr="00C2088B">
        <w:rPr>
          <w:i/>
        </w:rPr>
        <w:t xml:space="preserve">Schools and Libraries Third Report and Order </w:t>
      </w:r>
      <w:r w:rsidRPr="00C2088B">
        <w:t xml:space="preserve">Comments, CC Docket No. 02-6, at 7-8 (filed Mar. 11, 2004); Education and Libraries Networks Coalition </w:t>
      </w:r>
      <w:r w:rsidRPr="00C2088B">
        <w:rPr>
          <w:i/>
        </w:rPr>
        <w:t xml:space="preserve">Schools and Libraries Third Report and Order </w:t>
      </w:r>
      <w:r w:rsidRPr="00C2088B">
        <w:t xml:space="preserve">Comments, CC Docket No. 02-06, at 3-4 (Mar. 11, 2004); American Library Association </w:t>
      </w:r>
      <w:r w:rsidRPr="00C2088B">
        <w:rPr>
          <w:i/>
        </w:rPr>
        <w:t>Schools and Libraries Third Report and Order</w:t>
      </w:r>
      <w:r w:rsidRPr="004F322C">
        <w:t xml:space="preserve"> </w:t>
      </w:r>
      <w:r w:rsidRPr="00C2088B">
        <w:t xml:space="preserve">Comments, CC Docket No. 02-6, at 18-19 (Mar. 11, 2004); Central Susquehanna Intermediate Unit </w:t>
      </w:r>
      <w:r w:rsidRPr="00C2088B">
        <w:rPr>
          <w:i/>
        </w:rPr>
        <w:t xml:space="preserve">Schools and Libraries Third Report and Order </w:t>
      </w:r>
      <w:r w:rsidRPr="00C2088B">
        <w:t xml:space="preserve">Comments, CC Docket No. 02-6, at 2-3 (Mar. 10, 2004); Alaska Dept. of Educ. &amp; Alaska State Library </w:t>
      </w:r>
      <w:r w:rsidRPr="00C2088B">
        <w:rPr>
          <w:i/>
        </w:rPr>
        <w:t xml:space="preserve">Schools and Libraries Third Report and Order </w:t>
      </w:r>
      <w:r w:rsidRPr="00C2088B">
        <w:t xml:space="preserve">Comments, CC Docket No. 02-6, at 9 (filed Mar. 10, 2004).  </w:t>
      </w:r>
    </w:p>
  </w:footnote>
  <w:footnote w:id="275">
    <w:p w14:paraId="30FB4D52" w14:textId="04B6B8EE" w:rsidR="00434A8B" w:rsidRPr="00C2088B" w:rsidRDefault="00434A8B" w:rsidP="00513328">
      <w:pPr>
        <w:pStyle w:val="FootnoteText"/>
      </w:pPr>
      <w:r w:rsidRPr="00C2088B">
        <w:rPr>
          <w:rStyle w:val="FootnoteReference"/>
          <w:sz w:val="20"/>
        </w:rPr>
        <w:footnoteRef/>
      </w:r>
      <w:r w:rsidRPr="00C2088B">
        <w:t xml:space="preserve"> </w:t>
      </w:r>
      <w:r w:rsidRPr="00C2088B">
        <w:rPr>
          <w:i/>
        </w:rPr>
        <w:t>Schools and Libraries Third Report and Order</w:t>
      </w:r>
      <w:r w:rsidRPr="00C2088B">
        <w:t xml:space="preserve">, 18 FCC Rcd </w:t>
      </w:r>
      <w:r w:rsidRPr="00C2088B">
        <w:rPr>
          <w:iCs/>
        </w:rPr>
        <w:t xml:space="preserve">at </w:t>
      </w:r>
      <w:r w:rsidRPr="00C2088B">
        <w:t>26919, para. 17.  The Commission determined that recipients of support are expected to use all equipment purchased with universal service discounts at the particular location, for the specified purpose, for a reasonable period of time.</w:t>
      </w:r>
    </w:p>
  </w:footnote>
  <w:footnote w:id="276">
    <w:p w14:paraId="33D2010E" w14:textId="2802292A" w:rsidR="00434A8B" w:rsidRPr="00C2088B" w:rsidRDefault="00434A8B" w:rsidP="00513328">
      <w:pPr>
        <w:pStyle w:val="FootnoteText"/>
      </w:pPr>
      <w:r w:rsidRPr="00C2088B">
        <w:rPr>
          <w:rStyle w:val="FootnoteReference"/>
          <w:sz w:val="20"/>
        </w:rPr>
        <w:footnoteRef/>
      </w:r>
      <w:r w:rsidRPr="00C2088B">
        <w:t xml:space="preserve"> </w:t>
      </w:r>
      <w:r w:rsidRPr="00C2088B">
        <w:rPr>
          <w:i/>
        </w:rPr>
        <w:t>See supra</w:t>
      </w:r>
      <w:r w:rsidRPr="00C2088B">
        <w:t xml:space="preserve"> para. </w:t>
      </w:r>
      <w:r w:rsidRPr="00C2088B">
        <w:rPr>
          <w:highlight w:val="yellow"/>
        </w:rPr>
        <w:fldChar w:fldCharType="begin"/>
      </w:r>
      <w:r w:rsidRPr="00C2088B">
        <w:instrText xml:space="preserve"> REF _Ref360205965 \r \h </w:instrText>
      </w:r>
      <w:r w:rsidRPr="00C2088B">
        <w:rPr>
          <w:highlight w:val="yellow"/>
        </w:rPr>
        <w:instrText xml:space="preserve"> \* MERGEFORMAT </w:instrText>
      </w:r>
      <w:r w:rsidRPr="00C2088B">
        <w:rPr>
          <w:highlight w:val="yellow"/>
        </w:rPr>
      </w:r>
      <w:r w:rsidRPr="00C2088B">
        <w:rPr>
          <w:highlight w:val="yellow"/>
        </w:rPr>
        <w:fldChar w:fldCharType="separate"/>
      </w:r>
      <w:r w:rsidR="00A0395D">
        <w:t>119</w:t>
      </w:r>
      <w:r w:rsidRPr="00C2088B">
        <w:rPr>
          <w:highlight w:val="yellow"/>
        </w:rPr>
        <w:fldChar w:fldCharType="end"/>
      </w:r>
      <w:r w:rsidRPr="00C2088B">
        <w:t>.</w:t>
      </w:r>
    </w:p>
  </w:footnote>
  <w:footnote w:id="277">
    <w:p w14:paraId="1A7F4DC1" w14:textId="75F1F33E" w:rsidR="00434A8B" w:rsidRPr="00C2088B" w:rsidRDefault="00434A8B" w:rsidP="00513328">
      <w:pPr>
        <w:pStyle w:val="FootnoteText"/>
      </w:pPr>
      <w:r w:rsidRPr="00C2088B">
        <w:rPr>
          <w:rStyle w:val="FootnoteReference"/>
          <w:sz w:val="20"/>
        </w:rPr>
        <w:footnoteRef/>
      </w:r>
      <w:r w:rsidRPr="00C2088B">
        <w:t xml:space="preserve"> </w:t>
      </w:r>
      <w:r w:rsidRPr="00C2088B">
        <w:rPr>
          <w:i/>
        </w:rPr>
        <w:t>See supra</w:t>
      </w:r>
      <w:r w:rsidRPr="00C2088B">
        <w:t xml:space="preserve"> para. </w:t>
      </w:r>
      <w:r w:rsidRPr="00C2088B">
        <w:fldChar w:fldCharType="begin"/>
      </w:r>
      <w:r w:rsidRPr="00C2088B">
        <w:instrText xml:space="preserve"> REF _Ref360206367 \r \h  \* MERGEFORMAT </w:instrText>
      </w:r>
      <w:r w:rsidRPr="00C2088B">
        <w:fldChar w:fldCharType="separate"/>
      </w:r>
      <w:r w:rsidR="00A0395D">
        <w:t>147</w:t>
      </w:r>
      <w:r w:rsidRPr="00C2088B">
        <w:fldChar w:fldCharType="end"/>
      </w:r>
      <w:r w:rsidRPr="00C2088B">
        <w:t>.</w:t>
      </w:r>
    </w:p>
  </w:footnote>
  <w:footnote w:id="278">
    <w:p w14:paraId="53CFA52F" w14:textId="77777777" w:rsidR="00434A8B" w:rsidRPr="00C2088B" w:rsidRDefault="00434A8B" w:rsidP="00A22B72">
      <w:pPr>
        <w:pStyle w:val="FootnoteText"/>
      </w:pPr>
      <w:r w:rsidRPr="00C2088B">
        <w:rPr>
          <w:rStyle w:val="FootnoteReference"/>
          <w:sz w:val="20"/>
        </w:rPr>
        <w:footnoteRef/>
      </w:r>
      <w:r w:rsidRPr="00C2088B">
        <w:t xml:space="preserve"> </w:t>
      </w:r>
      <w:r w:rsidRPr="00C2088B">
        <w:rPr>
          <w:i/>
        </w:rPr>
        <w:t>See Schools and Libraries Sixth Report and Order</w:t>
      </w:r>
      <w:r w:rsidRPr="00C2088B">
        <w:t>, 25 FCC Rcd at 18789-91, paras. 58-63.</w:t>
      </w:r>
    </w:p>
  </w:footnote>
  <w:footnote w:id="279">
    <w:p w14:paraId="20D6AC86" w14:textId="06BE3FE7" w:rsidR="00434A8B" w:rsidRPr="00C2088B" w:rsidRDefault="00434A8B" w:rsidP="00774CF9">
      <w:pPr>
        <w:pStyle w:val="FootnoteText"/>
      </w:pPr>
      <w:r w:rsidRPr="00C2088B">
        <w:rPr>
          <w:rStyle w:val="FootnoteReference"/>
          <w:sz w:val="20"/>
        </w:rPr>
        <w:footnoteRef/>
      </w:r>
      <w:r w:rsidRPr="00C2088B">
        <w:t xml:space="preserve"> </w:t>
      </w:r>
      <w:r w:rsidRPr="00C2088B">
        <w:rPr>
          <w:i/>
        </w:rPr>
        <w:t>See</w:t>
      </w:r>
      <w:r w:rsidRPr="00C2088B">
        <w:t xml:space="preserve"> USAC, Schools and Libraries, Forms, </w:t>
      </w:r>
      <w:r w:rsidRPr="00C2088B">
        <w:rPr>
          <w:i/>
        </w:rPr>
        <w:t xml:space="preserve">available at </w:t>
      </w:r>
      <w:hyperlink r:id="rId64" w:history="1">
        <w:r w:rsidRPr="00C2088B">
          <w:rPr>
            <w:rStyle w:val="Hyperlink"/>
          </w:rPr>
          <w:t>http://www.usac.org/sl/tools/forms/default.aspx</w:t>
        </w:r>
      </w:hyperlink>
      <w:r w:rsidRPr="00C2088B">
        <w:t xml:space="preserve"> (last visited July 15, 2013). </w:t>
      </w:r>
    </w:p>
  </w:footnote>
  <w:footnote w:id="280">
    <w:p w14:paraId="66A54820" w14:textId="4A9418C0" w:rsidR="00434A8B" w:rsidRPr="00C2088B" w:rsidRDefault="00434A8B" w:rsidP="00774CF9">
      <w:pPr>
        <w:pStyle w:val="FootnoteText"/>
      </w:pPr>
      <w:r w:rsidRPr="00C2088B">
        <w:rPr>
          <w:rStyle w:val="FootnoteReference"/>
          <w:sz w:val="20"/>
        </w:rPr>
        <w:footnoteRef/>
      </w:r>
      <w:r w:rsidRPr="00C2088B">
        <w:t xml:space="preserve"> </w:t>
      </w:r>
      <w:r w:rsidRPr="00C2088B">
        <w:rPr>
          <w:i/>
        </w:rPr>
        <w:t>See</w:t>
      </w:r>
      <w:r w:rsidRPr="00C2088B">
        <w:t xml:space="preserve"> USAC, Schools and Libraries, Application Review, </w:t>
      </w:r>
      <w:r w:rsidRPr="00C2088B">
        <w:rPr>
          <w:i/>
        </w:rPr>
        <w:t xml:space="preserve">available at </w:t>
      </w:r>
      <w:hyperlink r:id="rId65" w:history="1">
        <w:r w:rsidRPr="00C2088B">
          <w:rPr>
            <w:rStyle w:val="Hyperlink"/>
          </w:rPr>
          <w:t>http://www.usac.org/sl/applicants/step05/default.aspx</w:t>
        </w:r>
      </w:hyperlink>
      <w:r w:rsidRPr="00C2088B">
        <w:t xml:space="preserve"> (last visited July 15, 2013).  </w:t>
      </w:r>
    </w:p>
  </w:footnote>
  <w:footnote w:id="281">
    <w:p w14:paraId="6DCCDD59" w14:textId="5E0D7A32" w:rsidR="00434A8B" w:rsidRPr="00C2088B" w:rsidRDefault="00434A8B" w:rsidP="00774CF9">
      <w:pPr>
        <w:pStyle w:val="FootnoteText"/>
      </w:pPr>
      <w:r w:rsidRPr="00C2088B">
        <w:rPr>
          <w:rStyle w:val="FootnoteReference"/>
          <w:sz w:val="20"/>
        </w:rPr>
        <w:footnoteRef/>
      </w:r>
      <w:r w:rsidRPr="00C2088B">
        <w:t xml:space="preserve"> </w:t>
      </w:r>
      <w:r w:rsidRPr="00C2088B">
        <w:rPr>
          <w:i/>
        </w:rPr>
        <w:t>See infra</w:t>
      </w:r>
      <w:r w:rsidRPr="00C2088B">
        <w:t xml:space="preserve"> n.</w:t>
      </w:r>
      <w:r w:rsidRPr="00C2088B">
        <w:fldChar w:fldCharType="begin"/>
      </w:r>
      <w:r w:rsidRPr="00C2088B">
        <w:instrText xml:space="preserve"> NOTEREF _Ref360206593 \h  \* MERGEFORMAT </w:instrText>
      </w:r>
      <w:r w:rsidRPr="00C2088B">
        <w:fldChar w:fldCharType="separate"/>
      </w:r>
      <w:r w:rsidR="00A0395D">
        <w:t>295</w:t>
      </w:r>
      <w:r w:rsidRPr="00C2088B">
        <w:fldChar w:fldCharType="end"/>
      </w:r>
      <w:r w:rsidRPr="00C2088B">
        <w:t xml:space="preserve"> for explanation of the PIA review process.</w:t>
      </w:r>
    </w:p>
  </w:footnote>
  <w:footnote w:id="282">
    <w:p w14:paraId="6754847C" w14:textId="4D83BF34" w:rsidR="00434A8B" w:rsidRPr="00C2088B" w:rsidRDefault="00434A8B" w:rsidP="00774CF9">
      <w:pPr>
        <w:pStyle w:val="FootnoteText"/>
      </w:pPr>
      <w:r w:rsidRPr="00C2088B">
        <w:rPr>
          <w:rStyle w:val="FootnoteReference"/>
          <w:sz w:val="20"/>
        </w:rPr>
        <w:footnoteRef/>
      </w:r>
      <w:r w:rsidRPr="00C2088B">
        <w:t xml:space="preserve"> </w:t>
      </w:r>
      <w:r w:rsidRPr="00C2088B">
        <w:rPr>
          <w:i/>
        </w:rPr>
        <w:t xml:space="preserve">See </w:t>
      </w:r>
      <w:r w:rsidRPr="00C2088B">
        <w:t xml:space="preserve">SECA </w:t>
      </w:r>
      <w:r w:rsidRPr="004F322C">
        <w:t>NPRM</w:t>
      </w:r>
      <w:r w:rsidRPr="00C2088B">
        <w:t xml:space="preserve"> Comments at 21. </w:t>
      </w:r>
    </w:p>
  </w:footnote>
  <w:footnote w:id="283">
    <w:p w14:paraId="306B6B47" w14:textId="4615C6ED" w:rsidR="00434A8B" w:rsidRPr="00C2088B" w:rsidRDefault="00434A8B" w:rsidP="00774CF9">
      <w:pPr>
        <w:pStyle w:val="FootnoteText"/>
      </w:pPr>
      <w:r w:rsidRPr="00C2088B">
        <w:rPr>
          <w:rStyle w:val="FootnoteReference"/>
          <w:sz w:val="20"/>
        </w:rPr>
        <w:footnoteRef/>
      </w:r>
      <w:r w:rsidRPr="00C2088B">
        <w:t xml:space="preserve"> </w:t>
      </w:r>
      <w:r w:rsidRPr="00C2088B">
        <w:rPr>
          <w:i/>
        </w:rPr>
        <w:t>See supra</w:t>
      </w:r>
      <w:r w:rsidRPr="00C2088B">
        <w:t xml:space="preserve"> para. </w:t>
      </w:r>
      <w:r w:rsidRPr="00C2088B">
        <w:fldChar w:fldCharType="begin"/>
      </w:r>
      <w:r w:rsidRPr="00C2088B">
        <w:instrText xml:space="preserve"> NOTEREF _Ref360206634 \h  \* MERGEFORMAT </w:instrText>
      </w:r>
      <w:r w:rsidRPr="00C2088B">
        <w:fldChar w:fldCharType="separate"/>
      </w:r>
      <w:r w:rsidR="00A0395D">
        <w:t>1</w:t>
      </w:r>
      <w:r w:rsidRPr="00C2088B">
        <w:fldChar w:fldCharType="end"/>
      </w:r>
      <w:r w:rsidRPr="00C2088B">
        <w:t>.</w:t>
      </w:r>
    </w:p>
  </w:footnote>
  <w:footnote w:id="284">
    <w:p w14:paraId="23FF61A7" w14:textId="28361E12" w:rsidR="00434A8B" w:rsidRPr="00C2088B" w:rsidRDefault="00434A8B" w:rsidP="00774CF9">
      <w:pPr>
        <w:spacing w:after="120"/>
        <w:rPr>
          <w:sz w:val="20"/>
        </w:rPr>
      </w:pPr>
      <w:r w:rsidRPr="00C2088B">
        <w:rPr>
          <w:rStyle w:val="FootnoteReference"/>
          <w:sz w:val="20"/>
        </w:rPr>
        <w:footnoteRef/>
      </w:r>
      <w:r w:rsidRPr="00C2088B">
        <w:rPr>
          <w:sz w:val="20"/>
        </w:rPr>
        <w:t xml:space="preserve"> </w:t>
      </w:r>
      <w:r w:rsidRPr="00C2088B">
        <w:rPr>
          <w:i/>
          <w:sz w:val="20"/>
        </w:rPr>
        <w:t>See</w:t>
      </w:r>
      <w:r w:rsidRPr="00C2088B">
        <w:rPr>
          <w:sz w:val="20"/>
        </w:rPr>
        <w:t xml:space="preserve"> </w:t>
      </w:r>
      <w:r w:rsidRPr="00C2088B">
        <w:rPr>
          <w:i/>
          <w:sz w:val="20"/>
        </w:rPr>
        <w:t>Wireline Competition Bureau Establishes the Effective Date for Electronic Disbursement of Universal Service Support Payments</w:t>
      </w:r>
      <w:r w:rsidRPr="00C2088B">
        <w:rPr>
          <w:sz w:val="20"/>
        </w:rPr>
        <w:t>, CC Docket No. 02-6, Public Notice, 25 FCC Rcd 7067 (Wireline Comp. Bur. 2010); 31 U.S.C. § 3332(f)(1).</w:t>
      </w:r>
    </w:p>
  </w:footnote>
  <w:footnote w:id="285">
    <w:p w14:paraId="17521BDD" w14:textId="263A62AA" w:rsidR="00434A8B" w:rsidRPr="00C2088B" w:rsidRDefault="00434A8B" w:rsidP="00774CF9">
      <w:pPr>
        <w:spacing w:after="120"/>
        <w:rPr>
          <w:sz w:val="20"/>
        </w:rPr>
      </w:pPr>
      <w:r w:rsidRPr="00C2088B">
        <w:rPr>
          <w:rStyle w:val="FootnoteReference"/>
          <w:sz w:val="20"/>
        </w:rPr>
        <w:footnoteRef/>
      </w:r>
      <w:r w:rsidRPr="00C2088B">
        <w:rPr>
          <w:sz w:val="20"/>
        </w:rPr>
        <w:t xml:space="preserve"> </w:t>
      </w:r>
      <w:r w:rsidRPr="00C2088B">
        <w:rPr>
          <w:i/>
          <w:sz w:val="20"/>
        </w:rPr>
        <w:t>See E-rate Broadband NPRM</w:t>
      </w:r>
      <w:r w:rsidRPr="00C2088B">
        <w:rPr>
          <w:sz w:val="20"/>
        </w:rPr>
        <w:t xml:space="preserve">, 25 FCC Rcd at 6887, para. 33; SECA </w:t>
      </w:r>
      <w:r w:rsidRPr="00C2088B">
        <w:rPr>
          <w:i/>
          <w:sz w:val="20"/>
        </w:rPr>
        <w:t>E-rate Broadband NPRM</w:t>
      </w:r>
      <w:r w:rsidRPr="00C2088B">
        <w:rPr>
          <w:sz w:val="20"/>
        </w:rPr>
        <w:t xml:space="preserve"> Comments at 21. </w:t>
      </w:r>
    </w:p>
  </w:footnote>
  <w:footnote w:id="286">
    <w:p w14:paraId="440398BE" w14:textId="41C1A782" w:rsidR="00434A8B" w:rsidRPr="00C2088B" w:rsidRDefault="00434A8B" w:rsidP="00774CF9">
      <w:pPr>
        <w:pStyle w:val="FootnoteText"/>
      </w:pPr>
      <w:r w:rsidRPr="00C2088B">
        <w:rPr>
          <w:rStyle w:val="FootnoteReference"/>
          <w:sz w:val="20"/>
        </w:rPr>
        <w:footnoteRef/>
      </w:r>
      <w:r w:rsidRPr="00C2088B">
        <w:t xml:space="preserve"> </w:t>
      </w:r>
      <w:r w:rsidRPr="00C2088B">
        <w:rPr>
          <w:i/>
        </w:rPr>
        <w:t xml:space="preserve">See </w:t>
      </w:r>
      <w:r w:rsidRPr="00C2088B">
        <w:t xml:space="preserve">SECA </w:t>
      </w:r>
      <w:r w:rsidRPr="00C2088B">
        <w:rPr>
          <w:i/>
        </w:rPr>
        <w:t>E-rate Broadband NPRM</w:t>
      </w:r>
      <w:r w:rsidRPr="00C2088B">
        <w:t xml:space="preserve"> Comments at 21. </w:t>
      </w:r>
    </w:p>
  </w:footnote>
  <w:footnote w:id="287">
    <w:p w14:paraId="59079859" w14:textId="77777777" w:rsidR="00434A8B" w:rsidRPr="00C2088B" w:rsidRDefault="00434A8B" w:rsidP="00774CF9">
      <w:pPr>
        <w:pStyle w:val="FootnoteText"/>
      </w:pPr>
      <w:r w:rsidRPr="00C2088B">
        <w:rPr>
          <w:rStyle w:val="FootnoteReference"/>
          <w:sz w:val="20"/>
        </w:rPr>
        <w:footnoteRef/>
      </w:r>
      <w:r w:rsidRPr="00C2088B">
        <w:t xml:space="preserve"> </w:t>
      </w:r>
      <w:r w:rsidRPr="00C2088B">
        <w:rPr>
          <w:i/>
        </w:rPr>
        <w:t>Id.</w:t>
      </w:r>
    </w:p>
  </w:footnote>
  <w:footnote w:id="288">
    <w:p w14:paraId="09C1A980" w14:textId="3D43FF04" w:rsidR="00434A8B" w:rsidRPr="00C2088B" w:rsidRDefault="00434A8B" w:rsidP="001109B4">
      <w:pPr>
        <w:pStyle w:val="FootnoteText"/>
      </w:pPr>
      <w:r w:rsidRPr="00C2088B">
        <w:rPr>
          <w:rStyle w:val="FootnoteReference"/>
          <w:sz w:val="20"/>
        </w:rPr>
        <w:footnoteRef/>
      </w:r>
      <w:r w:rsidRPr="00C2088B">
        <w:t xml:space="preserve"> SECA June 2013 White Paper at 17-19; SECA </w:t>
      </w:r>
      <w:r w:rsidRPr="00C2088B">
        <w:rPr>
          <w:i/>
        </w:rPr>
        <w:t>E-rate Broadband NPRM</w:t>
      </w:r>
      <w:r w:rsidRPr="00C2088B">
        <w:t xml:space="preserve"> Comments at 20-21.</w:t>
      </w:r>
    </w:p>
  </w:footnote>
  <w:footnote w:id="289">
    <w:p w14:paraId="659048B2" w14:textId="749B1FA8" w:rsidR="00434A8B" w:rsidRPr="00C2088B" w:rsidRDefault="00434A8B" w:rsidP="001109B4">
      <w:pPr>
        <w:pStyle w:val="FootnoteText"/>
      </w:pPr>
      <w:r w:rsidRPr="00C2088B">
        <w:rPr>
          <w:rStyle w:val="FootnoteReference"/>
          <w:sz w:val="20"/>
        </w:rPr>
        <w:footnoteRef/>
      </w:r>
      <w:r w:rsidRPr="00C2088B">
        <w:t xml:space="preserve"> SECA </w:t>
      </w:r>
      <w:r w:rsidRPr="00C2088B">
        <w:rPr>
          <w:i/>
        </w:rPr>
        <w:t>E-rate Broadband NPRM</w:t>
      </w:r>
      <w:r w:rsidRPr="00C2088B">
        <w:t xml:space="preserve"> Comments at 20-21.</w:t>
      </w:r>
    </w:p>
  </w:footnote>
  <w:footnote w:id="290">
    <w:p w14:paraId="6B41D384" w14:textId="32D57CEE" w:rsidR="00434A8B" w:rsidRPr="00C2088B" w:rsidRDefault="00434A8B" w:rsidP="001109B4">
      <w:pPr>
        <w:pStyle w:val="FootnoteText"/>
      </w:pPr>
      <w:r w:rsidRPr="00C2088B">
        <w:rPr>
          <w:rStyle w:val="FootnoteReference"/>
          <w:sz w:val="20"/>
        </w:rPr>
        <w:footnoteRef/>
      </w:r>
      <w:r w:rsidRPr="00C2088B">
        <w:t xml:space="preserve"> SECA June 2013 White Paper at 18.</w:t>
      </w:r>
    </w:p>
  </w:footnote>
  <w:footnote w:id="291">
    <w:p w14:paraId="14655891" w14:textId="0002CBA0" w:rsidR="00434A8B" w:rsidRPr="00C2088B" w:rsidRDefault="00434A8B" w:rsidP="001109B4">
      <w:pPr>
        <w:pStyle w:val="FootnoteText"/>
      </w:pPr>
      <w:r w:rsidRPr="00C2088B">
        <w:rPr>
          <w:rStyle w:val="FootnoteReference"/>
          <w:sz w:val="20"/>
        </w:rPr>
        <w:footnoteRef/>
      </w:r>
      <w:r w:rsidRPr="00C2088B">
        <w:t xml:space="preserve"> </w:t>
      </w:r>
      <w:r w:rsidRPr="00C2088B">
        <w:rPr>
          <w:i/>
        </w:rPr>
        <w:t xml:space="preserve">See </w:t>
      </w:r>
      <w:r w:rsidRPr="00C2088B">
        <w:t xml:space="preserve">Universal Service Administrative Company Seeks Comment on Goals and Features to be Considered for the Potential Information Technology Modernization of the Systems Supporting the Administration of the Schools and Libraries Program of the Federal Universal Service Fund, dated Feb. 19, 2013 (comments and reply comments were due on March, 22, 2013 and April 12, 2013, respectively), </w:t>
      </w:r>
      <w:r w:rsidRPr="004F322C">
        <w:rPr>
          <w:i/>
        </w:rPr>
        <w:t>available at</w:t>
      </w:r>
      <w:r w:rsidRPr="00C2088B">
        <w:t xml:space="preserve"> </w:t>
      </w:r>
      <w:hyperlink r:id="rId66" w:history="1">
        <w:r w:rsidRPr="00C2088B">
          <w:rPr>
            <w:rStyle w:val="Hyperlink"/>
          </w:rPr>
          <w:t>http://www.usac.org/_res/documents/sl/pdf/SLITM/RFC-Full-Notice.pdf</w:t>
        </w:r>
      </w:hyperlink>
      <w:r w:rsidRPr="00C2088B">
        <w:t xml:space="preserve"> (last visited July 15, 2013).  </w:t>
      </w:r>
    </w:p>
  </w:footnote>
  <w:footnote w:id="292">
    <w:p w14:paraId="26561E6A" w14:textId="60DC1F6C" w:rsidR="00434A8B" w:rsidRPr="00C2088B" w:rsidRDefault="00434A8B" w:rsidP="001109B4">
      <w:pPr>
        <w:pStyle w:val="FootnoteText"/>
      </w:pPr>
      <w:r w:rsidRPr="00C2088B">
        <w:rPr>
          <w:rStyle w:val="FootnoteReference"/>
          <w:sz w:val="20"/>
        </w:rPr>
        <w:footnoteRef/>
      </w:r>
      <w:r w:rsidRPr="00C2088B">
        <w:t xml:space="preserve"> </w:t>
      </w:r>
      <w:r w:rsidRPr="00C2088B">
        <w:rPr>
          <w:i/>
        </w:rPr>
        <w:t xml:space="preserve">See </w:t>
      </w:r>
      <w:r w:rsidRPr="00C2088B">
        <w:t>Universal Service Administrative Company, 2012 Annual Report at 20</w:t>
      </w:r>
      <w:r w:rsidRPr="004F322C">
        <w:rPr>
          <w:i/>
        </w:rPr>
        <w:t>, available at </w:t>
      </w:r>
      <w:hyperlink r:id="rId67" w:history="1">
        <w:r w:rsidRPr="00C2088B">
          <w:rPr>
            <w:rStyle w:val="Hyperlink"/>
          </w:rPr>
          <w:t>http://www.usac.org/_res/documents/about/pdf/annual-reports/usac-annual-report-2012.pdf</w:t>
        </w:r>
      </w:hyperlink>
      <w:r w:rsidRPr="00C2088B">
        <w:t xml:space="preserve"> (last visited July 15, 2013) (</w:t>
      </w:r>
      <w:r w:rsidRPr="00C2088B">
        <w:rPr>
          <w:iCs/>
        </w:rPr>
        <w:t>2012 </w:t>
      </w:r>
      <w:bookmarkStart w:id="2070" w:name="SR;59248"/>
      <w:bookmarkEnd w:id="2070"/>
      <w:r w:rsidRPr="00C2088B">
        <w:rPr>
          <w:bCs/>
          <w:iCs/>
        </w:rPr>
        <w:t>USAC</w:t>
      </w:r>
      <w:r w:rsidRPr="00C2088B">
        <w:rPr>
          <w:iCs/>
        </w:rPr>
        <w:t> </w:t>
      </w:r>
      <w:bookmarkStart w:id="2071" w:name="SR;59249"/>
      <w:bookmarkEnd w:id="2071"/>
      <w:r w:rsidRPr="00C2088B">
        <w:rPr>
          <w:bCs/>
          <w:iCs/>
        </w:rPr>
        <w:t>Annual</w:t>
      </w:r>
      <w:r w:rsidRPr="00C2088B">
        <w:rPr>
          <w:iCs/>
        </w:rPr>
        <w:t> </w:t>
      </w:r>
      <w:bookmarkStart w:id="2072" w:name="SR;59250"/>
      <w:bookmarkEnd w:id="2072"/>
      <w:r w:rsidRPr="00C2088B">
        <w:rPr>
          <w:bCs/>
          <w:iCs/>
        </w:rPr>
        <w:t>Report</w:t>
      </w:r>
      <w:r w:rsidRPr="00C2088B">
        <w:t>).</w:t>
      </w:r>
    </w:p>
  </w:footnote>
  <w:footnote w:id="293">
    <w:p w14:paraId="49CB43A1" w14:textId="01229464" w:rsidR="00434A8B" w:rsidRPr="00C2088B" w:rsidRDefault="00434A8B" w:rsidP="00774CF9">
      <w:pPr>
        <w:pStyle w:val="FootnoteText"/>
      </w:pPr>
      <w:r w:rsidRPr="00C2088B">
        <w:rPr>
          <w:rStyle w:val="FootnoteReference"/>
          <w:sz w:val="20"/>
        </w:rPr>
        <w:footnoteRef/>
      </w:r>
      <w:r w:rsidRPr="00C2088B">
        <w:t xml:space="preserve"> </w:t>
      </w:r>
      <w:r w:rsidRPr="00C2088B">
        <w:rPr>
          <w:i/>
        </w:rPr>
        <w:t>See</w:t>
      </w:r>
      <w:r w:rsidRPr="00C2088B">
        <w:t xml:space="preserve"> Letter from the State E-rate Coordinators Alliance, to Gina Spade, Wireline Competition Bureau, Federal Communications Commission, CC Docket No. 02-6, GN Docket No. 09-51, at 1-2, 4-5 (filed Aug. 1, 2011) (concerning black holes and COMADs) (SECA August 2011 White Paper).</w:t>
      </w:r>
    </w:p>
  </w:footnote>
  <w:footnote w:id="294">
    <w:p w14:paraId="15EE5AB2" w14:textId="050EBA4E" w:rsidR="00434A8B" w:rsidRPr="00C2088B" w:rsidRDefault="00434A8B" w:rsidP="00774CF9">
      <w:pPr>
        <w:pStyle w:val="FootnoteText"/>
      </w:pPr>
      <w:r w:rsidRPr="00C2088B">
        <w:rPr>
          <w:rStyle w:val="FootnoteReference"/>
          <w:sz w:val="20"/>
        </w:rPr>
        <w:footnoteRef/>
      </w:r>
      <w:r w:rsidRPr="00C2088B">
        <w:t xml:space="preserve"> </w:t>
      </w:r>
      <w:r w:rsidRPr="00C2088B">
        <w:rPr>
          <w:i/>
        </w:rPr>
        <w:t>Id.</w:t>
      </w:r>
      <w:r w:rsidRPr="00C2088B">
        <w:t xml:space="preserve"> at 4-5; </w:t>
      </w:r>
      <w:r w:rsidRPr="00C2088B">
        <w:rPr>
          <w:i/>
        </w:rPr>
        <w:t xml:space="preserve">see </w:t>
      </w:r>
      <w:r w:rsidRPr="00C2088B">
        <w:t xml:space="preserve">USAC website, Schools and Libraries, Schools and Libraries Service Program, Services Ordered and Certification Form 471 Application Status, </w:t>
      </w:r>
      <w:r w:rsidRPr="00C2088B">
        <w:rPr>
          <w:i/>
        </w:rPr>
        <w:t xml:space="preserve">available at </w:t>
      </w:r>
      <w:hyperlink r:id="rId68" w:history="1">
        <w:r w:rsidRPr="00C2088B">
          <w:rPr>
            <w:rStyle w:val="Hyperlink"/>
          </w:rPr>
          <w:t>http://www.sl.universalservice.org/FY3_form471/471StatusCheck.asp</w:t>
        </w:r>
      </w:hyperlink>
      <w:r w:rsidRPr="00C2088B">
        <w:t xml:space="preserve"> (last visited July 15, 2013). </w:t>
      </w:r>
    </w:p>
  </w:footnote>
  <w:footnote w:id="295">
    <w:p w14:paraId="741A2505" w14:textId="77777777" w:rsidR="00434A8B" w:rsidRPr="00C2088B" w:rsidRDefault="00434A8B" w:rsidP="00774CF9">
      <w:pPr>
        <w:pStyle w:val="FootnoteText"/>
      </w:pPr>
      <w:r w:rsidRPr="00C2088B">
        <w:rPr>
          <w:rStyle w:val="FootnoteReference"/>
          <w:sz w:val="20"/>
        </w:rPr>
        <w:footnoteRef/>
      </w:r>
      <w:r w:rsidRPr="00C2088B">
        <w:t xml:space="preserve"> </w:t>
      </w:r>
      <w:r w:rsidRPr="00C2088B">
        <w:rPr>
          <w:i/>
        </w:rPr>
        <w:t>Id.</w:t>
      </w:r>
      <w:r w:rsidRPr="00C2088B">
        <w:t xml:space="preserve"> </w:t>
      </w:r>
    </w:p>
  </w:footnote>
  <w:footnote w:id="296">
    <w:p w14:paraId="2A0B2029" w14:textId="6F1AE3A5" w:rsidR="00434A8B" w:rsidRPr="00C2088B" w:rsidRDefault="00434A8B" w:rsidP="00774CF9">
      <w:pPr>
        <w:pStyle w:val="FootnoteText"/>
      </w:pPr>
      <w:r w:rsidRPr="00C2088B">
        <w:rPr>
          <w:rStyle w:val="FootnoteReference"/>
          <w:sz w:val="20"/>
        </w:rPr>
        <w:footnoteRef/>
      </w:r>
      <w:r w:rsidRPr="00C2088B">
        <w:t xml:space="preserve"> For example, after an FCC Form 471 application and the associated Item 21 attachment(s) are filed within the filing window, USAC checks the information on the forms for completeness and accuracy as part of its PIA review and may request additional information.  </w:t>
      </w:r>
      <w:r w:rsidRPr="00C2088B">
        <w:rPr>
          <w:i/>
        </w:rPr>
        <w:t xml:space="preserve">See </w:t>
      </w:r>
      <w:r w:rsidRPr="00C2088B">
        <w:t xml:space="preserve">USAC website, Schools and Libraries, Application Review, </w:t>
      </w:r>
      <w:r w:rsidRPr="00C2088B">
        <w:rPr>
          <w:i/>
        </w:rPr>
        <w:t>available at</w:t>
      </w:r>
      <w:r w:rsidRPr="00C2088B">
        <w:t xml:space="preserve"> </w:t>
      </w:r>
      <w:hyperlink r:id="rId69" w:history="1">
        <w:r w:rsidRPr="00C2088B">
          <w:rPr>
            <w:rStyle w:val="Hyperlink"/>
          </w:rPr>
          <w:t>http://www.usac.org/sl/applicants/step05/default.aspx</w:t>
        </w:r>
      </w:hyperlink>
      <w:r w:rsidRPr="00C2088B">
        <w:t xml:space="preserve"> (last visited July 15, 2013).  Also, selective review is a separate component of the PIA process that follows up on certifications that applicants make on their FCC Form 471 application about the competitive bidding process and the necessary resources to make effective use of requested services.  </w:t>
      </w:r>
      <w:r w:rsidRPr="00C2088B">
        <w:rPr>
          <w:i/>
        </w:rPr>
        <w:t xml:space="preserve">See </w:t>
      </w:r>
      <w:r w:rsidRPr="00C2088B">
        <w:t xml:space="preserve">USAC website, Schools and Libraries, Selective Review, </w:t>
      </w:r>
      <w:r w:rsidRPr="00C2088B">
        <w:rPr>
          <w:i/>
        </w:rPr>
        <w:t xml:space="preserve">available at </w:t>
      </w:r>
      <w:hyperlink r:id="rId70" w:history="1">
        <w:r w:rsidRPr="00C2088B">
          <w:rPr>
            <w:rStyle w:val="Hyperlink"/>
          </w:rPr>
          <w:t>http://www.usac.org/sl/applicants/step05/selective-review.aspx</w:t>
        </w:r>
      </w:hyperlink>
      <w:r w:rsidRPr="00C2088B">
        <w:t xml:space="preserve"> (last visited July 15, 2013).</w:t>
      </w:r>
    </w:p>
  </w:footnote>
  <w:footnote w:id="297">
    <w:p w14:paraId="07DD9BBD" w14:textId="5C0503CD" w:rsidR="00434A8B" w:rsidRPr="00C2088B" w:rsidRDefault="00434A8B" w:rsidP="008D7B9F">
      <w:pPr>
        <w:pStyle w:val="FootnoteText"/>
      </w:pPr>
      <w:r w:rsidRPr="00C2088B">
        <w:rPr>
          <w:rStyle w:val="FootnoteReference"/>
          <w:sz w:val="20"/>
        </w:rPr>
        <w:footnoteRef/>
      </w:r>
      <w:r w:rsidRPr="00C2088B">
        <w:t xml:space="preserve"> United States Government Accountability Office Report to Congressional Requestors, </w:t>
      </w:r>
      <w:r>
        <w:t>“</w:t>
      </w:r>
      <w:r w:rsidRPr="00C2088B">
        <w:t>FCC Should Assess the Design of the E-rate Program’s Internal Control Structure,</w:t>
      </w:r>
      <w:r>
        <w:t>”</w:t>
      </w:r>
      <w:r w:rsidRPr="00C2088B">
        <w:t xml:space="preserve"> GAO 10-908 (Sept. 29, 2010).</w:t>
      </w:r>
    </w:p>
  </w:footnote>
  <w:footnote w:id="298">
    <w:p w14:paraId="5BAC6924" w14:textId="77777777" w:rsidR="00434A8B" w:rsidRPr="00C2088B" w:rsidRDefault="00434A8B" w:rsidP="008D7B9F">
      <w:pPr>
        <w:pStyle w:val="FootnoteText"/>
        <w:rPr>
          <w:i/>
        </w:rPr>
      </w:pPr>
      <w:r w:rsidRPr="00C2088B">
        <w:rPr>
          <w:rStyle w:val="FootnoteReference"/>
          <w:sz w:val="20"/>
        </w:rPr>
        <w:footnoteRef/>
      </w:r>
      <w:r w:rsidRPr="00C2088B">
        <w:t xml:space="preserve"> </w:t>
      </w:r>
      <w:r w:rsidRPr="00C2088B">
        <w:rPr>
          <w:i/>
        </w:rPr>
        <w:t>Id.</w:t>
      </w:r>
    </w:p>
  </w:footnote>
  <w:footnote w:id="299">
    <w:p w14:paraId="428BAD29" w14:textId="7D446E74" w:rsidR="00434A8B" w:rsidRPr="00C2088B" w:rsidRDefault="00434A8B" w:rsidP="000F7310">
      <w:pPr>
        <w:pStyle w:val="FootnoteText"/>
      </w:pPr>
      <w:r w:rsidRPr="00C2088B">
        <w:rPr>
          <w:rStyle w:val="FootnoteReference"/>
          <w:sz w:val="20"/>
        </w:rPr>
        <w:footnoteRef/>
      </w:r>
      <w:r w:rsidRPr="00C2088B">
        <w:t xml:space="preserve"> </w:t>
      </w:r>
      <w:r w:rsidRPr="00C2088B">
        <w:rPr>
          <w:i/>
        </w:rPr>
        <w:t>See supra</w:t>
      </w:r>
      <w:r w:rsidRPr="00C2088B">
        <w:t xml:space="preserve"> paras. </w:t>
      </w:r>
      <w:r w:rsidRPr="00C2088B">
        <w:fldChar w:fldCharType="begin"/>
      </w:r>
      <w:r w:rsidRPr="00C2088B">
        <w:instrText xml:space="preserve"> REF _Ref360206708 \r \h  \* MERGEFORMAT </w:instrText>
      </w:r>
      <w:r w:rsidRPr="00C2088B">
        <w:fldChar w:fldCharType="separate"/>
      </w:r>
      <w:r w:rsidR="00A0395D">
        <w:t>224</w:t>
      </w:r>
      <w:r w:rsidRPr="00C2088B">
        <w:fldChar w:fldCharType="end"/>
      </w:r>
      <w:r w:rsidRPr="00C2088B">
        <w:t>-</w:t>
      </w:r>
      <w:r w:rsidRPr="00C2088B">
        <w:fldChar w:fldCharType="begin"/>
      </w:r>
      <w:r w:rsidRPr="00C2088B">
        <w:instrText xml:space="preserve"> REF _Ref360206718 \r \h  \* MERGEFORMAT </w:instrText>
      </w:r>
      <w:r w:rsidRPr="00C2088B">
        <w:fldChar w:fldCharType="separate"/>
      </w:r>
      <w:r w:rsidR="00A0395D">
        <w:t>225</w:t>
      </w:r>
      <w:r w:rsidRPr="00C2088B">
        <w:fldChar w:fldCharType="end"/>
      </w:r>
      <w:r w:rsidRPr="00C2088B">
        <w:t>.</w:t>
      </w:r>
    </w:p>
  </w:footnote>
  <w:footnote w:id="300">
    <w:p w14:paraId="037EE36E" w14:textId="769E0CE5" w:rsidR="00434A8B" w:rsidRPr="00C2088B" w:rsidRDefault="00434A8B" w:rsidP="00774CF9">
      <w:pPr>
        <w:pStyle w:val="FootnoteText"/>
      </w:pPr>
      <w:r w:rsidRPr="00C2088B">
        <w:rPr>
          <w:rStyle w:val="FootnoteReference"/>
          <w:sz w:val="20"/>
        </w:rPr>
        <w:footnoteRef/>
      </w:r>
      <w:r w:rsidRPr="00C2088B">
        <w:t xml:space="preserve"> SECA August 2011 White Paper at 5.</w:t>
      </w:r>
    </w:p>
  </w:footnote>
  <w:footnote w:id="301">
    <w:p w14:paraId="35E7932E" w14:textId="77777777" w:rsidR="00434A8B" w:rsidRPr="00C2088B" w:rsidRDefault="00434A8B" w:rsidP="00774CF9">
      <w:pPr>
        <w:pStyle w:val="FootnoteText"/>
      </w:pPr>
      <w:r w:rsidRPr="00C2088B">
        <w:rPr>
          <w:rStyle w:val="FootnoteReference"/>
          <w:sz w:val="20"/>
        </w:rPr>
        <w:footnoteRef/>
      </w:r>
      <w:r w:rsidRPr="00C2088B">
        <w:t xml:space="preserve"> </w:t>
      </w:r>
      <w:r w:rsidRPr="00C2088B">
        <w:rPr>
          <w:i/>
        </w:rPr>
        <w:t>Id.</w:t>
      </w:r>
    </w:p>
  </w:footnote>
  <w:footnote w:id="302">
    <w:p w14:paraId="10062999" w14:textId="7B0B2217" w:rsidR="00434A8B" w:rsidRPr="00C2088B" w:rsidRDefault="00434A8B">
      <w:pPr>
        <w:pStyle w:val="FootnoteText"/>
      </w:pPr>
      <w:r w:rsidRPr="00C2088B">
        <w:rPr>
          <w:rStyle w:val="FootnoteReference"/>
          <w:sz w:val="20"/>
        </w:rPr>
        <w:footnoteRef/>
      </w:r>
      <w:r w:rsidRPr="00C2088B">
        <w:t xml:space="preserve"> </w:t>
      </w:r>
      <w:r w:rsidRPr="00C2088B">
        <w:rPr>
          <w:i/>
        </w:rPr>
        <w:t xml:space="preserve">See </w:t>
      </w:r>
      <w:r w:rsidRPr="00C2088B">
        <w:t xml:space="preserve">USAC, Schools and Libraries, Application Review, </w:t>
      </w:r>
      <w:r w:rsidRPr="00C2088B">
        <w:rPr>
          <w:i/>
        </w:rPr>
        <w:t xml:space="preserve">available at </w:t>
      </w:r>
      <w:hyperlink r:id="rId71" w:history="1">
        <w:r w:rsidRPr="00C2088B">
          <w:rPr>
            <w:rStyle w:val="Hyperlink"/>
          </w:rPr>
          <w:t>http://www.usac.org/sl/applicants/step05/default.aspx</w:t>
        </w:r>
      </w:hyperlink>
      <w:r w:rsidRPr="00C2088B">
        <w:t xml:space="preserve"> (last visited July 15, 2013).</w:t>
      </w:r>
    </w:p>
  </w:footnote>
  <w:footnote w:id="303">
    <w:p w14:paraId="57769CE9" w14:textId="460E35BA" w:rsidR="00434A8B" w:rsidRPr="00C2088B" w:rsidRDefault="00434A8B">
      <w:pPr>
        <w:pStyle w:val="FootnoteText"/>
      </w:pPr>
      <w:r w:rsidRPr="00C2088B">
        <w:rPr>
          <w:rStyle w:val="FootnoteReference"/>
          <w:sz w:val="20"/>
        </w:rPr>
        <w:footnoteRef/>
      </w:r>
      <w:r w:rsidRPr="00C2088B">
        <w:t xml:space="preserve"> </w:t>
      </w:r>
      <w:r w:rsidRPr="00C2088B">
        <w:rPr>
          <w:i/>
        </w:rPr>
        <w:t xml:space="preserve">Id.  </w:t>
      </w:r>
    </w:p>
  </w:footnote>
  <w:footnote w:id="304">
    <w:p w14:paraId="7C6E77AC" w14:textId="3AAD198E" w:rsidR="00434A8B" w:rsidRPr="00C2088B" w:rsidRDefault="00434A8B">
      <w:pPr>
        <w:pStyle w:val="FootnoteText"/>
      </w:pPr>
      <w:r w:rsidRPr="00C2088B">
        <w:rPr>
          <w:rStyle w:val="FootnoteReference"/>
          <w:sz w:val="20"/>
        </w:rPr>
        <w:footnoteRef/>
      </w:r>
      <w:r w:rsidRPr="00C2088B">
        <w:t xml:space="preserve"> </w:t>
      </w:r>
      <w:r w:rsidRPr="00C2088B">
        <w:rPr>
          <w:i/>
          <w:iCs/>
        </w:rPr>
        <w:t>See</w:t>
      </w:r>
      <w:r>
        <w:rPr>
          <w:i/>
          <w:iCs/>
        </w:rPr>
        <w:t>, e.g.,</w:t>
      </w:r>
      <w:r w:rsidRPr="00C2088B">
        <w:rPr>
          <w:i/>
          <w:iCs/>
        </w:rPr>
        <w:t xml:space="preserve"> Requests for Review of the Decision of the Universal Service Administrator by Academia Claret; Schools and Libraries Universal Service Support Mechanism</w:t>
      </w:r>
      <w:r w:rsidRPr="00C2088B">
        <w:t xml:space="preserve">, CC Docket No. 02-6, Order, 21 FCC Rcd 10703, 10709, para. 14 (Wireline Comp. Bur. 2006) (providing applicants with a 15-day opportunity to file additional documentation regarding their requested discount rates);  </w:t>
      </w:r>
      <w:r w:rsidRPr="00C2088B">
        <w:rPr>
          <w:i/>
          <w:iCs/>
        </w:rPr>
        <w:t>Request for Review of a Decision of the Universal Service Administrator by Odyssey Charter School;  Schools and Libraries Universal Service Support Mechanism</w:t>
      </w:r>
      <w:r w:rsidRPr="00C2088B">
        <w:t xml:space="preserve">, CC Docket No. 02-6, Order, 26 FCC Rcd 6875, 6876, para. 2 (Wireline Comp. Bur. 2011) (granting the applicant a limited 60-day opportunity to file documentation supporting its requested discount rate);  </w:t>
      </w:r>
      <w:r w:rsidRPr="00C2088B">
        <w:rPr>
          <w:i/>
          <w:iCs/>
        </w:rPr>
        <w:t>Request for Review of a Decision of the Universal Service Administrator of Aberdeen School District 5; Schools and Libraries Universal Service Support Mechanism</w:t>
      </w:r>
      <w:r w:rsidRPr="00C2088B">
        <w:t>, CC Docket No. 02-6, Order, 27 FCC Rcd 2152, 2152, para. 1 (Wireline Comp. Bur. 2012) (providing applicants with a limited 15-day opportunity to file additional documentation to support their calculations of the correct discount rates).</w:t>
      </w:r>
    </w:p>
  </w:footnote>
  <w:footnote w:id="305">
    <w:p w14:paraId="719E1D5D" w14:textId="063BCC5B" w:rsidR="00434A8B" w:rsidRPr="00C2088B" w:rsidRDefault="00434A8B">
      <w:pPr>
        <w:pStyle w:val="FootnoteText"/>
      </w:pPr>
      <w:r w:rsidRPr="00C2088B">
        <w:rPr>
          <w:rStyle w:val="FootnoteReference"/>
          <w:sz w:val="20"/>
        </w:rPr>
        <w:footnoteRef/>
      </w:r>
      <w:r w:rsidRPr="00C2088B">
        <w:t xml:space="preserve"> </w:t>
      </w:r>
      <w:hyperlink r:id="rId72" w:history="1">
        <w:r w:rsidRPr="00C2088B">
          <w:rPr>
            <w:rStyle w:val="Hyperlink"/>
          </w:rPr>
          <w:t>http://www.usac.org/sl/applicants/beforeyoubegin/non-traditional/eligibility-table.aspx</w:t>
        </w:r>
      </w:hyperlink>
      <w:r w:rsidRPr="00C2088B">
        <w:rPr>
          <w:color w:val="000000"/>
        </w:rPr>
        <w:t xml:space="preserve">.  </w:t>
      </w:r>
      <w:r w:rsidRPr="004F322C">
        <w:rPr>
          <w:i/>
          <w:color w:val="000000"/>
        </w:rPr>
        <w:t>See also</w:t>
      </w:r>
      <w:r w:rsidRPr="00C2088B">
        <w:rPr>
          <w:color w:val="000000"/>
        </w:rPr>
        <w:t xml:space="preserve"> 47 C.R.F. § 54.500 (definitions of eligible elementary school and educational purpose).</w:t>
      </w:r>
    </w:p>
  </w:footnote>
  <w:footnote w:id="306">
    <w:p w14:paraId="2BE26CFE" w14:textId="6078A8B5" w:rsidR="00434A8B" w:rsidRPr="00C2088B" w:rsidRDefault="00434A8B">
      <w:pPr>
        <w:pStyle w:val="FootnoteText"/>
      </w:pPr>
      <w:r w:rsidRPr="00C2088B">
        <w:rPr>
          <w:rStyle w:val="FootnoteReference"/>
          <w:sz w:val="20"/>
        </w:rPr>
        <w:footnoteRef/>
      </w:r>
      <w:r w:rsidRPr="00C2088B">
        <w:t xml:space="preserve"> </w:t>
      </w:r>
      <w:r w:rsidRPr="00C2088B">
        <w:rPr>
          <w:i/>
        </w:rPr>
        <w:t>See infra</w:t>
      </w:r>
      <w:r w:rsidRPr="00C2088B">
        <w:t xml:space="preserve">. para. 296; </w:t>
      </w:r>
      <w:r w:rsidRPr="00C2088B">
        <w:rPr>
          <w:i/>
        </w:rPr>
        <w:t xml:space="preserve">Schools and Libraries </w:t>
      </w:r>
      <w:r w:rsidRPr="00C2088B">
        <w:rPr>
          <w:i/>
          <w:spacing w:val="-2"/>
          <w:lang w:val="sv-SE"/>
        </w:rPr>
        <w:t>Sixth Report and Order</w:t>
      </w:r>
      <w:r w:rsidRPr="00C2088B">
        <w:rPr>
          <w:spacing w:val="-2"/>
          <w:lang w:val="sv-SE"/>
        </w:rPr>
        <w:t>, 25 FCC Rcd at 18775-76, paras. 24-26.</w:t>
      </w:r>
    </w:p>
  </w:footnote>
  <w:footnote w:id="307">
    <w:p w14:paraId="34F20A4E" w14:textId="4850A2E7" w:rsidR="00434A8B" w:rsidRPr="00C2088B" w:rsidRDefault="00434A8B" w:rsidP="00774CF9">
      <w:pPr>
        <w:pStyle w:val="FootnoteText"/>
      </w:pPr>
      <w:r w:rsidRPr="00C2088B">
        <w:rPr>
          <w:rStyle w:val="FootnoteReference"/>
          <w:sz w:val="20"/>
        </w:rPr>
        <w:footnoteRef/>
      </w:r>
      <w:r w:rsidRPr="00C2088B">
        <w:t xml:space="preserve"> </w:t>
      </w:r>
      <w:r w:rsidRPr="00C2088B">
        <w:rPr>
          <w:i/>
        </w:rPr>
        <w:t>See</w:t>
      </w:r>
      <w:r w:rsidRPr="00C2088B">
        <w:t xml:space="preserve"> USAC, Schools and Libraries, Contracts, </w:t>
      </w:r>
      <w:r w:rsidRPr="00C2088B">
        <w:rPr>
          <w:i/>
        </w:rPr>
        <w:t xml:space="preserve">available at </w:t>
      </w:r>
      <w:hyperlink r:id="rId73" w:history="1">
        <w:r w:rsidRPr="00C2088B">
          <w:rPr>
            <w:rStyle w:val="Hyperlink"/>
          </w:rPr>
          <w:t>http://www.usac.org/sl/applicants/step03/contracts.aspx</w:t>
        </w:r>
      </w:hyperlink>
      <w:r w:rsidRPr="00C2088B">
        <w:t xml:space="preserve"> (last visited July 15, 2013). </w:t>
      </w:r>
    </w:p>
  </w:footnote>
  <w:footnote w:id="308">
    <w:p w14:paraId="44821FE3" w14:textId="5DEC224E" w:rsidR="00434A8B" w:rsidRPr="00C2088B" w:rsidRDefault="00434A8B" w:rsidP="00774CF9">
      <w:pPr>
        <w:pStyle w:val="FootnoteText"/>
      </w:pPr>
      <w:r w:rsidRPr="00C2088B">
        <w:rPr>
          <w:rStyle w:val="FootnoteReference"/>
          <w:sz w:val="20"/>
        </w:rPr>
        <w:footnoteRef/>
      </w:r>
      <w:r w:rsidRPr="00C2088B">
        <w:t xml:space="preserve"> </w:t>
      </w:r>
      <w:r w:rsidRPr="00C2088B">
        <w:rPr>
          <w:i/>
        </w:rPr>
        <w:t>See</w:t>
      </w:r>
      <w:r w:rsidRPr="00C2088B">
        <w:t xml:space="preserve"> 47 C.F.R. § 54.507(e).   </w:t>
      </w:r>
    </w:p>
  </w:footnote>
  <w:footnote w:id="309">
    <w:p w14:paraId="4F0E213A" w14:textId="05088759" w:rsidR="00434A8B" w:rsidRPr="00C2088B" w:rsidRDefault="00434A8B" w:rsidP="00774CF9">
      <w:pPr>
        <w:pStyle w:val="FootnoteText"/>
      </w:pPr>
      <w:r w:rsidRPr="00C2088B">
        <w:rPr>
          <w:rStyle w:val="FootnoteReference"/>
          <w:sz w:val="20"/>
        </w:rPr>
        <w:footnoteRef/>
      </w:r>
      <w:r w:rsidRPr="00C2088B">
        <w:t xml:space="preserve"> </w:t>
      </w:r>
      <w:r w:rsidR="00E33DA7" w:rsidRPr="00E33DA7">
        <w:rPr>
          <w:i/>
          <w:iCs/>
        </w:rPr>
        <w:t>See, e.g.,</w:t>
      </w:r>
      <w:r w:rsidRPr="00C2088B">
        <w:rPr>
          <w:i/>
          <w:iCs/>
        </w:rPr>
        <w:t xml:space="preserve"> </w:t>
      </w:r>
      <w:r w:rsidRPr="00C2088B">
        <w:t xml:space="preserve">Ex-parte Letter from Michael D. Casserly, Executive Director, Council of the Great City Schools, to Marlene H. Dortch, Secretary, Federal Communications Commission, CC Docket No. 02-6 and GN Docket No. 09-51, filed Oct. 3, 2011, at 1 (explaining that despite a contract and service being the same as the one approved in the previous year for a multi-year contract, district applicants often had to undergo identical review processes and PIA audits year after year, with no actual benefit to the applicant or USAC) </w:t>
      </w:r>
      <w:r w:rsidRPr="00510855">
        <w:rPr>
          <w:i/>
        </w:rPr>
        <w:t>available at</w:t>
      </w:r>
      <w:r w:rsidRPr="00C2088B">
        <w:t xml:space="preserve"> </w:t>
      </w:r>
      <w:hyperlink r:id="rId74" w:history="1">
        <w:r w:rsidRPr="00C2088B">
          <w:rPr>
            <w:rStyle w:val="Hyperlink"/>
          </w:rPr>
          <w:t>http://apps.fcc.gov/ecfs/document/view?id=7021712500</w:t>
        </w:r>
      </w:hyperlink>
      <w:r w:rsidRPr="00C2088B">
        <w:t xml:space="preserve"> (last visited July 15, 2013).</w:t>
      </w:r>
    </w:p>
  </w:footnote>
  <w:footnote w:id="310">
    <w:p w14:paraId="6C1D9F22" w14:textId="45760A67" w:rsidR="00434A8B" w:rsidRPr="00C2088B" w:rsidRDefault="00434A8B" w:rsidP="00774CF9">
      <w:pPr>
        <w:spacing w:after="120"/>
        <w:rPr>
          <w:sz w:val="20"/>
        </w:rPr>
      </w:pPr>
      <w:r w:rsidRPr="00C2088B">
        <w:rPr>
          <w:rStyle w:val="FootnoteReference"/>
          <w:sz w:val="20"/>
        </w:rPr>
        <w:footnoteRef/>
      </w:r>
      <w:r w:rsidRPr="00C2088B">
        <w:rPr>
          <w:sz w:val="20"/>
        </w:rPr>
        <w:t xml:space="preserve"> </w:t>
      </w:r>
      <w:r w:rsidRPr="00C2088B">
        <w:rPr>
          <w:i/>
          <w:sz w:val="20"/>
        </w:rPr>
        <w:t>See</w:t>
      </w:r>
      <w:r w:rsidRPr="00C2088B">
        <w:rPr>
          <w:sz w:val="20"/>
        </w:rPr>
        <w:t xml:space="preserve"> </w:t>
      </w:r>
      <w:r w:rsidRPr="00C2088B">
        <w:rPr>
          <w:i/>
          <w:sz w:val="20"/>
        </w:rPr>
        <w:t>Healthcare Connect Fund Order</w:t>
      </w:r>
      <w:r w:rsidRPr="00C2088B">
        <w:rPr>
          <w:sz w:val="20"/>
        </w:rPr>
        <w:t>, 27 FCC Rcd at 16801-02, paras. 296-97.</w:t>
      </w:r>
    </w:p>
  </w:footnote>
  <w:footnote w:id="311">
    <w:p w14:paraId="3039DFB5" w14:textId="4B6E5E38" w:rsidR="00434A8B" w:rsidRPr="00C2088B" w:rsidRDefault="00434A8B" w:rsidP="00A30BDC">
      <w:pPr>
        <w:pStyle w:val="FootnoteText"/>
      </w:pPr>
      <w:r w:rsidRPr="00C2088B">
        <w:rPr>
          <w:rStyle w:val="FootnoteReference"/>
          <w:sz w:val="20"/>
        </w:rPr>
        <w:footnoteRef/>
      </w:r>
      <w:r w:rsidRPr="00C2088B">
        <w:t xml:space="preserve"> 47 C.F.R. § 54.502; </w:t>
      </w:r>
      <w:r w:rsidRPr="00C2088B">
        <w:rPr>
          <w:i/>
        </w:rPr>
        <w:t xml:space="preserve">see </w:t>
      </w:r>
      <w:r>
        <w:rPr>
          <w:i/>
        </w:rPr>
        <w:t xml:space="preserve">infra </w:t>
      </w:r>
      <w:r w:rsidRPr="004F322C">
        <w:t>Proposed Rules</w:t>
      </w:r>
      <w:r>
        <w:t xml:space="preserve"> (</w:t>
      </w:r>
      <w:r w:rsidRPr="00C2088B">
        <w:t xml:space="preserve">Appendix </w:t>
      </w:r>
      <w:r>
        <w:t>A)</w:t>
      </w:r>
      <w:r w:rsidRPr="00C2088B">
        <w:rPr>
          <w:b/>
        </w:rPr>
        <w:t xml:space="preserve"> </w:t>
      </w:r>
      <w:r w:rsidRPr="00C2088B">
        <w:t>(showing revisions to section 54.502 of the Commission’s rules which remove references to telecommunications services and Internet access as regulatory categories).</w:t>
      </w:r>
    </w:p>
  </w:footnote>
  <w:footnote w:id="312">
    <w:p w14:paraId="3747EF42" w14:textId="2073AF6E" w:rsidR="00434A8B" w:rsidRPr="00C2088B" w:rsidRDefault="00434A8B" w:rsidP="00A30BDC">
      <w:pPr>
        <w:pStyle w:val="FootnoteText"/>
      </w:pPr>
      <w:r w:rsidRPr="00C2088B">
        <w:rPr>
          <w:rStyle w:val="FootnoteReference"/>
          <w:sz w:val="20"/>
        </w:rPr>
        <w:footnoteRef/>
      </w:r>
      <w:r w:rsidRPr="00C2088B">
        <w:t xml:space="preserve"> </w:t>
      </w:r>
      <w:r w:rsidRPr="00C2088B">
        <w:rPr>
          <w:i/>
        </w:rPr>
        <w:t xml:space="preserve">See </w:t>
      </w:r>
      <w:r w:rsidRPr="00C2088B">
        <w:t xml:space="preserve">USAC, Schools and Libraries, Eligible Services List, </w:t>
      </w:r>
      <w:r w:rsidRPr="00C2088B">
        <w:rPr>
          <w:i/>
        </w:rPr>
        <w:t xml:space="preserve">available at </w:t>
      </w:r>
      <w:hyperlink r:id="rId75" w:history="1">
        <w:r w:rsidRPr="00C2088B">
          <w:rPr>
            <w:rStyle w:val="Hyperlink"/>
          </w:rPr>
          <w:t>http://www.usac.org/sl/applicants/beforeyoubegin/eligible-services-list.aspx</w:t>
        </w:r>
      </w:hyperlink>
      <w:r w:rsidRPr="00C2088B">
        <w:t xml:space="preserve"> (last visited July 15, 2013). </w:t>
      </w:r>
    </w:p>
  </w:footnote>
  <w:footnote w:id="313">
    <w:p w14:paraId="5DB27BE9" w14:textId="77777777" w:rsidR="00434A8B" w:rsidRPr="00C2088B" w:rsidRDefault="00434A8B" w:rsidP="00A30BDC">
      <w:pPr>
        <w:pStyle w:val="FootnoteText"/>
      </w:pPr>
      <w:r w:rsidRPr="00C2088B">
        <w:rPr>
          <w:rStyle w:val="FootnoteReference"/>
          <w:sz w:val="20"/>
        </w:rPr>
        <w:footnoteRef/>
      </w:r>
      <w:r w:rsidRPr="00C2088B">
        <w:t xml:space="preserve"> </w:t>
      </w:r>
      <w:r w:rsidRPr="00C2088B">
        <w:rPr>
          <w:i/>
        </w:rPr>
        <w:t>Schools and Libraries Universal Service Support Mechanism, A National Broadband Plan for Our Future</w:t>
      </w:r>
      <w:r w:rsidRPr="00C2088B">
        <w:t>, CC Docket No. 02-6, GN Docket No. 09-51, Report and Order, 27 FCC Rcd 11348, 11350 (Wireline Comp. Bur. 2012) (</w:t>
      </w:r>
      <w:r w:rsidRPr="00C2088B">
        <w:rPr>
          <w:i/>
        </w:rPr>
        <w:t>2013 ESL Order</w:t>
      </w:r>
      <w:r w:rsidRPr="00C2088B">
        <w:t xml:space="preserve">); </w:t>
      </w:r>
      <w:r w:rsidRPr="00C2088B">
        <w:rPr>
          <w:i/>
          <w:color w:val="000000"/>
        </w:rPr>
        <w:t>Wireline Competition Bureau Seeks Comment on Draft Eligible Services List for Schools and Libraries Universal Service Program</w:t>
      </w:r>
      <w:r w:rsidRPr="00C2088B">
        <w:rPr>
          <w:color w:val="000000"/>
        </w:rPr>
        <w:t>, CC Docket No. 02-6 and GN Docket No. 09-51, Public Notice, 27 FCC Rcd 7405 (Wireline Comp. Bur. 2012) (</w:t>
      </w:r>
      <w:r w:rsidRPr="00C2088B">
        <w:rPr>
          <w:i/>
          <w:color w:val="000000"/>
        </w:rPr>
        <w:t>ESL Public Notice</w:t>
      </w:r>
      <w:r w:rsidRPr="00C2088B">
        <w:rPr>
          <w:color w:val="000000"/>
        </w:rPr>
        <w:t>).</w:t>
      </w:r>
    </w:p>
  </w:footnote>
  <w:footnote w:id="314">
    <w:p w14:paraId="234877AE" w14:textId="4497FB36" w:rsidR="00434A8B" w:rsidRPr="00C2088B" w:rsidRDefault="00434A8B" w:rsidP="00A30BDC">
      <w:pPr>
        <w:pStyle w:val="FootnoteText"/>
      </w:pPr>
      <w:r w:rsidRPr="00C2088B">
        <w:rPr>
          <w:rStyle w:val="FootnoteReference"/>
          <w:sz w:val="20"/>
        </w:rPr>
        <w:footnoteRef/>
      </w:r>
      <w:r w:rsidRPr="00C2088B">
        <w:t xml:space="preserve"> </w:t>
      </w:r>
      <w:r w:rsidRPr="00C2088B">
        <w:rPr>
          <w:i/>
        </w:rPr>
        <w:t xml:space="preserve">2013 ESL Order, </w:t>
      </w:r>
      <w:r w:rsidRPr="00C2088B">
        <w:t xml:space="preserve">27 FCC Rcd at 11350, para. 5.  </w:t>
      </w:r>
      <w:r w:rsidRPr="00C2088B">
        <w:rPr>
          <w:i/>
        </w:rPr>
        <w:t xml:space="preserve">  </w:t>
      </w:r>
    </w:p>
  </w:footnote>
  <w:footnote w:id="315">
    <w:p w14:paraId="2E24267A" w14:textId="002DF636" w:rsidR="00434A8B" w:rsidRPr="00C2088B" w:rsidRDefault="00434A8B" w:rsidP="00A30BDC">
      <w:pPr>
        <w:pStyle w:val="FootnoteText"/>
      </w:pPr>
      <w:r w:rsidRPr="00C2088B">
        <w:rPr>
          <w:rStyle w:val="FootnoteReference"/>
          <w:sz w:val="20"/>
        </w:rPr>
        <w:footnoteRef/>
      </w:r>
      <w:r w:rsidRPr="00C2088B">
        <w:t xml:space="preserve"> </w:t>
      </w:r>
      <w:r w:rsidRPr="00C2088B">
        <w:rPr>
          <w:i/>
        </w:rPr>
        <w:t xml:space="preserve">See </w:t>
      </w:r>
      <w:r w:rsidRPr="00C2088B">
        <w:t xml:space="preserve">SECA </w:t>
      </w:r>
      <w:r w:rsidRPr="00C2088B">
        <w:rPr>
          <w:i/>
        </w:rPr>
        <w:t xml:space="preserve">ESL Public Notice </w:t>
      </w:r>
      <w:r w:rsidRPr="00C2088B">
        <w:t>Comments, CC Docket No.</w:t>
      </w:r>
      <w:r>
        <w:t xml:space="preserve"> 02-6</w:t>
      </w:r>
      <w:r w:rsidRPr="00C2088B">
        <w:t>,</w:t>
      </w:r>
      <w:r w:rsidRPr="00C2088B">
        <w:rPr>
          <w:i/>
        </w:rPr>
        <w:t xml:space="preserve"> </w:t>
      </w:r>
      <w:r w:rsidRPr="00C2088B">
        <w:t xml:space="preserve">at 1 (noting, for example, that while distinction between two of the existing Priority One services, </w:t>
      </w:r>
      <w:r>
        <w:t>“</w:t>
      </w:r>
      <w:r w:rsidRPr="00C2088B">
        <w:t>Telecommunications Services</w:t>
      </w:r>
      <w:r>
        <w:t>”</w:t>
      </w:r>
      <w:r w:rsidRPr="00C2088B">
        <w:t xml:space="preserve"> and </w:t>
      </w:r>
      <w:r>
        <w:t>“</w:t>
      </w:r>
      <w:r w:rsidRPr="00C2088B">
        <w:t>Telecommunications</w:t>
      </w:r>
      <w:r>
        <w:t>”</w:t>
      </w:r>
      <w:r w:rsidRPr="00C2088B">
        <w:t xml:space="preserve"> highlights different regulatory treatments, it is not meaningful to most applicants); Kellogg &amp; Sovereign (Kellogg &amp; Sovereign) Consulting </w:t>
      </w:r>
      <w:r w:rsidRPr="00C2088B">
        <w:rPr>
          <w:i/>
        </w:rPr>
        <w:t xml:space="preserve">ESL Public Notice </w:t>
      </w:r>
      <w:r w:rsidRPr="00C2088B">
        <w:t>Comments, CC Docket No.</w:t>
      </w:r>
      <w:r>
        <w:t xml:space="preserve"> 02-6</w:t>
      </w:r>
      <w:r w:rsidRPr="00C2088B">
        <w:t>, at 2-4 (noting that the different rules for which type of service provider can provide a particular service adds another layer of complexity to the already-complex set of E-rate program rules; as an example, it asserts that many applicants erroneously think that they do not need to request Internet access when they are requesting cellular service with data packages and email access).</w:t>
      </w:r>
    </w:p>
  </w:footnote>
  <w:footnote w:id="316">
    <w:p w14:paraId="3BE4EF1C" w14:textId="23E1B5FD" w:rsidR="00434A8B" w:rsidRPr="00C2088B" w:rsidRDefault="00434A8B" w:rsidP="00A30BDC">
      <w:pPr>
        <w:pStyle w:val="FootnoteText"/>
      </w:pPr>
      <w:r w:rsidRPr="00C2088B">
        <w:rPr>
          <w:rStyle w:val="FootnoteReference"/>
          <w:sz w:val="20"/>
        </w:rPr>
        <w:footnoteRef/>
      </w:r>
      <w:r w:rsidRPr="00C2088B">
        <w:t xml:space="preserve"> </w:t>
      </w:r>
      <w:r w:rsidRPr="00C2088B">
        <w:rPr>
          <w:i/>
        </w:rPr>
        <w:t>2013 ESL Order</w:t>
      </w:r>
      <w:r w:rsidRPr="00C2088B">
        <w:t>,</w:t>
      </w:r>
      <w:r w:rsidRPr="00C2088B">
        <w:rPr>
          <w:i/>
        </w:rPr>
        <w:t xml:space="preserve"> </w:t>
      </w:r>
      <w:r w:rsidRPr="00C2088B">
        <w:t>27 FCC Rcd at 11350, para. 5 (directing USAC, in conducting PIA reviews, not to treat an applicant’s failure to correctly identify the type of priority one service it is seeking on the FCC Form 470 as an automatic violation of the section 54.503 competitive bidding requirements).</w:t>
      </w:r>
    </w:p>
  </w:footnote>
  <w:footnote w:id="317">
    <w:p w14:paraId="58B5E860" w14:textId="5F62B9DC" w:rsidR="00434A8B" w:rsidRPr="00C2088B" w:rsidRDefault="00434A8B" w:rsidP="00A30BDC">
      <w:pPr>
        <w:pStyle w:val="FootnoteText"/>
      </w:pPr>
      <w:r w:rsidRPr="00C2088B">
        <w:rPr>
          <w:rStyle w:val="FootnoteReference"/>
          <w:sz w:val="20"/>
        </w:rPr>
        <w:footnoteRef/>
      </w:r>
      <w:r w:rsidRPr="00C2088B">
        <w:t xml:space="preserve"> </w:t>
      </w:r>
      <w:r w:rsidRPr="00C2088B">
        <w:rPr>
          <w:i/>
        </w:rPr>
        <w:t xml:space="preserve">Id. </w:t>
      </w:r>
      <w:r w:rsidRPr="00C2088B">
        <w:t>at 11351, para. 8.</w:t>
      </w:r>
    </w:p>
  </w:footnote>
  <w:footnote w:id="318">
    <w:p w14:paraId="55A09798" w14:textId="0AF06DDC" w:rsidR="00434A8B" w:rsidRPr="00C2088B" w:rsidRDefault="00434A8B" w:rsidP="00A30BDC">
      <w:pPr>
        <w:pStyle w:val="FootnoteText"/>
      </w:pPr>
      <w:r w:rsidRPr="00C2088B">
        <w:rPr>
          <w:rStyle w:val="FootnoteReference"/>
          <w:sz w:val="20"/>
        </w:rPr>
        <w:footnoteRef/>
      </w:r>
      <w:r w:rsidRPr="00C2088B">
        <w:t xml:space="preserve"> </w:t>
      </w:r>
      <w:r w:rsidRPr="00C2088B">
        <w:rPr>
          <w:i/>
        </w:rPr>
        <w:t>Healthcare Connect Fund Order</w:t>
      </w:r>
      <w:r w:rsidRPr="00C2088B">
        <w:t>, 27 FCC Rcd at 16729-30, para. 111.</w:t>
      </w:r>
    </w:p>
  </w:footnote>
  <w:footnote w:id="319">
    <w:p w14:paraId="0CE49191" w14:textId="1BA9150C" w:rsidR="00434A8B" w:rsidRPr="00C2088B" w:rsidRDefault="00434A8B" w:rsidP="00A30BDC">
      <w:pPr>
        <w:pStyle w:val="FootnoteText"/>
      </w:pPr>
      <w:r w:rsidRPr="00C2088B">
        <w:rPr>
          <w:rStyle w:val="FootnoteReference"/>
          <w:sz w:val="20"/>
        </w:rPr>
        <w:footnoteRef/>
      </w:r>
      <w:r w:rsidRPr="00C2088B">
        <w:t xml:space="preserve"> </w:t>
      </w:r>
      <w:r w:rsidRPr="00C2088B">
        <w:rPr>
          <w:i/>
        </w:rPr>
        <w:t xml:space="preserve">See </w:t>
      </w:r>
      <w:r w:rsidRPr="00C2088B">
        <w:t xml:space="preserve">47 C.F.R. § 54.503(c)(i), (ii) (stating that the FCC Form 470 and any request for proposal cited in the FCC Form 470 must include, at a minimum, the following information with respect to the services requested: </w:t>
      </w:r>
      <w:bookmarkStart w:id="2243" w:name="c_1_i"/>
      <w:bookmarkEnd w:id="2243"/>
      <w:r w:rsidRPr="00C2088B">
        <w:t xml:space="preserve">(i) a list of specified services for which the applicant anticipates it is likely to seek discounts; and </w:t>
      </w:r>
      <w:bookmarkStart w:id="2244" w:name="c_1_ii"/>
      <w:bookmarkEnd w:id="2244"/>
      <w:r w:rsidRPr="00C2088B">
        <w:t>(ii) sufficient information to enable bidders to reasonably determine the needs of the applicant)</w:t>
      </w:r>
      <w:r w:rsidRPr="00C2088B">
        <w:rPr>
          <w:color w:val="000000"/>
        </w:rPr>
        <w:t xml:space="preserve">; </w:t>
      </w:r>
      <w:r w:rsidRPr="00C2088B">
        <w:rPr>
          <w:i/>
          <w:color w:val="000000"/>
        </w:rPr>
        <w:t>see also Request for Review of Decisions of the Universal Service Administrator by Approach Learning and Assessment Center</w:t>
      </w:r>
      <w:r w:rsidR="002A4654">
        <w:rPr>
          <w:i/>
          <w:color w:val="000000"/>
        </w:rPr>
        <w:t>s</w:t>
      </w:r>
      <w:r w:rsidRPr="00C2088B">
        <w:rPr>
          <w:i/>
          <w:color w:val="000000"/>
        </w:rPr>
        <w:t xml:space="preserve"> et al., Schools and Libraries Universal Service Support Mechanism</w:t>
      </w:r>
      <w:r w:rsidRPr="00C2088B">
        <w:rPr>
          <w:color w:val="000000"/>
        </w:rPr>
        <w:t>, CC Docket No. 02-6, Order, 23 FCC Rcd 15510 (</w:t>
      </w:r>
      <w:r w:rsidR="002A4654">
        <w:rPr>
          <w:color w:val="000000"/>
        </w:rPr>
        <w:t xml:space="preserve">Wireline Comp. Bur. </w:t>
      </w:r>
      <w:r w:rsidRPr="00C2088B">
        <w:rPr>
          <w:color w:val="000000"/>
        </w:rPr>
        <w:t xml:space="preserve">2008).  </w:t>
      </w:r>
      <w:r w:rsidRPr="00C2088B">
        <w:t xml:space="preserve">   </w:t>
      </w:r>
    </w:p>
  </w:footnote>
  <w:footnote w:id="320">
    <w:p w14:paraId="0A24E989" w14:textId="39DDE468" w:rsidR="00434A8B" w:rsidRPr="00C2088B" w:rsidRDefault="00434A8B" w:rsidP="00336E06">
      <w:pPr>
        <w:pStyle w:val="FootnoteText"/>
      </w:pPr>
      <w:r w:rsidRPr="00C2088B">
        <w:rPr>
          <w:rStyle w:val="FootnoteReference"/>
          <w:sz w:val="20"/>
        </w:rPr>
        <w:footnoteRef/>
      </w:r>
      <w:r w:rsidRPr="00C2088B">
        <w:t xml:space="preserve"> </w:t>
      </w:r>
      <w:r w:rsidRPr="00C2088B">
        <w:rPr>
          <w:i/>
        </w:rPr>
        <w:t>2013 ESL Order</w:t>
      </w:r>
      <w:r w:rsidRPr="00C2088B">
        <w:t>,</w:t>
      </w:r>
      <w:r w:rsidRPr="00C2088B">
        <w:rPr>
          <w:i/>
        </w:rPr>
        <w:t xml:space="preserve"> </w:t>
      </w:r>
      <w:r w:rsidRPr="00C2088B">
        <w:t xml:space="preserve">27 FCC Rcd at 11351, para. 8.  </w:t>
      </w:r>
    </w:p>
  </w:footnote>
  <w:footnote w:id="321">
    <w:p w14:paraId="451FD023" w14:textId="5E78D606" w:rsidR="00434A8B" w:rsidRPr="00C2088B" w:rsidRDefault="00434A8B" w:rsidP="00336E06">
      <w:pPr>
        <w:pStyle w:val="FootnoteText"/>
      </w:pPr>
      <w:r w:rsidRPr="00C2088B">
        <w:rPr>
          <w:rStyle w:val="FootnoteReference"/>
          <w:sz w:val="20"/>
        </w:rPr>
        <w:footnoteRef/>
      </w:r>
      <w:r w:rsidRPr="00C2088B">
        <w:t xml:space="preserve"> </w:t>
      </w:r>
      <w:r w:rsidRPr="00C2088B">
        <w:rPr>
          <w:i/>
        </w:rPr>
        <w:t xml:space="preserve">See </w:t>
      </w:r>
      <w:r w:rsidRPr="00C2088B">
        <w:t xml:space="preserve">47 C.F.R. § 54.520 (providing the Commission’s requirements for compliance with </w:t>
      </w:r>
      <w:r>
        <w:t>CIPA</w:t>
      </w:r>
      <w:r w:rsidRPr="00C2088B">
        <w:t xml:space="preserve">).  </w:t>
      </w:r>
    </w:p>
  </w:footnote>
  <w:footnote w:id="322">
    <w:p w14:paraId="70809E5C" w14:textId="77777777" w:rsidR="00434A8B" w:rsidRPr="00C2088B" w:rsidRDefault="00434A8B" w:rsidP="00336E06">
      <w:pPr>
        <w:pStyle w:val="FootnoteText"/>
      </w:pPr>
      <w:r w:rsidRPr="00C2088B">
        <w:rPr>
          <w:rStyle w:val="FootnoteReference"/>
          <w:sz w:val="20"/>
        </w:rPr>
        <w:footnoteRef/>
      </w:r>
      <w:r w:rsidRPr="00C2088B">
        <w:t xml:space="preserve"> </w:t>
      </w:r>
      <w:r w:rsidRPr="00C2088B">
        <w:rPr>
          <w:i/>
        </w:rPr>
        <w:t xml:space="preserve">See </w:t>
      </w:r>
      <w:r w:rsidRPr="00C2088B">
        <w:t>SECA June 2013 White Paper at 17 (recommending that the certifications for CIPA and the technology plan be added to the FCC Form 471).</w:t>
      </w:r>
    </w:p>
  </w:footnote>
  <w:footnote w:id="323">
    <w:p w14:paraId="114832D9" w14:textId="77777777" w:rsidR="00434A8B" w:rsidRPr="00C2088B" w:rsidRDefault="00434A8B" w:rsidP="00336E06">
      <w:pPr>
        <w:pStyle w:val="FootnoteText"/>
        <w:rPr>
          <w:i/>
        </w:rPr>
      </w:pPr>
      <w:r w:rsidRPr="00C2088B">
        <w:rPr>
          <w:rStyle w:val="FootnoteReference"/>
          <w:sz w:val="20"/>
        </w:rPr>
        <w:footnoteRef/>
      </w:r>
      <w:r w:rsidRPr="00C2088B">
        <w:t xml:space="preserve"> </w:t>
      </w:r>
      <w:r w:rsidRPr="00C2088B">
        <w:rPr>
          <w:i/>
        </w:rPr>
        <w:t>Id.</w:t>
      </w:r>
    </w:p>
  </w:footnote>
  <w:footnote w:id="324">
    <w:p w14:paraId="3E7A4A16" w14:textId="468028DC" w:rsidR="00434A8B" w:rsidRPr="00C2088B" w:rsidRDefault="00434A8B" w:rsidP="00EA2915">
      <w:pPr>
        <w:pStyle w:val="FootnoteTextA"/>
        <w:spacing w:after="120"/>
      </w:pPr>
      <w:r w:rsidRPr="00C2088B">
        <w:rPr>
          <w:rStyle w:val="FootnoteReference2"/>
        </w:rPr>
        <w:footnoteRef/>
      </w:r>
      <w:r w:rsidRPr="00C2088B">
        <w:t xml:space="preserve"> </w:t>
      </w:r>
      <w:r w:rsidRPr="004F322C">
        <w:rPr>
          <w:i/>
        </w:rPr>
        <w:t>See</w:t>
      </w:r>
      <w:r w:rsidRPr="00C2088B">
        <w:t xml:space="preserve"> </w:t>
      </w:r>
      <w:r w:rsidRPr="004F322C">
        <w:rPr>
          <w:i/>
        </w:rPr>
        <w:t>Changes to the Board of Directors of the National Exchange Carrier Association, Inc., Federal-State Joint Board on Universal Service</w:t>
      </w:r>
      <w:r w:rsidRPr="00C2088B">
        <w:t>, CC Docket Nos. 97-21, 96-45, Order, 15 FCC Rcd 22975, 22980, para. 13 (2000) (Commitment Adjustment Implementation Order).</w:t>
      </w:r>
    </w:p>
  </w:footnote>
  <w:footnote w:id="325">
    <w:p w14:paraId="63D4D50A" w14:textId="5CB79C97" w:rsidR="00434A8B" w:rsidRPr="00C2088B" w:rsidRDefault="00434A8B" w:rsidP="00EA2915">
      <w:pPr>
        <w:pStyle w:val="FootnoteTextA"/>
        <w:spacing w:after="120"/>
      </w:pPr>
      <w:r w:rsidRPr="00C2088B">
        <w:rPr>
          <w:rStyle w:val="FootnoteReference2"/>
        </w:rPr>
        <w:footnoteRef/>
      </w:r>
      <w:r w:rsidRPr="00C2088B">
        <w:t xml:space="preserve"> </w:t>
      </w:r>
      <w:r w:rsidRPr="00C2088B">
        <w:rPr>
          <w:i/>
        </w:rPr>
        <w:t>Id</w:t>
      </w:r>
      <w:r w:rsidRPr="00C2088B">
        <w:t xml:space="preserve">. at 22977, para. 4.  </w:t>
      </w:r>
      <w:r w:rsidRPr="004F322C">
        <w:rPr>
          <w:i/>
        </w:rPr>
        <w:t>See</w:t>
      </w:r>
      <w:r w:rsidRPr="00C2088B">
        <w:t xml:space="preserve"> </w:t>
      </w:r>
      <w:r w:rsidRPr="00C2088B">
        <w:rPr>
          <w:kern w:val="0"/>
        </w:rPr>
        <w:t>Schools and Libraries Universal Support Mechanism, CC Docket No. 02-6, Fifth Report and Order and Order, 19 FCC Rcd 15812, 15808, at paras. 10, 16 (2004) (</w:t>
      </w:r>
      <w:r w:rsidRPr="004F322C">
        <w:rPr>
          <w:i/>
          <w:kern w:val="0"/>
        </w:rPr>
        <w:t>Schools and Libraries Fifth Report and Order</w:t>
      </w:r>
      <w:r w:rsidRPr="00C2088B">
        <w:rPr>
          <w:kern w:val="0"/>
        </w:rPr>
        <w:t xml:space="preserve">). </w:t>
      </w:r>
    </w:p>
  </w:footnote>
  <w:footnote w:id="326">
    <w:p w14:paraId="76FDC21D" w14:textId="77777777" w:rsidR="00434A8B" w:rsidRPr="00C2088B" w:rsidRDefault="00434A8B" w:rsidP="00EA2915">
      <w:pPr>
        <w:pStyle w:val="FootnoteTextA"/>
        <w:spacing w:after="120"/>
      </w:pPr>
      <w:r w:rsidRPr="00C2088B">
        <w:rPr>
          <w:rStyle w:val="FootnoteReference2"/>
        </w:rPr>
        <w:footnoteRef/>
      </w:r>
      <w:r w:rsidRPr="00C2088B">
        <w:t xml:space="preserve"> </w:t>
      </w:r>
      <w:r w:rsidRPr="004118B5">
        <w:rPr>
          <w:i/>
        </w:rPr>
        <w:t>Id.</w:t>
      </w:r>
      <w:r w:rsidRPr="00C2088B">
        <w:t xml:space="preserve"> at 15815-16, para. 21; </w:t>
      </w:r>
      <w:r w:rsidRPr="00C2088B">
        <w:rPr>
          <w:i/>
        </w:rPr>
        <w:t>Request</w:t>
      </w:r>
      <w:r w:rsidRPr="00C2088B">
        <w:t xml:space="preserve"> </w:t>
      </w:r>
      <w:r w:rsidRPr="00C2088B">
        <w:rPr>
          <w:i/>
        </w:rPr>
        <w:t>for Review by Mastermind Internet Services, Inc., Federal-State Joint Board on Universal Service, Changes to the Board of Directors of the National Exchange Carrier Association, Inc</w:t>
      </w:r>
      <w:r w:rsidRPr="00C2088B">
        <w:t>., CC Docket No. 96-45, Order, 16 FCC Rcd 4028 (2000).</w:t>
      </w:r>
    </w:p>
  </w:footnote>
  <w:footnote w:id="327">
    <w:p w14:paraId="000CB871" w14:textId="37EB3C7A" w:rsidR="00434A8B" w:rsidRPr="00C2088B" w:rsidRDefault="00434A8B" w:rsidP="00EA2915">
      <w:pPr>
        <w:pStyle w:val="FootnoteTextA"/>
        <w:spacing w:after="120"/>
      </w:pPr>
      <w:r w:rsidRPr="00C2088B">
        <w:rPr>
          <w:rStyle w:val="FootnoteReference2"/>
        </w:rPr>
        <w:footnoteRef/>
      </w:r>
      <w:r w:rsidRPr="00C2088B">
        <w:t xml:space="preserve"> </w:t>
      </w:r>
      <w:r w:rsidRPr="00C2088B">
        <w:rPr>
          <w:i/>
          <w:kern w:val="0"/>
        </w:rPr>
        <w:t>Schools and Libraries Fifth Report and Order</w:t>
      </w:r>
      <w:r w:rsidRPr="00C2088B">
        <w:rPr>
          <w:kern w:val="0"/>
        </w:rPr>
        <w:t>, 19 FCC Rcd</w:t>
      </w:r>
      <w:r w:rsidRPr="00C2088B" w:rsidDel="004B768B">
        <w:t xml:space="preserve"> </w:t>
      </w:r>
      <w:r w:rsidRPr="00C2088B">
        <w:t>at 15816, para. 22.</w:t>
      </w:r>
    </w:p>
  </w:footnote>
  <w:footnote w:id="328">
    <w:p w14:paraId="030C7BBB" w14:textId="68B8DD23" w:rsidR="00434A8B" w:rsidRPr="00C2088B" w:rsidRDefault="00434A8B" w:rsidP="00EA2915">
      <w:pPr>
        <w:pStyle w:val="FootnoteText"/>
      </w:pPr>
      <w:r w:rsidRPr="00C2088B">
        <w:rPr>
          <w:rStyle w:val="FootnoteReference1"/>
        </w:rPr>
        <w:footnoteRef/>
      </w:r>
      <w:r w:rsidRPr="00C2088B">
        <w:t xml:space="preserve"> </w:t>
      </w:r>
      <w:r w:rsidRPr="00C2088B">
        <w:rPr>
          <w:i/>
        </w:rPr>
        <w:t>Id.</w:t>
      </w:r>
      <w:r w:rsidRPr="00C2088B">
        <w:t xml:space="preserve"> at 15815, 15816, 15817, paras. 19, 25, 27.</w:t>
      </w:r>
    </w:p>
  </w:footnote>
  <w:footnote w:id="329">
    <w:p w14:paraId="10F35CA6" w14:textId="55EBB87A" w:rsidR="00434A8B" w:rsidRPr="00C2088B" w:rsidRDefault="00434A8B" w:rsidP="00755F2D">
      <w:pPr>
        <w:pStyle w:val="FootnoteText"/>
      </w:pPr>
      <w:r w:rsidRPr="00C2088B">
        <w:rPr>
          <w:rStyle w:val="FootnoteReference"/>
          <w:sz w:val="20"/>
        </w:rPr>
        <w:footnoteRef/>
      </w:r>
      <w:r w:rsidRPr="00C2088B">
        <w:t xml:space="preserve"> </w:t>
      </w:r>
      <w:r w:rsidRPr="00C2088B">
        <w:rPr>
          <w:i/>
        </w:rPr>
        <w:t xml:space="preserve">See </w:t>
      </w:r>
      <w:r w:rsidRPr="00C2088B">
        <w:t>31 U.S.C. § 3701(b)(1)(C).</w:t>
      </w:r>
    </w:p>
  </w:footnote>
  <w:footnote w:id="330">
    <w:p w14:paraId="633617C6" w14:textId="0AFF22BA" w:rsidR="00434A8B" w:rsidRPr="00C2088B" w:rsidRDefault="00434A8B" w:rsidP="00A30BDC">
      <w:pPr>
        <w:pStyle w:val="FootnoteText"/>
      </w:pPr>
      <w:r w:rsidRPr="00C2088B">
        <w:rPr>
          <w:rStyle w:val="FootnoteReference"/>
          <w:sz w:val="20"/>
        </w:rPr>
        <w:footnoteRef/>
      </w:r>
      <w:r w:rsidRPr="00C2088B">
        <w:t xml:space="preserve"> </w:t>
      </w:r>
      <w:r w:rsidRPr="00C2088B">
        <w:rPr>
          <w:i/>
        </w:rPr>
        <w:t>See supra</w:t>
      </w:r>
      <w:r w:rsidRPr="00C2088B">
        <w:t xml:space="preserve"> paras. </w:t>
      </w:r>
      <w:r w:rsidRPr="00C2088B">
        <w:fldChar w:fldCharType="begin"/>
      </w:r>
      <w:r w:rsidRPr="00C2088B">
        <w:instrText xml:space="preserve"> REF _Ref360201235 \r \h  \* MERGEFORMAT </w:instrText>
      </w:r>
      <w:r w:rsidRPr="00C2088B">
        <w:fldChar w:fldCharType="separate"/>
      </w:r>
      <w:r w:rsidR="00A0395D">
        <w:t>62</w:t>
      </w:r>
      <w:r w:rsidRPr="00C2088B">
        <w:fldChar w:fldCharType="end"/>
      </w:r>
      <w:r w:rsidRPr="00C2088B">
        <w:t>-</w:t>
      </w:r>
      <w:r w:rsidRPr="00C2088B">
        <w:fldChar w:fldCharType="begin"/>
      </w:r>
      <w:r w:rsidRPr="00C2088B">
        <w:instrText xml:space="preserve"> REF _Ref361216677 \r \h  \* MERGEFORMAT </w:instrText>
      </w:r>
      <w:r w:rsidRPr="00C2088B">
        <w:fldChar w:fldCharType="separate"/>
      </w:r>
      <w:r w:rsidR="00A0395D">
        <w:t>63</w:t>
      </w:r>
      <w:r w:rsidRPr="00C2088B">
        <w:fldChar w:fldCharType="end"/>
      </w:r>
      <w:r w:rsidRPr="00C2088B">
        <w:t>.</w:t>
      </w:r>
    </w:p>
  </w:footnote>
  <w:footnote w:id="331">
    <w:p w14:paraId="4ADF005F" w14:textId="3BAA0450" w:rsidR="00434A8B" w:rsidRPr="00C2088B" w:rsidRDefault="00434A8B">
      <w:pPr>
        <w:pStyle w:val="FootnoteText"/>
      </w:pPr>
      <w:r w:rsidRPr="00C2088B">
        <w:rPr>
          <w:rStyle w:val="FootnoteReference"/>
          <w:sz w:val="20"/>
        </w:rPr>
        <w:footnoteRef/>
      </w:r>
      <w:r w:rsidRPr="00C2088B">
        <w:t xml:space="preserve"> </w:t>
      </w:r>
      <w:r w:rsidRPr="00C2088B">
        <w:rPr>
          <w:i/>
        </w:rPr>
        <w:t>See</w:t>
      </w:r>
      <w:r w:rsidRPr="00C2088B">
        <w:t xml:space="preserve"> </w:t>
      </w:r>
      <w:r>
        <w:rPr>
          <w:i/>
        </w:rPr>
        <w:t xml:space="preserve">infra </w:t>
      </w:r>
      <w:r>
        <w:t>Appendix C,</w:t>
      </w:r>
      <w:r w:rsidRPr="00C2088B" w:rsidDel="00227056">
        <w:t xml:space="preserve"> </w:t>
      </w:r>
      <w:r>
        <w:t xml:space="preserve">Funding Requested vs. Available and Disbursed </w:t>
      </w:r>
      <w:r w:rsidRPr="00C2088B">
        <w:t>(FY 1998 – 2011).</w:t>
      </w:r>
    </w:p>
  </w:footnote>
  <w:footnote w:id="332">
    <w:p w14:paraId="681E1779" w14:textId="12182E1B" w:rsidR="00434A8B" w:rsidRPr="00C2088B" w:rsidRDefault="00434A8B" w:rsidP="00A30BDC">
      <w:pPr>
        <w:pStyle w:val="FootnoteText"/>
      </w:pPr>
      <w:r w:rsidRPr="00C2088B">
        <w:rPr>
          <w:rStyle w:val="FootnoteReference"/>
          <w:sz w:val="20"/>
        </w:rPr>
        <w:footnoteRef/>
      </w:r>
      <w:r w:rsidRPr="00C2088B">
        <w:t xml:space="preserve"> </w:t>
      </w:r>
      <w:r w:rsidRPr="00C2088B">
        <w:rPr>
          <w:i/>
        </w:rPr>
        <w:t xml:space="preserve">See </w:t>
      </w:r>
      <w:r>
        <w:rPr>
          <w:i/>
        </w:rPr>
        <w:t xml:space="preserve">Schools and Libraries </w:t>
      </w:r>
      <w:r w:rsidRPr="00C2088B">
        <w:rPr>
          <w:i/>
        </w:rPr>
        <w:t>Third Report and Order</w:t>
      </w:r>
      <w:r w:rsidRPr="00C2088B">
        <w:t xml:space="preserve">, 18 FCC Rcd at 26935, para. 55; </w:t>
      </w:r>
      <w:r w:rsidRPr="00C2088B">
        <w:rPr>
          <w:i/>
        </w:rPr>
        <w:t>see also Schools and Libraries Sixth Report and Order</w:t>
      </w:r>
      <w:r w:rsidRPr="00C2088B">
        <w:t>, 25 FCC Rcd at 18780, paras. 34-40; 47 C.F.R. § 54.507(a)(3).</w:t>
      </w:r>
    </w:p>
  </w:footnote>
  <w:footnote w:id="333">
    <w:p w14:paraId="3DA1BB1E" w14:textId="5054BBD1" w:rsidR="00434A8B" w:rsidRPr="00C2088B" w:rsidRDefault="00434A8B">
      <w:pPr>
        <w:pStyle w:val="FootnoteText"/>
      </w:pPr>
      <w:r w:rsidRPr="00C2088B">
        <w:rPr>
          <w:rStyle w:val="FootnoteReference"/>
          <w:sz w:val="20"/>
        </w:rPr>
        <w:footnoteRef/>
      </w:r>
      <w:r w:rsidRPr="00C2088B">
        <w:t xml:space="preserve"> </w:t>
      </w:r>
      <w:r w:rsidRPr="00C2088B">
        <w:rPr>
          <w:i/>
          <w:iCs/>
          <w:snapToGrid w:val="0"/>
          <w:kern w:val="28"/>
        </w:rPr>
        <w:t xml:space="preserve">See </w:t>
      </w:r>
      <w:hyperlink r:id="rId76" w:tgtFrame="_top" w:history="1">
        <w:r w:rsidRPr="00C2088B">
          <w:rPr>
            <w:i/>
            <w:iCs/>
            <w:snapToGrid w:val="0"/>
            <w:kern w:val="28"/>
          </w:rPr>
          <w:t>Federal-State Joint Board on Universal Service</w:t>
        </w:r>
        <w:r w:rsidRPr="00C2088B">
          <w:rPr>
            <w:snapToGrid w:val="0"/>
            <w:kern w:val="28"/>
          </w:rPr>
          <w:t xml:space="preserve">, CC Docket No. 96-45, Report and Order, 16 FCC Rcd 13510 </w:t>
        </w:r>
      </w:hyperlink>
      <w:r w:rsidRPr="00C2088B">
        <w:rPr>
          <w:snapToGrid w:val="0"/>
          <w:kern w:val="28"/>
        </w:rPr>
        <w:t xml:space="preserve">(2001); </w:t>
      </w:r>
      <w:r w:rsidRPr="00C2088B">
        <w:rPr>
          <w:i/>
          <w:iCs/>
          <w:snapToGrid w:val="0"/>
          <w:kern w:val="28"/>
        </w:rPr>
        <w:t xml:space="preserve">see also </w:t>
      </w:r>
      <w:r w:rsidRPr="00C2088B">
        <w:rPr>
          <w:snapToGrid w:val="0"/>
          <w:kern w:val="28"/>
        </w:rPr>
        <w:t>47 C.F.R. § 54.507(d).</w:t>
      </w:r>
    </w:p>
  </w:footnote>
  <w:footnote w:id="334">
    <w:p w14:paraId="313ABFE6" w14:textId="30D05B52" w:rsidR="00434A8B" w:rsidRPr="00C2088B" w:rsidRDefault="00434A8B">
      <w:pPr>
        <w:pStyle w:val="FootnoteText"/>
      </w:pPr>
      <w:r w:rsidRPr="00C2088B">
        <w:rPr>
          <w:rStyle w:val="FootnoteReference"/>
          <w:sz w:val="20"/>
        </w:rPr>
        <w:footnoteRef/>
      </w:r>
      <w:r w:rsidRPr="00C2088B">
        <w:t xml:space="preserve"> </w:t>
      </w:r>
      <w:r w:rsidRPr="00C2088B">
        <w:rPr>
          <w:i/>
        </w:rPr>
        <w:t>See, e.g</w:t>
      </w:r>
      <w:r w:rsidRPr="00C2088B">
        <w:t xml:space="preserve">., USAC, Schools and Libraries, Schools and Libraries News Brief, Sept. 14, 2012, </w:t>
      </w:r>
      <w:r w:rsidRPr="00C2088B">
        <w:rPr>
          <w:i/>
        </w:rPr>
        <w:t xml:space="preserve">available at </w:t>
      </w:r>
      <w:hyperlink r:id="rId77" w:history="1">
        <w:r w:rsidRPr="00C2088B">
          <w:rPr>
            <w:rStyle w:val="Hyperlink"/>
          </w:rPr>
          <w:t>http://www.usac.org/sl/tools/news-briefs/preview.aspx?id=447</w:t>
        </w:r>
      </w:hyperlink>
      <w:r w:rsidRPr="00C2088B">
        <w:t xml:space="preserve"> (last visited July 15, 2013). </w:t>
      </w:r>
    </w:p>
  </w:footnote>
  <w:footnote w:id="335">
    <w:p w14:paraId="35E0AE66" w14:textId="6308C3A5" w:rsidR="00434A8B" w:rsidRPr="00C2088B" w:rsidRDefault="00434A8B">
      <w:pPr>
        <w:pStyle w:val="FootnoteText"/>
      </w:pPr>
      <w:r w:rsidRPr="00C2088B">
        <w:rPr>
          <w:rStyle w:val="FootnoteReference"/>
          <w:sz w:val="20"/>
        </w:rPr>
        <w:footnoteRef/>
      </w:r>
      <w:r w:rsidRPr="00C2088B">
        <w:t xml:space="preserve"> </w:t>
      </w:r>
      <w:r w:rsidRPr="00C2088B">
        <w:rPr>
          <w:i/>
        </w:rPr>
        <w:t>See</w:t>
      </w:r>
      <w:r w:rsidRPr="00C2088B">
        <w:t xml:space="preserve"> Universal Service for Schools and Libraries Adjustment to Funding Commitment and Modification to Receipt of Service Confirmation Form, FCC Form 500, OMB 3060-0853, </w:t>
      </w:r>
      <w:r w:rsidRPr="00C2088B">
        <w:rPr>
          <w:i/>
        </w:rPr>
        <w:t xml:space="preserve">available at </w:t>
      </w:r>
      <w:hyperlink r:id="rId78" w:history="1">
        <w:r w:rsidRPr="00C2088B">
          <w:rPr>
            <w:rStyle w:val="Hyperlink"/>
          </w:rPr>
          <w:t>http://www.usac.org/_res/documents/sl/pdf/forms/500.PDF</w:t>
        </w:r>
      </w:hyperlink>
      <w:r w:rsidRPr="00C2088B">
        <w:t xml:space="preserve"> (April 2007) (last visited July 15, 2013).</w:t>
      </w:r>
    </w:p>
  </w:footnote>
  <w:footnote w:id="336">
    <w:p w14:paraId="078F62B7" w14:textId="77777777" w:rsidR="00434A8B" w:rsidRPr="00C2088B" w:rsidRDefault="00434A8B">
      <w:pPr>
        <w:pStyle w:val="FootnoteText"/>
      </w:pPr>
      <w:r w:rsidRPr="00C2088B">
        <w:rPr>
          <w:rStyle w:val="FootnoteReference"/>
          <w:sz w:val="20"/>
        </w:rPr>
        <w:footnoteRef/>
      </w:r>
      <w:r w:rsidRPr="00C2088B">
        <w:t xml:space="preserve"> </w:t>
      </w:r>
      <w:r w:rsidRPr="00C2088B">
        <w:rPr>
          <w:i/>
        </w:rPr>
        <w:t>See</w:t>
      </w:r>
      <w:r w:rsidRPr="00C2088B">
        <w:t xml:space="preserve"> FCC Form 474, Service Provider Invoice (SPI) Form. </w:t>
      </w:r>
    </w:p>
  </w:footnote>
  <w:footnote w:id="337">
    <w:p w14:paraId="22CAA9EC" w14:textId="77777777" w:rsidR="00434A8B" w:rsidRPr="00C2088B" w:rsidRDefault="00434A8B">
      <w:pPr>
        <w:pStyle w:val="FootnoteText"/>
      </w:pPr>
      <w:r w:rsidRPr="00C2088B">
        <w:rPr>
          <w:rStyle w:val="FootnoteReference"/>
          <w:sz w:val="20"/>
        </w:rPr>
        <w:footnoteRef/>
      </w:r>
      <w:r w:rsidRPr="00C2088B">
        <w:rPr>
          <w:i/>
        </w:rPr>
        <w:t xml:space="preserve"> See Schools and Libraries Universal Service Support Mechanism</w:t>
      </w:r>
      <w:r w:rsidRPr="00C2088B">
        <w:t xml:space="preserve">, CC Docket No. 02-6, Notice of Proposed Rulemaking, 17 FCC Rcd 1914, 1919, para. 9.  </w:t>
      </w:r>
      <w:r w:rsidRPr="00C2088B">
        <w:rPr>
          <w:i/>
        </w:rPr>
        <w:t>See also Schools and Libraries Second Report and Order</w:t>
      </w:r>
      <w:r w:rsidRPr="00C2088B">
        <w:t xml:space="preserve">, 18 FCC Rcd at 9217, para. 42.  We note that service providers reimbursing billed entities via the BEAR process must remit the discount amount authorized by USAC to the billed entity within 20 days of receiving the reimbursement payment from USAC.  </w:t>
      </w:r>
      <w:r w:rsidRPr="00C2088B">
        <w:rPr>
          <w:i/>
        </w:rPr>
        <w:t>See</w:t>
      </w:r>
      <w:r w:rsidRPr="00C2088B">
        <w:t xml:space="preserve"> 47 C.F.R. § 54.514 (a); </w:t>
      </w:r>
      <w:r w:rsidRPr="00C2088B">
        <w:rPr>
          <w:i/>
        </w:rPr>
        <w:t>Schools and Libraries Second Report and Order</w:t>
      </w:r>
      <w:r w:rsidRPr="00C2088B">
        <w:t>, 18 FCC Rcd at 9219, para. 51.</w:t>
      </w:r>
    </w:p>
  </w:footnote>
  <w:footnote w:id="338">
    <w:p w14:paraId="53E5995A" w14:textId="4E907B15" w:rsidR="00434A8B" w:rsidRPr="00C2088B" w:rsidRDefault="00434A8B">
      <w:pPr>
        <w:pStyle w:val="FootnoteText"/>
      </w:pPr>
      <w:r w:rsidRPr="00C2088B">
        <w:rPr>
          <w:rStyle w:val="FootnoteReference"/>
          <w:sz w:val="20"/>
        </w:rPr>
        <w:footnoteRef/>
      </w:r>
      <w:r w:rsidRPr="004F322C">
        <w:t xml:space="preserve"> </w:t>
      </w:r>
      <w:r w:rsidRPr="00C2088B">
        <w:rPr>
          <w:i/>
        </w:rPr>
        <w:t>Universal Service First Report and Order</w:t>
      </w:r>
      <w:r w:rsidRPr="00C2088B">
        <w:t xml:space="preserve">, 12 FCC Rcd at 9083, para. 586. </w:t>
      </w:r>
    </w:p>
  </w:footnote>
  <w:footnote w:id="339">
    <w:p w14:paraId="648E39FE" w14:textId="6105B33E" w:rsidR="00434A8B" w:rsidRPr="00C2088B" w:rsidRDefault="00434A8B">
      <w:pPr>
        <w:pStyle w:val="FootnoteText"/>
      </w:pPr>
      <w:r w:rsidRPr="00C2088B">
        <w:rPr>
          <w:rStyle w:val="FootnoteReference"/>
          <w:sz w:val="20"/>
        </w:rPr>
        <w:footnoteRef/>
      </w:r>
      <w:r w:rsidRPr="00C2088B">
        <w:t xml:space="preserve"> 47 U.S.C. §§ 254(h)(1)(B)(i)-(ii); </w:t>
      </w:r>
      <w:r w:rsidRPr="00C2088B">
        <w:rPr>
          <w:i/>
        </w:rPr>
        <w:t>Universal Service First Report and Order</w:t>
      </w:r>
      <w:r w:rsidRPr="00C2088B">
        <w:t>, 12 FCC Rcd at 9083, para. 586.</w:t>
      </w:r>
    </w:p>
  </w:footnote>
  <w:footnote w:id="340">
    <w:p w14:paraId="3F53A9C1" w14:textId="32BA3148" w:rsidR="00434A8B" w:rsidRPr="00C2088B" w:rsidRDefault="00434A8B">
      <w:pPr>
        <w:pStyle w:val="FootnoteText"/>
      </w:pPr>
      <w:r w:rsidRPr="00C2088B">
        <w:rPr>
          <w:rStyle w:val="FootnoteReference"/>
          <w:sz w:val="20"/>
        </w:rPr>
        <w:footnoteRef/>
      </w:r>
      <w:r w:rsidRPr="00C2088B">
        <w:t xml:space="preserve"> </w:t>
      </w:r>
      <w:r w:rsidRPr="00C2088B">
        <w:rPr>
          <w:i/>
        </w:rPr>
        <w:t>Universal Service First Report and Order</w:t>
      </w:r>
      <w:r w:rsidRPr="00C2088B">
        <w:t>, 12 FCC Rcd at 9083, para. 586.</w:t>
      </w:r>
    </w:p>
  </w:footnote>
  <w:footnote w:id="341">
    <w:p w14:paraId="07A41AD9" w14:textId="70529464" w:rsidR="00434A8B" w:rsidRPr="00C2088B" w:rsidRDefault="00434A8B" w:rsidP="003737B6">
      <w:pPr>
        <w:pStyle w:val="FootnoteText"/>
      </w:pPr>
      <w:r w:rsidRPr="00C2088B">
        <w:rPr>
          <w:rStyle w:val="FootnoteReference"/>
          <w:sz w:val="20"/>
        </w:rPr>
        <w:footnoteRef/>
      </w:r>
      <w:r w:rsidRPr="00C2088B">
        <w:t xml:space="preserve"> </w:t>
      </w:r>
      <w:r w:rsidRPr="00C2088B">
        <w:rPr>
          <w:i/>
        </w:rPr>
        <w:t>See Texas Office of Public Utility Counsel v. FCC</w:t>
      </w:r>
      <w:r w:rsidRPr="00C2088B">
        <w:t xml:space="preserve">, 183 F.3d 393, 443-44 (1999) (holding that although section 254(h)(1)(B) is limited to providing support for telecommunications carriers, the court was  </w:t>
      </w:r>
      <w:r>
        <w:t>“</w:t>
      </w:r>
      <w:r w:rsidRPr="00C2088B">
        <w:t>convinced that Congress intended to allow the FCC broad authority to implement this section of the Act,</w:t>
      </w:r>
      <w:r>
        <w:t>”</w:t>
      </w:r>
      <w:r w:rsidRPr="00C2088B">
        <w:t xml:space="preserve"> and that the Commission thus had authority to provide support to non-carrier service providers pursuant to sections 4(i) and 254(h)(2)(A) of the Act).</w:t>
      </w:r>
    </w:p>
  </w:footnote>
  <w:footnote w:id="342">
    <w:p w14:paraId="3DA6A01E" w14:textId="77777777" w:rsidR="00434A8B" w:rsidRPr="00C2088B" w:rsidRDefault="00434A8B" w:rsidP="003737B6">
      <w:pPr>
        <w:pStyle w:val="FootnoteText"/>
      </w:pPr>
      <w:r w:rsidRPr="00C2088B">
        <w:rPr>
          <w:rStyle w:val="FootnoteReference"/>
          <w:sz w:val="20"/>
        </w:rPr>
        <w:footnoteRef/>
      </w:r>
      <w:r w:rsidRPr="00C2088B">
        <w:t xml:space="preserve"> </w:t>
      </w:r>
      <w:r w:rsidRPr="00C2088B">
        <w:rPr>
          <w:i/>
        </w:rPr>
        <w:t>See</w:t>
      </w:r>
      <w:r w:rsidRPr="00C2088B">
        <w:t xml:space="preserve"> FCC Form 472, Billed Entity Applicant Reimbursement (BEAR) Form.  </w:t>
      </w:r>
    </w:p>
  </w:footnote>
  <w:footnote w:id="343">
    <w:p w14:paraId="3C597BF6" w14:textId="77777777" w:rsidR="00434A8B" w:rsidRPr="00C2088B" w:rsidRDefault="00434A8B" w:rsidP="003737B6">
      <w:pPr>
        <w:pStyle w:val="FootnoteText"/>
      </w:pPr>
      <w:r w:rsidRPr="00C2088B">
        <w:rPr>
          <w:rStyle w:val="FootnoteReference"/>
          <w:sz w:val="20"/>
        </w:rPr>
        <w:footnoteRef/>
      </w:r>
      <w:r w:rsidRPr="00C2088B">
        <w:t xml:space="preserve"> </w:t>
      </w:r>
      <w:r w:rsidRPr="00C2088B">
        <w:rPr>
          <w:i/>
        </w:rPr>
        <w:t>Id.</w:t>
      </w:r>
    </w:p>
  </w:footnote>
  <w:footnote w:id="344">
    <w:p w14:paraId="3A980333" w14:textId="716F504A" w:rsidR="00434A8B" w:rsidRPr="00C2088B" w:rsidRDefault="00434A8B">
      <w:pPr>
        <w:pStyle w:val="FootnoteText"/>
      </w:pPr>
      <w:r w:rsidRPr="00C2088B">
        <w:rPr>
          <w:rStyle w:val="FootnoteReference"/>
          <w:sz w:val="20"/>
        </w:rPr>
        <w:footnoteRef/>
      </w:r>
      <w:r w:rsidRPr="00C2088B">
        <w:t xml:space="preserve"> While striving to improve administrative efficiency, we acknowledge the importance of encouraging compliance with the various requirements of the E-rate program when submitting forms to USAC.  </w:t>
      </w:r>
      <w:r w:rsidRPr="00C2088B">
        <w:rPr>
          <w:i/>
        </w:rPr>
        <w:t>See infra</w:t>
      </w:r>
      <w:r w:rsidRPr="00C2088B">
        <w:t xml:space="preserve"> </w:t>
      </w:r>
      <w:r w:rsidRPr="00C2088B">
        <w:fldChar w:fldCharType="begin"/>
      </w:r>
      <w:r w:rsidRPr="00C2088B">
        <w:instrText xml:space="preserve"> REF _Ref358989658 \h  \* MERGEFORMAT </w:instrText>
      </w:r>
      <w:r w:rsidRPr="00C2088B">
        <w:fldChar w:fldCharType="separate"/>
      </w:r>
      <w:r w:rsidR="00A0395D" w:rsidRPr="00B4386B">
        <w:t>E-rate FCC Form Certification Requirements</w:t>
      </w:r>
      <w:r w:rsidRPr="00C2088B">
        <w:fldChar w:fldCharType="end"/>
      </w:r>
      <w:r w:rsidRPr="00C2088B">
        <w:t xml:space="preserve"> at paras. </w:t>
      </w:r>
      <w:r w:rsidRPr="00C2088B">
        <w:fldChar w:fldCharType="begin"/>
      </w:r>
      <w:r w:rsidRPr="00C2088B">
        <w:instrText xml:space="preserve"> REF _Ref358989712 \r \h  \* MERGEFORMAT </w:instrText>
      </w:r>
      <w:r w:rsidRPr="00C2088B">
        <w:fldChar w:fldCharType="separate"/>
      </w:r>
      <w:r w:rsidR="00A0395D">
        <w:t>299</w:t>
      </w:r>
      <w:r w:rsidRPr="00C2088B">
        <w:fldChar w:fldCharType="end"/>
      </w:r>
      <w:r w:rsidRPr="00C2088B">
        <w:t>-</w:t>
      </w:r>
      <w:r w:rsidR="00F415CF">
        <w:fldChar w:fldCharType="begin"/>
      </w:r>
      <w:r w:rsidR="00F415CF">
        <w:instrText xml:space="preserve"> REF _Ref362341148 \r \h </w:instrText>
      </w:r>
      <w:r w:rsidR="00F415CF">
        <w:fldChar w:fldCharType="separate"/>
      </w:r>
      <w:r w:rsidR="00A0395D">
        <w:t>300</w:t>
      </w:r>
      <w:r w:rsidR="00F415CF">
        <w:fldChar w:fldCharType="end"/>
      </w:r>
      <w:r w:rsidRPr="00C2088B">
        <w:t>.</w:t>
      </w:r>
    </w:p>
  </w:footnote>
  <w:footnote w:id="345">
    <w:p w14:paraId="511A6B35" w14:textId="41C4086F" w:rsidR="00434A8B" w:rsidRPr="00C2088B" w:rsidRDefault="00434A8B">
      <w:pPr>
        <w:pStyle w:val="FootnoteText"/>
      </w:pPr>
      <w:r w:rsidRPr="00C2088B">
        <w:rPr>
          <w:rStyle w:val="FootnoteReference"/>
          <w:sz w:val="20"/>
        </w:rPr>
        <w:footnoteRef/>
      </w:r>
      <w:r w:rsidRPr="00C2088B">
        <w:t xml:space="preserve"> </w:t>
      </w:r>
      <w:r w:rsidRPr="00C2088B">
        <w:rPr>
          <w:i/>
        </w:rPr>
        <w:t>See</w:t>
      </w:r>
      <w:r w:rsidRPr="00C2088B">
        <w:t xml:space="preserve"> U.S. Gov't Accountability Office, GAO-11-11, Telecommunications: Improved Management Can Enhance FCC Decision Making for the Universal Service Fund Low-Income Program (2010).</w:t>
      </w:r>
    </w:p>
  </w:footnote>
  <w:footnote w:id="346">
    <w:p w14:paraId="4FF556C5" w14:textId="2EE9F016" w:rsidR="00434A8B" w:rsidRPr="00C2088B" w:rsidRDefault="00434A8B" w:rsidP="00790403">
      <w:pPr>
        <w:pStyle w:val="FootnoteText"/>
      </w:pPr>
      <w:r w:rsidRPr="00C2088B">
        <w:rPr>
          <w:rStyle w:val="FootnoteReference"/>
          <w:sz w:val="20"/>
        </w:rPr>
        <w:footnoteRef/>
      </w:r>
      <w:r w:rsidRPr="00C2088B">
        <w:rPr>
          <w:i/>
        </w:rPr>
        <w:t xml:space="preserve"> </w:t>
      </w:r>
      <w:r w:rsidRPr="00C2088B">
        <w:t xml:space="preserve">The invoice deadline is not established by a Commission rule; rather, it is established by USAC in accordance with its administrative authority.  </w:t>
      </w:r>
      <w:r w:rsidRPr="00C2088B">
        <w:rPr>
          <w:i/>
        </w:rPr>
        <w:t xml:space="preserve">See </w:t>
      </w:r>
      <w:r w:rsidRPr="00C2088B">
        <w:t>47 C.F.R. § 54.702(b);</w:t>
      </w:r>
      <w:r w:rsidRPr="00C2088B">
        <w:rPr>
          <w:i/>
        </w:rPr>
        <w:t xml:space="preserve"> see generally</w:t>
      </w:r>
      <w:r w:rsidRPr="00C2088B">
        <w:t xml:space="preserve">, USAC, Schools and Libraries News Archives, </w:t>
      </w:r>
      <w:r w:rsidRPr="00C2088B">
        <w:rPr>
          <w:i/>
        </w:rPr>
        <w:t>available at</w:t>
      </w:r>
      <w:r w:rsidRPr="00C2088B">
        <w:t xml:space="preserve"> </w:t>
      </w:r>
      <w:hyperlink r:id="rId79" w:history="1">
        <w:r w:rsidRPr="00C2088B">
          <w:rPr>
            <w:rStyle w:val="Hyperlink"/>
          </w:rPr>
          <w:t>http://www.sl.universalservice.org/whatsnew/default.asp</w:t>
        </w:r>
      </w:hyperlink>
      <w:r w:rsidRPr="00C2088B">
        <w:t xml:space="preserve"> (last visited July 5, 2013).  For the 1998-1999 funding year, the invoice deadline was March 28, 2000.  </w:t>
      </w:r>
      <w:r w:rsidRPr="00C2088B">
        <w:rPr>
          <w:i/>
        </w:rPr>
        <w:t>See</w:t>
      </w:r>
      <w:r w:rsidRPr="00C2088B">
        <w:t xml:space="preserve"> USAC, February 2000 Announcements, Final Payment Date for Year 1 Invoices Approaches, </w:t>
      </w:r>
      <w:r w:rsidRPr="00C2088B">
        <w:rPr>
          <w:i/>
        </w:rPr>
        <w:t>available at</w:t>
      </w:r>
      <w:r w:rsidRPr="00C2088B">
        <w:t xml:space="preserve"> </w:t>
      </w:r>
      <w:hyperlink r:id="rId80" w:anchor="yr1inv" w:history="1">
        <w:r w:rsidRPr="00C2088B">
          <w:rPr>
            <w:rStyle w:val="Hyperlink"/>
          </w:rPr>
          <w:t>http://www.sl.universalservice.org/whatsnew/2000/022000.asp#yr1inv</w:t>
        </w:r>
      </w:hyperlink>
      <w:r w:rsidRPr="00C2088B">
        <w:t xml:space="preserve"> (last visited  July 5, 2013).  For the 1999-2000 funding year, the invoice deadline was November 20, 2000.  </w:t>
      </w:r>
      <w:r w:rsidRPr="00C2088B">
        <w:rPr>
          <w:i/>
        </w:rPr>
        <w:t>See</w:t>
      </w:r>
      <w:r w:rsidRPr="00C2088B">
        <w:t xml:space="preserve"> USAC, October 2000 Announcements, Reminder of November 20 Deadline for Submitting BEAR Forms and Service Provider Invoices for Year 2, </w:t>
      </w:r>
      <w:r w:rsidRPr="00C2088B">
        <w:rPr>
          <w:i/>
        </w:rPr>
        <w:t>available at</w:t>
      </w:r>
      <w:r w:rsidRPr="00C2088B">
        <w:t xml:space="preserve"> </w:t>
      </w:r>
      <w:hyperlink r:id="rId81" w:history="1">
        <w:r w:rsidRPr="00C2088B">
          <w:rPr>
            <w:rStyle w:val="Hyperlink"/>
          </w:rPr>
          <w:t>http://www.sl.universalservice.org/whatsnew/2000/102000.asp</w:t>
        </w:r>
      </w:hyperlink>
      <w:r w:rsidRPr="00C2088B">
        <w:t xml:space="preserve"> </w:t>
      </w:r>
      <w:hyperlink w:history="1"/>
      <w:r w:rsidRPr="00C2088B">
        <w:t xml:space="preserve">(last visited July 5, 2013).  For the 2000-2001 funding year, the invoice deadline was January 31, 2002 or no later than 90 days after the date of the FCC Form 486 NL to the service provider.  </w:t>
      </w:r>
      <w:r w:rsidRPr="00C2088B">
        <w:rPr>
          <w:i/>
        </w:rPr>
        <w:t>See</w:t>
      </w:r>
      <w:r w:rsidRPr="00C2088B">
        <w:t xml:space="preserve"> USAC, Funding Year 3 Disbursement Closeout Process, </w:t>
      </w:r>
      <w:r w:rsidRPr="00C2088B">
        <w:rPr>
          <w:i/>
        </w:rPr>
        <w:t xml:space="preserve">available at </w:t>
      </w:r>
      <w:hyperlink r:id="rId82" w:history="1">
        <w:r w:rsidRPr="00C2088B">
          <w:rPr>
            <w:rStyle w:val="Hyperlink"/>
          </w:rPr>
          <w:t>http://www.sl.universalservice.org/whatsnew/2001/112001.asp</w:t>
        </w:r>
      </w:hyperlink>
      <w:r w:rsidRPr="00C2088B">
        <w:t xml:space="preserve"> (last visited July 5, 2013)</w:t>
      </w:r>
      <w:r w:rsidRPr="00C2088B">
        <w:rPr>
          <w:i/>
        </w:rPr>
        <w:t xml:space="preserve">. </w:t>
      </w:r>
      <w:r w:rsidRPr="00C2088B">
        <w:t xml:space="preserve"> For the 2001-2002 funding year, the invoice deadline was December 9, 2002.  </w:t>
      </w:r>
      <w:r w:rsidRPr="00C2088B">
        <w:rPr>
          <w:i/>
        </w:rPr>
        <w:t xml:space="preserve">See </w:t>
      </w:r>
      <w:r w:rsidRPr="00C2088B">
        <w:t xml:space="preserve">USAC, December 2002 Announcements, Deadline for Invoices for FY 2001Recurring Services, </w:t>
      </w:r>
      <w:r w:rsidRPr="00C2088B">
        <w:rPr>
          <w:i/>
        </w:rPr>
        <w:t xml:space="preserve">available at </w:t>
      </w:r>
      <w:hyperlink r:id="rId83" w:history="1">
        <w:r w:rsidRPr="00C2088B">
          <w:rPr>
            <w:rStyle w:val="Hyperlink"/>
          </w:rPr>
          <w:t>http://www.sl.universalservice.org/whatsnew/2002/122002.asp</w:t>
        </w:r>
      </w:hyperlink>
      <w:r w:rsidRPr="00C2088B">
        <w:t xml:space="preserve"> (last visited July 5, 2013)</w:t>
      </w:r>
      <w:r w:rsidRPr="00C2088B">
        <w:rPr>
          <w:i/>
        </w:rPr>
        <w:t>.</w:t>
      </w:r>
      <w:r w:rsidRPr="00C2088B">
        <w:t xml:space="preserve">  For the 2002-2003 funding year, the invoice deadline was December 31, 2002.  </w:t>
      </w:r>
      <w:r w:rsidRPr="00C2088B">
        <w:rPr>
          <w:i/>
        </w:rPr>
        <w:t xml:space="preserve">See </w:t>
      </w:r>
      <w:r w:rsidRPr="00C2088B">
        <w:t xml:space="preserve">USAC, October 2003 Announcements, Two October Deadlines for Certain Applicants, </w:t>
      </w:r>
      <w:r w:rsidRPr="00C2088B">
        <w:rPr>
          <w:i/>
        </w:rPr>
        <w:t>available at</w:t>
      </w:r>
      <w:r w:rsidRPr="00C2088B">
        <w:t xml:space="preserve"> </w:t>
      </w:r>
      <w:hyperlink r:id="rId84" w:history="1">
        <w:r w:rsidRPr="00C2088B">
          <w:rPr>
            <w:rStyle w:val="Hyperlink"/>
          </w:rPr>
          <w:t>http://www.sl.universalservice.org/whatsnew/2002/062002.asp</w:t>
        </w:r>
      </w:hyperlink>
      <w:r w:rsidRPr="00C2088B">
        <w:t xml:space="preserve"> (last visited July 5, 2013)</w:t>
      </w:r>
      <w:r w:rsidRPr="00C2088B">
        <w:rPr>
          <w:i/>
        </w:rPr>
        <w:t xml:space="preserve">. </w:t>
      </w:r>
      <w:r w:rsidRPr="00C2088B">
        <w:t xml:space="preserve"> </w:t>
      </w:r>
    </w:p>
  </w:footnote>
  <w:footnote w:id="347">
    <w:p w14:paraId="120EAB92" w14:textId="25555094" w:rsidR="00434A8B" w:rsidRPr="00C2088B" w:rsidRDefault="00434A8B" w:rsidP="00790403">
      <w:pPr>
        <w:pStyle w:val="FootnoteText"/>
      </w:pPr>
      <w:r w:rsidRPr="00C2088B">
        <w:rPr>
          <w:rStyle w:val="FootnoteReference"/>
          <w:sz w:val="20"/>
        </w:rPr>
        <w:footnoteRef/>
      </w:r>
      <w:r w:rsidRPr="00C2088B">
        <w:t xml:space="preserve"> </w:t>
      </w:r>
      <w:r w:rsidRPr="00C2088B">
        <w:rPr>
          <w:i/>
        </w:rPr>
        <w:t xml:space="preserve">See </w:t>
      </w:r>
      <w:r w:rsidRPr="00C2088B">
        <w:t xml:space="preserve">USAC, June 2002 Announcements, Invoicing Deadlines Extended, </w:t>
      </w:r>
      <w:r w:rsidRPr="00C2088B">
        <w:rPr>
          <w:i/>
        </w:rPr>
        <w:t xml:space="preserve">available at </w:t>
      </w:r>
      <w:r w:rsidRPr="00C2088B">
        <w:t>http://www.sl.universalservice.org/whatsnew/2002/062002.asp</w:t>
      </w:r>
      <w:r w:rsidRPr="004F322C">
        <w:rPr>
          <w:i/>
        </w:rPr>
        <w:t xml:space="preserve"> </w:t>
      </w:r>
      <w:r w:rsidRPr="00C2088B">
        <w:t xml:space="preserve">(last visited July 5, 2013).  We also note that, pursuant to the Commission’s rules, an </w:t>
      </w:r>
      <w:r w:rsidRPr="00C2088B">
        <w:rPr>
          <w:rStyle w:val="documentbody1"/>
          <w:rFonts w:ascii="Times New Roman" w:hAnsi="Times New Roman"/>
          <w:color w:val="000000"/>
          <w:sz w:val="20"/>
        </w:rPr>
        <w:t xml:space="preserve">extension of the deadline for non-recurring services is also available upon request.  </w:t>
      </w:r>
      <w:r w:rsidRPr="00C2088B">
        <w:rPr>
          <w:i/>
        </w:rPr>
        <w:t>See 2001 CIPA Order</w:t>
      </w:r>
      <w:r w:rsidRPr="00C2088B">
        <w:t>, 16 FCC Rcd at 13512-13515, paras. 10-18; 47 C.F.R. § 54.507(d).</w:t>
      </w:r>
    </w:p>
  </w:footnote>
  <w:footnote w:id="348">
    <w:p w14:paraId="57D8B802" w14:textId="222AB291" w:rsidR="00434A8B" w:rsidRPr="00C2088B" w:rsidRDefault="00434A8B" w:rsidP="00790403">
      <w:pPr>
        <w:pStyle w:val="FootnoteText"/>
      </w:pPr>
      <w:r w:rsidRPr="00C2088B">
        <w:rPr>
          <w:rStyle w:val="FootnoteReference"/>
          <w:sz w:val="20"/>
        </w:rPr>
        <w:footnoteRef/>
      </w:r>
      <w:r w:rsidRPr="00C2088B">
        <w:t xml:space="preserve"> </w:t>
      </w:r>
      <w:r w:rsidRPr="00C2088B">
        <w:rPr>
          <w:i/>
        </w:rPr>
        <w:t>Schools and Libraries Third Report and Order</w:t>
      </w:r>
      <w:r w:rsidRPr="00C2088B">
        <w:t>, 18 FCC Rcd at 26965-66, para 126.</w:t>
      </w:r>
    </w:p>
  </w:footnote>
  <w:footnote w:id="349">
    <w:p w14:paraId="301818DE" w14:textId="77777777" w:rsidR="00434A8B" w:rsidRPr="00C2088B" w:rsidRDefault="00434A8B" w:rsidP="005D3EFD">
      <w:pPr>
        <w:pStyle w:val="FootnoteText"/>
      </w:pPr>
      <w:r w:rsidRPr="00C2088B">
        <w:rPr>
          <w:rStyle w:val="FootnoteReference"/>
          <w:sz w:val="20"/>
        </w:rPr>
        <w:footnoteRef/>
      </w:r>
      <w:r w:rsidRPr="00C2088B">
        <w:t xml:space="preserve"> 47 U.S.C. § 254(h).</w:t>
      </w:r>
    </w:p>
  </w:footnote>
  <w:footnote w:id="350">
    <w:p w14:paraId="277EC4F5" w14:textId="6B7BCC23" w:rsidR="00434A8B" w:rsidRPr="00C2088B" w:rsidRDefault="00434A8B" w:rsidP="00E410CF">
      <w:pPr>
        <w:pStyle w:val="FootnoteText"/>
      </w:pPr>
      <w:r w:rsidRPr="00C2088B">
        <w:rPr>
          <w:rStyle w:val="FootnoteReference"/>
          <w:sz w:val="20"/>
        </w:rPr>
        <w:footnoteRef/>
      </w:r>
      <w:r w:rsidRPr="00C2088B">
        <w:t xml:space="preserve"> </w:t>
      </w:r>
      <w:r w:rsidRPr="00C2088B">
        <w:rPr>
          <w:i/>
        </w:rPr>
        <w:t xml:space="preserve">See </w:t>
      </w:r>
      <w:r w:rsidR="004118B5">
        <w:rPr>
          <w:i/>
        </w:rPr>
        <w:t>supra</w:t>
      </w:r>
      <w:r w:rsidRPr="00C2088B">
        <w:t xml:space="preserve"> para. </w:t>
      </w:r>
      <w:r w:rsidRPr="00C2088B">
        <w:fldChar w:fldCharType="begin"/>
      </w:r>
      <w:r w:rsidRPr="00C2088B">
        <w:instrText xml:space="preserve"> REF _Ref360206981 \r \h  \* MERGEFORMAT </w:instrText>
      </w:r>
      <w:r w:rsidRPr="00C2088B">
        <w:fldChar w:fldCharType="separate"/>
      </w:r>
      <w:r w:rsidR="00A0395D">
        <w:t>257</w:t>
      </w:r>
      <w:r w:rsidRPr="00C2088B">
        <w:fldChar w:fldCharType="end"/>
      </w:r>
      <w:r w:rsidRPr="00C2088B">
        <w:t>.</w:t>
      </w:r>
    </w:p>
  </w:footnote>
  <w:footnote w:id="351">
    <w:p w14:paraId="59A4F60A" w14:textId="4A5057F8" w:rsidR="00434A8B" w:rsidRPr="00C2088B" w:rsidRDefault="00434A8B" w:rsidP="004062D4">
      <w:pPr>
        <w:pStyle w:val="FootnoteText"/>
      </w:pPr>
      <w:r w:rsidRPr="00C2088B">
        <w:rPr>
          <w:rStyle w:val="FootnoteReference"/>
          <w:sz w:val="20"/>
        </w:rPr>
        <w:footnoteRef/>
      </w:r>
      <w:r w:rsidRPr="00C2088B">
        <w:t xml:space="preserve"> 47 C.F.R. § 54.719.</w:t>
      </w:r>
    </w:p>
  </w:footnote>
  <w:footnote w:id="352">
    <w:p w14:paraId="287FCCD4" w14:textId="77777777" w:rsidR="00434A8B" w:rsidRPr="00C2088B" w:rsidRDefault="00434A8B" w:rsidP="004062D4">
      <w:pPr>
        <w:pStyle w:val="FootnoteText"/>
      </w:pPr>
      <w:r w:rsidRPr="00C2088B">
        <w:rPr>
          <w:rStyle w:val="FootnoteReference"/>
          <w:sz w:val="20"/>
        </w:rPr>
        <w:footnoteRef/>
      </w:r>
      <w:r w:rsidRPr="00C2088B">
        <w:t xml:space="preserve"> </w:t>
      </w:r>
      <w:r w:rsidRPr="00C2088B">
        <w:rPr>
          <w:i/>
        </w:rPr>
        <w:t>See</w:t>
      </w:r>
      <w:r w:rsidRPr="00C2088B">
        <w:t xml:space="preserve"> 47 C.F.R. § 1.106.</w:t>
      </w:r>
    </w:p>
  </w:footnote>
  <w:footnote w:id="353">
    <w:p w14:paraId="49E1A9C5" w14:textId="09E91771" w:rsidR="00434A8B" w:rsidRPr="00C2088B" w:rsidRDefault="00434A8B" w:rsidP="004062D4">
      <w:pPr>
        <w:pStyle w:val="FootnoteText"/>
      </w:pPr>
      <w:r w:rsidRPr="00C2088B">
        <w:rPr>
          <w:rStyle w:val="FootnoteReference"/>
          <w:sz w:val="20"/>
        </w:rPr>
        <w:footnoteRef/>
      </w:r>
      <w:r w:rsidRPr="00C2088B">
        <w:t xml:space="preserve"> </w:t>
      </w:r>
      <w:r w:rsidRPr="00C2088B">
        <w:rPr>
          <w:i/>
        </w:rPr>
        <w:t>See</w:t>
      </w:r>
      <w:r w:rsidRPr="00C2088B">
        <w:t xml:space="preserve"> 47 C.F.R. § 1.115.</w:t>
      </w:r>
    </w:p>
  </w:footnote>
  <w:footnote w:id="354">
    <w:p w14:paraId="713AD2B7" w14:textId="77777777" w:rsidR="00434A8B" w:rsidRPr="00C2088B" w:rsidRDefault="00434A8B" w:rsidP="004062D4">
      <w:pPr>
        <w:pStyle w:val="FootnoteText"/>
      </w:pPr>
      <w:r w:rsidRPr="00C2088B">
        <w:rPr>
          <w:rStyle w:val="FootnoteReference"/>
          <w:sz w:val="20"/>
        </w:rPr>
        <w:footnoteRef/>
      </w:r>
      <w:r w:rsidRPr="00C2088B">
        <w:t xml:space="preserve"> </w:t>
      </w:r>
      <w:r w:rsidRPr="00C2088B">
        <w:rPr>
          <w:i/>
        </w:rPr>
        <w:t>Id.</w:t>
      </w:r>
    </w:p>
  </w:footnote>
  <w:footnote w:id="355">
    <w:p w14:paraId="78B2A2C0" w14:textId="74709007" w:rsidR="00434A8B" w:rsidRPr="00C2088B" w:rsidRDefault="00434A8B" w:rsidP="004062D4">
      <w:pPr>
        <w:pStyle w:val="FootnoteText"/>
      </w:pPr>
      <w:r w:rsidRPr="00C2088B">
        <w:rPr>
          <w:rStyle w:val="FootnoteReference"/>
          <w:sz w:val="20"/>
        </w:rPr>
        <w:footnoteRef/>
      </w:r>
      <w:r w:rsidRPr="00C2088B">
        <w:t xml:space="preserve"> </w:t>
      </w:r>
      <w:r w:rsidRPr="00C2088B">
        <w:rPr>
          <w:i/>
        </w:rPr>
        <w:t>See, e.g.</w:t>
      </w:r>
      <w:r w:rsidRPr="00C2088B">
        <w:t>, 47 U.S.C. § 155(c)(4) (</w:t>
      </w:r>
      <w:r>
        <w:t>“</w:t>
      </w:r>
      <w:r w:rsidRPr="00C2088B">
        <w:t>Any person aggrieved by any such order, decision, report or action [taken on delegated authority] may file an application for review by the Commission within such time and in such manner as the Commission shall prescribe, and every such application shall be passed upon by the Commission.</w:t>
      </w:r>
      <w:r>
        <w:t>”</w:t>
      </w:r>
      <w:r w:rsidRPr="00C2088B">
        <w:t>); 47 U.S.C. § 405(a) (</w:t>
      </w:r>
      <w:r>
        <w:t>“</w:t>
      </w:r>
      <w:r w:rsidRPr="00C2088B">
        <w:t>After an order, decision, report, or action has been made or taken in any proceeding by the Commission, or by any designated authority within the Commission pursuant to a delegation under section 155(c)(1) of this title, any party thereto, or any other person aggrieved or whose interests are adversely affected thereby, may petition for reconsideration only to the authority making or taking the order, decision, report, or action; and it shall be lawful for such authority, whether it be the Commission or other authority designated under section 155(c)(1) of this title, in its discretion, to grant such a reconsideration if sufficient reason therefor be made to appear.</w:t>
      </w:r>
      <w:r>
        <w:t>”</w:t>
      </w:r>
      <w:r w:rsidRPr="00C2088B">
        <w:t>).</w:t>
      </w:r>
    </w:p>
  </w:footnote>
  <w:footnote w:id="356">
    <w:p w14:paraId="4556A958" w14:textId="23893FD3" w:rsidR="00434A8B" w:rsidRPr="00C2088B" w:rsidRDefault="00434A8B" w:rsidP="00031BAA">
      <w:pPr>
        <w:pStyle w:val="FootnoteText"/>
      </w:pPr>
      <w:r w:rsidRPr="00C2088B">
        <w:rPr>
          <w:rStyle w:val="FootnoteReference"/>
          <w:sz w:val="20"/>
        </w:rPr>
        <w:footnoteRef/>
      </w:r>
      <w:r w:rsidRPr="00C2088B">
        <w:t xml:space="preserve"> </w:t>
      </w:r>
      <w:r w:rsidRPr="00C2088B">
        <w:rPr>
          <w:i/>
        </w:rPr>
        <w:t>See</w:t>
      </w:r>
      <w:r w:rsidRPr="00C2088B">
        <w:t xml:space="preserve"> Notice of </w:t>
      </w:r>
      <w:r w:rsidRPr="00C2088B">
        <w:rPr>
          <w:i/>
        </w:rPr>
        <w:t>Ex Parte</w:t>
      </w:r>
      <w:r w:rsidRPr="00C2088B">
        <w:t xml:space="preserve"> Communication from John Windhausen, Jr., Coordinator for the Schools, Health and Libraries Broadband Coalition, to Sharon Gillett, Chief, Wireline Competition Bureau, Federal Communications Commission, CC Docket No. 02-6; GN Docket No. 09-51; WC Docket No. 10-90; WC Docket No. 05-337 (dated Aug. 27, 2010) at 3-4 (SHLB Coalition Aug. 2010  </w:t>
      </w:r>
      <w:r w:rsidRPr="00C2088B">
        <w:rPr>
          <w:i/>
        </w:rPr>
        <w:t>Ex Parte</w:t>
      </w:r>
      <w:r w:rsidRPr="00C2088B">
        <w:t xml:space="preserve">); </w:t>
      </w:r>
      <w:r w:rsidRPr="00C2088B">
        <w:rPr>
          <w:i/>
        </w:rPr>
        <w:t>BYOD to School?</w:t>
      </w:r>
      <w:r w:rsidRPr="00C2088B">
        <w:t xml:space="preserve">, Scholastic Administrator, </w:t>
      </w:r>
      <w:r w:rsidRPr="00C2088B">
        <w:rPr>
          <w:i/>
        </w:rPr>
        <w:t>available at</w:t>
      </w:r>
      <w:r w:rsidRPr="00C2088B">
        <w:t xml:space="preserve"> </w:t>
      </w:r>
      <w:hyperlink r:id="rId85" w:history="1">
        <w:r w:rsidRPr="00C2088B">
          <w:rPr>
            <w:rStyle w:val="Hyperlink"/>
          </w:rPr>
          <w:t>http://www.scholastic.com/browse/article.jsp?id=3756757</w:t>
        </w:r>
      </w:hyperlink>
      <w:r w:rsidRPr="00C2088B">
        <w:t xml:space="preserve"> (last visited July 15, 2013).  </w:t>
      </w:r>
      <w:r w:rsidRPr="00C2088B">
        <w:rPr>
          <w:i/>
        </w:rPr>
        <w:t xml:space="preserve">See also </w:t>
      </w:r>
      <w:r w:rsidRPr="00C2088B">
        <w:t xml:space="preserve">U.S. Department of Education, Office of Educational Technology, </w:t>
      </w:r>
      <w:r w:rsidRPr="00C2088B">
        <w:rPr>
          <w:iCs/>
          <w:color w:val="010101"/>
        </w:rPr>
        <w:t>Transforming American Education, Learning Powered by Technology, National Education Technology Plan (Nov. 2010)</w:t>
      </w:r>
      <w:r w:rsidRPr="00C2088B">
        <w:rPr>
          <w:color w:val="010101"/>
        </w:rPr>
        <w:t xml:space="preserve">, </w:t>
      </w:r>
      <w:r w:rsidRPr="00C2088B">
        <w:rPr>
          <w:i/>
          <w:color w:val="010101"/>
        </w:rPr>
        <w:t>available at</w:t>
      </w:r>
      <w:r w:rsidRPr="00C2088B">
        <w:rPr>
          <w:i/>
        </w:rPr>
        <w:t xml:space="preserve"> </w:t>
      </w:r>
      <w:hyperlink r:id="rId86" w:history="1">
        <w:r w:rsidRPr="00C2088B">
          <w:rPr>
            <w:rStyle w:val="Hyperlink"/>
          </w:rPr>
          <w:t>http://www.ed.gov/sites/default/files/netp2010.pdf</w:t>
        </w:r>
      </w:hyperlink>
      <w:r w:rsidRPr="00C2088B">
        <w:rPr>
          <w:color w:val="010101"/>
        </w:rPr>
        <w:t xml:space="preserve"> (last visited July 15, 2013) (stating that CIPA should be clarified and schools and districts should explore the ways that student-owned devices can aid in learning).</w:t>
      </w:r>
      <w:r w:rsidRPr="00C2088B">
        <w:t xml:space="preserve">  </w:t>
      </w:r>
    </w:p>
  </w:footnote>
  <w:footnote w:id="357">
    <w:p w14:paraId="28AB739B" w14:textId="7054E48A" w:rsidR="00434A8B" w:rsidRPr="00C2088B" w:rsidRDefault="00434A8B" w:rsidP="00031BAA">
      <w:pPr>
        <w:pStyle w:val="FootnoteText"/>
        <w:rPr>
          <w:i/>
        </w:rPr>
      </w:pPr>
      <w:r w:rsidRPr="00C2088B">
        <w:rPr>
          <w:rStyle w:val="FootnoteReference"/>
          <w:sz w:val="20"/>
        </w:rPr>
        <w:footnoteRef/>
      </w:r>
      <w:r w:rsidRPr="00C2088B">
        <w:t xml:space="preserve"> We are also asking these questions in response to the Commission’s recommendation in the </w:t>
      </w:r>
      <w:r w:rsidRPr="00C2088B">
        <w:rPr>
          <w:i/>
        </w:rPr>
        <w:t xml:space="preserve">2011 CIPA Order </w:t>
      </w:r>
      <w:r w:rsidRPr="00C2088B">
        <w:t>to seek comment on these issues</w:t>
      </w:r>
      <w:r w:rsidRPr="00C2088B">
        <w:rPr>
          <w:i/>
        </w:rPr>
        <w:t>.  See Schools and Libraries Universal Service Support Mechanism, A National Broadband Plan for Our Future</w:t>
      </w:r>
      <w:r w:rsidRPr="00C2088B">
        <w:t>, CC Docket No. 02-6, GN Docket No. 09-51, Report and Order, 26 FCC Rcd 11819, 11829, para. 23 (2011) (</w:t>
      </w:r>
      <w:r w:rsidRPr="00C2088B">
        <w:rPr>
          <w:i/>
        </w:rPr>
        <w:t xml:space="preserve">2011 CIPA Order) </w:t>
      </w:r>
      <w:r w:rsidRPr="00C2088B">
        <w:t xml:space="preserve">(suggesting a need for clarification on the appropriate policies regarding the application of CIPA to portable devices owned by students and library patrons, such as laptops and cellular telephones, when those devices are used in a school or library to obtain Internet access funded by E-rate).  </w:t>
      </w:r>
      <w:r>
        <w:t>“</w:t>
      </w:r>
      <w:r w:rsidRPr="00C2088B">
        <w:t>Third-party devices</w:t>
      </w:r>
      <w:r>
        <w:t>”</w:t>
      </w:r>
      <w:r w:rsidRPr="00C2088B">
        <w:t xml:space="preserve"> are any devices that are not owned or controlled by the school or library.  </w:t>
      </w:r>
    </w:p>
  </w:footnote>
  <w:footnote w:id="358">
    <w:p w14:paraId="547EC498" w14:textId="1A9FAA7F" w:rsidR="00434A8B" w:rsidRPr="00C2088B" w:rsidRDefault="00434A8B" w:rsidP="00031BAA">
      <w:pPr>
        <w:pStyle w:val="FootnoteText"/>
      </w:pPr>
      <w:r w:rsidRPr="00C2088B">
        <w:rPr>
          <w:rStyle w:val="FootnoteReference"/>
          <w:sz w:val="20"/>
        </w:rPr>
        <w:footnoteRef/>
      </w:r>
      <w:r w:rsidRPr="00C2088B">
        <w:t xml:space="preserve"> </w:t>
      </w:r>
      <w:r w:rsidRPr="00C2088B">
        <w:rPr>
          <w:i/>
        </w:rPr>
        <w:t>See</w:t>
      </w:r>
      <w:r w:rsidRPr="00C2088B">
        <w:t xml:space="preserve"> SHLB Coalition Aug. 2010 </w:t>
      </w:r>
      <w:r w:rsidRPr="00C2088B">
        <w:rPr>
          <w:i/>
        </w:rPr>
        <w:t>Ex Parte</w:t>
      </w:r>
      <w:r w:rsidRPr="00C2088B">
        <w:t xml:space="preserve"> at 3-4; Education &amp; Libraries Networks Coalition </w:t>
      </w:r>
      <w:r w:rsidRPr="00C2088B">
        <w:rPr>
          <w:i/>
        </w:rPr>
        <w:t xml:space="preserve">E-rate Broadband NPRM </w:t>
      </w:r>
      <w:r w:rsidRPr="00C2088B">
        <w:t>Comments</w:t>
      </w:r>
      <w:r w:rsidRPr="00C2088B">
        <w:rPr>
          <w:i/>
        </w:rPr>
        <w:t xml:space="preserve">, </w:t>
      </w:r>
      <w:r w:rsidRPr="00C2088B">
        <w:t xml:space="preserve">CC Docket No. 02-6, at 12 (dated Jul. 9, 2010); CenturyLink </w:t>
      </w:r>
      <w:r w:rsidRPr="00C2088B">
        <w:rPr>
          <w:i/>
        </w:rPr>
        <w:t>E-rate Broadband NPRM</w:t>
      </w:r>
      <w:r w:rsidRPr="00C2088B">
        <w:t xml:space="preserve"> Reply Comments, CC Docket No. 02-6, at 15 (dated Jul. 26, 2010); Audrey Waters, </w:t>
      </w:r>
      <w:r w:rsidRPr="004F322C">
        <w:rPr>
          <w:i/>
          <w:color w:val="010101"/>
        </w:rPr>
        <w:t>When School Web Filtering Comes Home,</w:t>
      </w:r>
      <w:r w:rsidRPr="00C2088B">
        <w:rPr>
          <w:i/>
          <w:iCs/>
          <w:color w:val="010101"/>
        </w:rPr>
        <w:t xml:space="preserve"> </w:t>
      </w:r>
      <w:r w:rsidRPr="00C2088B">
        <w:rPr>
          <w:color w:val="010101"/>
        </w:rPr>
        <w:t xml:space="preserve">Mind/Shift (Oct. 25, 2011), </w:t>
      </w:r>
      <w:r w:rsidRPr="00C2088B">
        <w:rPr>
          <w:i/>
          <w:color w:val="010101"/>
        </w:rPr>
        <w:t xml:space="preserve">available at </w:t>
      </w:r>
      <w:hyperlink r:id="rId87" w:history="1">
        <w:r w:rsidRPr="00C2088B">
          <w:rPr>
            <w:rStyle w:val="Hyperlink"/>
          </w:rPr>
          <w:t>http://blogs.kqed.org/mindshift/2011/10/when-school-web-filtering-comes-home</w:t>
        </w:r>
      </w:hyperlink>
      <w:r w:rsidRPr="00C2088B">
        <w:rPr>
          <w:color w:val="010101"/>
        </w:rPr>
        <w:t xml:space="preserve"> (last visited July 15, 2013).</w:t>
      </w:r>
      <w:r w:rsidRPr="00C2088B">
        <w:t xml:space="preserve">  </w:t>
      </w:r>
    </w:p>
  </w:footnote>
  <w:footnote w:id="359">
    <w:p w14:paraId="1E48D968" w14:textId="536F969C" w:rsidR="00434A8B" w:rsidRPr="00C2088B" w:rsidRDefault="00434A8B" w:rsidP="00031BAA">
      <w:pPr>
        <w:pStyle w:val="FootnoteText"/>
      </w:pPr>
      <w:r w:rsidRPr="00C2088B">
        <w:rPr>
          <w:rStyle w:val="FootnoteReference"/>
          <w:sz w:val="20"/>
        </w:rPr>
        <w:footnoteRef/>
      </w:r>
      <w:r w:rsidRPr="00C2088B">
        <w:t xml:space="preserve"> CIPA is codified at </w:t>
      </w:r>
      <w:hyperlink r:id="rId88" w:history="1">
        <w:r w:rsidRPr="00C2088B">
          <w:t>section 254(h)</w:t>
        </w:r>
      </w:hyperlink>
      <w:r w:rsidRPr="00C2088B">
        <w:t>(5)-(6), and section 254(l) of the Communications Act of 1934, as amended. 47 U.S.C. §§ 254(h)(5)-(6) and (l).  CIPA requires each covered school and library to certify that the school or library is: (1) enforcing a policy of Internet safety that includes the operation of a technology protection measure with respect to any of its computers with Internet access that protects against access [</w:t>
      </w:r>
      <w:r w:rsidRPr="00C2088B">
        <w:rPr>
          <w:color w:val="000000"/>
        </w:rPr>
        <w:t>by both adults and minors]</w:t>
      </w:r>
      <w:r w:rsidRPr="00C2088B">
        <w:t xml:space="preserve"> through such computers</w:t>
      </w:r>
      <w:r>
        <w:t>”</w:t>
      </w:r>
      <w:r w:rsidRPr="00C2088B">
        <w:t xml:space="preserve"> to visual depictions </w:t>
      </w:r>
      <w:r w:rsidRPr="00C2088B">
        <w:rPr>
          <w:color w:val="000000"/>
        </w:rPr>
        <w:t>that are, (i) obscene; (ii) child pornography; or, (iii) with respect to use of the computers by minors, harmful to minors;</w:t>
      </w:r>
      <w:r w:rsidRPr="00C2088B">
        <w:t xml:space="preserve"> and (2) enforcing the operation of such technology protection measure during any use of such computers</w:t>
      </w:r>
      <w:r>
        <w:t>”</w:t>
      </w:r>
      <w:r w:rsidRPr="00C2088B">
        <w:t xml:space="preserve"> by minors and adults. 47 U.S.C. §§ 254(h)(5)(B)(i),(ii) and (C)(i),(ii), (6)(B)(i)(ii) and (C)(i)(ii) and 254(l); 47 C.F.R. §§ 54.520(c)(1)(i), 54.520(c)(2)(i).  The Commission adopted regulations implementing CIPA in 2001 and updated those regulations in 2011.  </w:t>
      </w:r>
      <w:r w:rsidRPr="00C2088B">
        <w:rPr>
          <w:i/>
        </w:rPr>
        <w:t>2001 CIPA Order</w:t>
      </w:r>
      <w:r w:rsidRPr="00C2088B">
        <w:t xml:space="preserve">, 16 FCC Rcd at 8184, n.5; </w:t>
      </w:r>
      <w:r w:rsidRPr="00C2088B">
        <w:rPr>
          <w:i/>
        </w:rPr>
        <w:t xml:space="preserve">2011 CIPA Order.. </w:t>
      </w:r>
      <w:r w:rsidRPr="00C2088B" w:rsidDel="00C5280A">
        <w:t xml:space="preserve"> </w:t>
      </w:r>
    </w:p>
  </w:footnote>
  <w:footnote w:id="360">
    <w:p w14:paraId="6BC92A9E" w14:textId="66F16E68" w:rsidR="00434A8B" w:rsidRPr="00C2088B" w:rsidRDefault="00434A8B" w:rsidP="00031BAA">
      <w:pPr>
        <w:pStyle w:val="FootnoteText"/>
      </w:pPr>
      <w:r w:rsidRPr="00C2088B">
        <w:rPr>
          <w:rStyle w:val="FootnoteReference"/>
          <w:sz w:val="20"/>
        </w:rPr>
        <w:footnoteRef/>
      </w:r>
      <w:r w:rsidRPr="00C2088B">
        <w:t xml:space="preserve"> </w:t>
      </w:r>
      <w:r w:rsidRPr="00C2088B">
        <w:rPr>
          <w:i/>
        </w:rPr>
        <w:t>2011 CIPA Order</w:t>
      </w:r>
      <w:r w:rsidRPr="00C2088B">
        <w:t>, 26 FCC Rcd at 11821, para. 5</w:t>
      </w:r>
      <w:r w:rsidRPr="00C2088B">
        <w:rPr>
          <w:i/>
        </w:rPr>
        <w:t>.</w:t>
      </w:r>
      <w:r w:rsidRPr="00C2088B">
        <w:t xml:space="preserve">  </w:t>
      </w:r>
    </w:p>
  </w:footnote>
  <w:footnote w:id="361">
    <w:p w14:paraId="1F74E650" w14:textId="146E1C5D" w:rsidR="00434A8B" w:rsidRPr="00C2088B" w:rsidRDefault="00434A8B" w:rsidP="00031BAA">
      <w:pPr>
        <w:pStyle w:val="FootnoteText"/>
      </w:pPr>
      <w:r w:rsidRPr="00C2088B">
        <w:rPr>
          <w:rStyle w:val="FootnoteReference"/>
          <w:sz w:val="20"/>
        </w:rPr>
        <w:footnoteRef/>
      </w:r>
      <w:r w:rsidRPr="00C2088B">
        <w:t xml:space="preserve"> In 2011-2012, 90.5% of all public libraries offer wireless Internet access.  ALA Summer </w:t>
      </w:r>
      <w:r w:rsidRPr="004F322C">
        <w:t xml:space="preserve">2012 </w:t>
      </w:r>
      <w:r w:rsidRPr="00C2088B">
        <w:t xml:space="preserve">Report, </w:t>
      </w:r>
      <w:r w:rsidRPr="00C2088B">
        <w:rPr>
          <w:i/>
        </w:rPr>
        <w:t xml:space="preserve">supra </w:t>
      </w:r>
      <w:r>
        <w:t>n.</w:t>
      </w:r>
      <w:r w:rsidRPr="00C2088B">
        <w:t xml:space="preserve">7, </w:t>
      </w:r>
      <w:r w:rsidRPr="004F322C">
        <w:t>at 19.</w:t>
      </w:r>
    </w:p>
  </w:footnote>
  <w:footnote w:id="362">
    <w:p w14:paraId="62B448BA" w14:textId="77777777" w:rsidR="00434A8B" w:rsidRPr="00C2088B" w:rsidRDefault="00434A8B" w:rsidP="00031BAA">
      <w:pPr>
        <w:pStyle w:val="FootnoteText"/>
      </w:pPr>
      <w:r w:rsidRPr="00C2088B">
        <w:rPr>
          <w:rStyle w:val="FootnoteReference"/>
          <w:sz w:val="20"/>
        </w:rPr>
        <w:footnoteRef/>
      </w:r>
      <w:r w:rsidRPr="00C2088B">
        <w:t xml:space="preserve"> 47 USC §§ 254(h)(5)(A)(i), 254(h)(6)(A)(i).</w:t>
      </w:r>
    </w:p>
  </w:footnote>
  <w:footnote w:id="363">
    <w:p w14:paraId="3956F438" w14:textId="77777777" w:rsidR="00434A8B" w:rsidRPr="00C2088B" w:rsidRDefault="00434A8B" w:rsidP="00031BAA">
      <w:pPr>
        <w:pStyle w:val="FootnoteText"/>
      </w:pPr>
      <w:r w:rsidRPr="00C2088B">
        <w:rPr>
          <w:rStyle w:val="FootnoteReference"/>
          <w:sz w:val="20"/>
        </w:rPr>
        <w:footnoteRef/>
      </w:r>
      <w:r w:rsidRPr="00C2088B">
        <w:t xml:space="preserve"> 47 USC §§ 254(h)(5)(B)(i) and (C)(i), 254(h)(6)(B)(i) and (C)(i).  </w:t>
      </w:r>
    </w:p>
  </w:footnote>
  <w:footnote w:id="364">
    <w:p w14:paraId="57E3CA5B" w14:textId="42D79343" w:rsidR="00434A8B" w:rsidRPr="00C2088B" w:rsidRDefault="00434A8B" w:rsidP="00031BAA">
      <w:pPr>
        <w:pStyle w:val="FootnoteText"/>
      </w:pPr>
      <w:r w:rsidRPr="00C2088B">
        <w:rPr>
          <w:rStyle w:val="FootnoteReference"/>
          <w:sz w:val="20"/>
        </w:rPr>
        <w:footnoteRef/>
      </w:r>
      <w:r w:rsidRPr="00C2088B">
        <w:t xml:space="preserve"> </w:t>
      </w:r>
      <w:r w:rsidRPr="00C2088B">
        <w:rPr>
          <w:color w:val="010101"/>
        </w:rPr>
        <w:t xml:space="preserve">The Senate Report accompanying the </w:t>
      </w:r>
      <w:r w:rsidRPr="00C2088B">
        <w:t>Protecting Children in the 21</w:t>
      </w:r>
      <w:r w:rsidRPr="00C2088B">
        <w:rPr>
          <w:vertAlign w:val="superscript"/>
        </w:rPr>
        <w:t>st</w:t>
      </w:r>
      <w:r w:rsidRPr="00C2088B">
        <w:t xml:space="preserve"> Century Act </w:t>
      </w:r>
      <w:r w:rsidRPr="00C2088B">
        <w:rPr>
          <w:color w:val="010101"/>
        </w:rPr>
        <w:t xml:space="preserve">states that the purpose of that legislation </w:t>
      </w:r>
      <w:r>
        <w:rPr>
          <w:color w:val="010101"/>
        </w:rPr>
        <w:t>“</w:t>
      </w:r>
      <w:r w:rsidRPr="00C2088B">
        <w:rPr>
          <w:color w:val="010101"/>
        </w:rPr>
        <w:t>is to assist parents in protecting their children from harmful content on the Internet and in educating children about potential dangers associated with inappropriate online communications.</w:t>
      </w:r>
      <w:r>
        <w:rPr>
          <w:color w:val="010101"/>
        </w:rPr>
        <w:t>”</w:t>
      </w:r>
      <w:r w:rsidRPr="00C2088B">
        <w:rPr>
          <w:color w:val="010101"/>
        </w:rPr>
        <w:t xml:space="preserve">  </w:t>
      </w:r>
      <w:r w:rsidRPr="00C2088B">
        <w:t>S. Rep. No. 110-245 (2007).</w:t>
      </w:r>
    </w:p>
  </w:footnote>
  <w:footnote w:id="365">
    <w:p w14:paraId="58D6DFDF" w14:textId="63394050" w:rsidR="00434A8B" w:rsidRPr="00C2088B" w:rsidRDefault="00434A8B" w:rsidP="00031BAA">
      <w:pPr>
        <w:pStyle w:val="FootnoteText"/>
      </w:pPr>
      <w:r w:rsidRPr="00C2088B">
        <w:rPr>
          <w:rStyle w:val="FootnoteReference"/>
          <w:sz w:val="20"/>
        </w:rPr>
        <w:footnoteRef/>
      </w:r>
      <w:r w:rsidRPr="00C2088B">
        <w:t xml:space="preserve"> End-user devices are not eligible for E-rate support.  </w:t>
      </w:r>
      <w:r w:rsidRPr="00C2088B">
        <w:rPr>
          <w:i/>
        </w:rPr>
        <w:t>See Schools and Libraries Schools and Libraries Sixth Report and Order</w:t>
      </w:r>
      <w:r w:rsidRPr="00C2088B">
        <w:t xml:space="preserve">, 25 FCC Rcd at 18805 (reiterating that the E-rate program does not provide support for content or end-user devices such as computers or telephones).  Therefore, where E-rate is not paying for the access, there is no nexus to E-rate program funding.  </w:t>
      </w:r>
    </w:p>
  </w:footnote>
  <w:footnote w:id="366">
    <w:p w14:paraId="0F7374B5" w14:textId="77777777" w:rsidR="00434A8B" w:rsidRPr="00C2088B" w:rsidRDefault="00434A8B" w:rsidP="008C588D">
      <w:pPr>
        <w:pStyle w:val="FootnoteText"/>
      </w:pPr>
      <w:r w:rsidRPr="00C2088B">
        <w:rPr>
          <w:rStyle w:val="FootnoteReference"/>
          <w:sz w:val="20"/>
        </w:rPr>
        <w:footnoteRef/>
      </w:r>
      <w:r w:rsidRPr="00C2088B">
        <w:t xml:space="preserve"> </w:t>
      </w:r>
      <w:r w:rsidRPr="00C2088B">
        <w:rPr>
          <w:i/>
        </w:rPr>
        <w:t>See Universal Service First Report and Order</w:t>
      </w:r>
      <w:r w:rsidRPr="00C2088B">
        <w:t xml:space="preserve">, 12 FCC Rcd at 9042, para. 504.  </w:t>
      </w:r>
    </w:p>
  </w:footnote>
  <w:footnote w:id="367">
    <w:p w14:paraId="5B50ECAA" w14:textId="77777777" w:rsidR="00434A8B" w:rsidRPr="00C2088B" w:rsidRDefault="00434A8B" w:rsidP="008C588D">
      <w:pPr>
        <w:pStyle w:val="FootnoteText"/>
      </w:pPr>
      <w:r w:rsidRPr="00C2088B">
        <w:rPr>
          <w:rStyle w:val="FootnoteReference"/>
          <w:sz w:val="20"/>
        </w:rPr>
        <w:footnoteRef/>
      </w:r>
      <w:r w:rsidRPr="00C2088B">
        <w:t xml:space="preserve"> 47 C.F.R. § 54.505(b)(3).</w:t>
      </w:r>
    </w:p>
  </w:footnote>
  <w:footnote w:id="368">
    <w:p w14:paraId="4A941657" w14:textId="77777777" w:rsidR="00434A8B" w:rsidRPr="00C2088B" w:rsidRDefault="00434A8B" w:rsidP="008C588D">
      <w:pPr>
        <w:pStyle w:val="FootnoteText"/>
      </w:pPr>
      <w:r w:rsidRPr="00C2088B">
        <w:rPr>
          <w:rStyle w:val="FootnoteReference"/>
          <w:sz w:val="20"/>
        </w:rPr>
        <w:footnoteRef/>
      </w:r>
      <w:r w:rsidRPr="00C2088B">
        <w:rPr>
          <w:i/>
        </w:rPr>
        <w:t xml:space="preserve"> E-rate Broadband NPRM</w:t>
      </w:r>
      <w:r w:rsidRPr="00C2088B">
        <w:t xml:space="preserve">, 25 FCC Rcd at 3888, para. 38; </w:t>
      </w:r>
      <w:r w:rsidRPr="00C2088B">
        <w:rPr>
          <w:i/>
        </w:rPr>
        <w:t>Schools and Libraries Third Report and Order</w:t>
      </w:r>
      <w:r w:rsidRPr="00C2088B">
        <w:t xml:space="preserve">, 18 FCC Rcd at 26939, para. 67.  </w:t>
      </w:r>
      <w:r w:rsidRPr="00C2088B">
        <w:rPr>
          <w:i/>
        </w:rPr>
        <w:t>Id.</w:t>
      </w:r>
      <w:r w:rsidRPr="00C2088B">
        <w:t xml:space="preserve"> at para. 67.  ORHP subsequently updated the Goldsmith Modification to the 2000 Census data, and has also developed the Rural Urban Commuting Area (RUCA) code system for designating rural areas eligible for rural health grants.  </w:t>
      </w:r>
    </w:p>
  </w:footnote>
  <w:footnote w:id="369">
    <w:p w14:paraId="2E29E69E" w14:textId="3FA40D58" w:rsidR="00434A8B" w:rsidRPr="00C2088B" w:rsidRDefault="00434A8B" w:rsidP="008C588D">
      <w:pPr>
        <w:pStyle w:val="FootnoteText"/>
      </w:pPr>
      <w:r w:rsidRPr="00C2088B">
        <w:rPr>
          <w:rStyle w:val="FootnoteReference"/>
          <w:sz w:val="20"/>
        </w:rPr>
        <w:footnoteRef/>
      </w:r>
      <w:r w:rsidRPr="00C2088B">
        <w:t xml:space="preserve"> </w:t>
      </w:r>
      <w:r w:rsidRPr="00C2088B">
        <w:rPr>
          <w:i/>
        </w:rPr>
        <w:t>E-rate Broadband NPRM</w:t>
      </w:r>
      <w:r w:rsidRPr="00C2088B">
        <w:t xml:space="preserve">, 25 FCC Rcd at 3889, para. 39.  </w:t>
      </w:r>
      <w:r w:rsidRPr="00C2088B">
        <w:rPr>
          <w:i/>
        </w:rPr>
        <w:t xml:space="preserve">See </w:t>
      </w:r>
      <w:r w:rsidRPr="00C2088B">
        <w:t>U.S. Dept. of Education, National Center for Education Statistics,</w:t>
      </w:r>
      <w:r w:rsidRPr="00C2088B">
        <w:rPr>
          <w:i/>
        </w:rPr>
        <w:t xml:space="preserve"> available at</w:t>
      </w:r>
      <w:r w:rsidRPr="00C2088B">
        <w:t xml:space="preserve"> </w:t>
      </w:r>
      <w:hyperlink r:id="rId89" w:history="1">
        <w:r w:rsidRPr="00C2088B">
          <w:rPr>
            <w:rStyle w:val="Hyperlink"/>
          </w:rPr>
          <w:t>http://nces.ed.gov/ccd/rural_locales.asp</w:t>
        </w:r>
      </w:hyperlink>
      <w:r w:rsidRPr="00C2088B">
        <w:t xml:space="preserve"> (last visited June 14, 2013) (Identification or Rural Locales).</w:t>
      </w:r>
    </w:p>
  </w:footnote>
  <w:footnote w:id="370">
    <w:p w14:paraId="1880FB2A" w14:textId="661A9C6F" w:rsidR="00434A8B" w:rsidRPr="00C2088B" w:rsidRDefault="00434A8B" w:rsidP="008C588D">
      <w:pPr>
        <w:pStyle w:val="FootnoteText"/>
      </w:pPr>
      <w:r w:rsidRPr="00C2088B">
        <w:rPr>
          <w:rStyle w:val="FootnoteReference"/>
          <w:sz w:val="20"/>
        </w:rPr>
        <w:footnoteRef/>
      </w:r>
      <w:r w:rsidRPr="00C2088B">
        <w:t xml:space="preserve"> </w:t>
      </w:r>
      <w:r w:rsidRPr="00C2088B">
        <w:rPr>
          <w:i/>
        </w:rPr>
        <w:t xml:space="preserve">See </w:t>
      </w:r>
      <w:r w:rsidRPr="00C2088B">
        <w:t>U.S. Dept. of Education, National Center for Education Statistics,</w:t>
      </w:r>
      <w:r w:rsidRPr="00C2088B">
        <w:rPr>
          <w:i/>
        </w:rPr>
        <w:t xml:space="preserve"> available at </w:t>
      </w:r>
      <w:hyperlink r:id="rId90" w:history="1">
        <w:r w:rsidRPr="00C2088B">
          <w:rPr>
            <w:rStyle w:val="Hyperlink"/>
          </w:rPr>
          <w:t>http://nces.ed.gov/ccd/rural_locales.asp</w:t>
        </w:r>
      </w:hyperlink>
      <w:r w:rsidRPr="00C2088B">
        <w:t xml:space="preserve"> (last visited </w:t>
      </w:r>
      <w:r w:rsidRPr="00C2088B">
        <w:rPr>
          <w:rStyle w:val="documentbody1"/>
          <w:rFonts w:ascii="Times New Roman" w:hAnsi="Times New Roman"/>
          <w:color w:val="000000"/>
          <w:sz w:val="20"/>
        </w:rPr>
        <w:t>June 14, 2013</w:t>
      </w:r>
      <w:r w:rsidRPr="00C2088B">
        <w:t>) (Identification or Rural Locales).</w:t>
      </w:r>
    </w:p>
  </w:footnote>
  <w:footnote w:id="371">
    <w:p w14:paraId="273043D7" w14:textId="77777777" w:rsidR="00434A8B" w:rsidRPr="00C2088B" w:rsidRDefault="00434A8B" w:rsidP="008C588D">
      <w:pPr>
        <w:pStyle w:val="FootnoteText"/>
      </w:pPr>
      <w:r w:rsidRPr="00C2088B">
        <w:rPr>
          <w:rStyle w:val="FootnoteReference"/>
          <w:sz w:val="20"/>
        </w:rPr>
        <w:footnoteRef/>
      </w:r>
      <w:r w:rsidRPr="00C2088B">
        <w:t xml:space="preserve"> Dep’t of Commerce, Bureau of the Census, Qualifying Urban Areas for the 2010 Census, 77 Fed. Reg. 18652 (Mar. 27, 2012).</w:t>
      </w:r>
    </w:p>
  </w:footnote>
  <w:footnote w:id="372">
    <w:p w14:paraId="01A750D2" w14:textId="020EAEB6" w:rsidR="00434A8B" w:rsidRPr="00C2088B" w:rsidRDefault="00434A8B" w:rsidP="008C588D">
      <w:pPr>
        <w:pStyle w:val="FootnoteText"/>
      </w:pPr>
      <w:r w:rsidRPr="00C2088B">
        <w:rPr>
          <w:rStyle w:val="FootnoteReference"/>
          <w:sz w:val="20"/>
        </w:rPr>
        <w:footnoteRef/>
      </w:r>
      <w:r w:rsidRPr="00C2088B">
        <w:t xml:space="preserve"> Bureau of the Census, 2010 Census Urban and Rural Classification and Urban Area Criteria, </w:t>
      </w:r>
      <w:hyperlink r:id="rId91" w:history="1">
        <w:r w:rsidRPr="00C2088B">
          <w:rPr>
            <w:rStyle w:val="Hyperlink"/>
          </w:rPr>
          <w:t>http://www.census.gov/geo/reference/ua/urban-rural-2010.html</w:t>
        </w:r>
      </w:hyperlink>
      <w:r w:rsidRPr="00C2088B">
        <w:t xml:space="preserve"> (last visited July 19, 2013).</w:t>
      </w:r>
    </w:p>
  </w:footnote>
  <w:footnote w:id="373">
    <w:p w14:paraId="0AD4473B" w14:textId="79593209" w:rsidR="00434A8B" w:rsidRPr="00C2088B" w:rsidRDefault="00434A8B" w:rsidP="008C588D">
      <w:pPr>
        <w:pStyle w:val="FootnoteText"/>
      </w:pPr>
      <w:r w:rsidRPr="00C2088B">
        <w:rPr>
          <w:rStyle w:val="FootnoteReference"/>
          <w:sz w:val="20"/>
        </w:rPr>
        <w:footnoteRef/>
      </w:r>
      <w:r w:rsidRPr="00C2088B">
        <w:t xml:space="preserve"> </w:t>
      </w:r>
      <w:r w:rsidRPr="00C2088B">
        <w:rPr>
          <w:i/>
        </w:rPr>
        <w:t xml:space="preserve">See </w:t>
      </w:r>
      <w:r w:rsidRPr="00C2088B">
        <w:t xml:space="preserve">ALA </w:t>
      </w:r>
      <w:r w:rsidRPr="00C2088B">
        <w:rPr>
          <w:i/>
        </w:rPr>
        <w:t xml:space="preserve">E-rate Broadband NPRM </w:t>
      </w:r>
      <w:r w:rsidRPr="00C2088B">
        <w:t>Comments</w:t>
      </w:r>
      <w:r w:rsidRPr="00C2088B">
        <w:rPr>
          <w:i/>
        </w:rPr>
        <w:t xml:space="preserve">, </w:t>
      </w:r>
      <w:r w:rsidRPr="00C2088B">
        <w:t>CC Docket No. 02-6, at 11 (filed July 9, 2010)</w:t>
      </w:r>
      <w:r>
        <w:t>.</w:t>
      </w:r>
    </w:p>
  </w:footnote>
  <w:footnote w:id="374">
    <w:p w14:paraId="130639BF" w14:textId="50E55F2A" w:rsidR="00434A8B" w:rsidRPr="00C2088B" w:rsidRDefault="00434A8B" w:rsidP="00647347">
      <w:pPr>
        <w:pStyle w:val="FootnoteText"/>
      </w:pPr>
      <w:r w:rsidRPr="00C2088B">
        <w:rPr>
          <w:rStyle w:val="FootnoteReference"/>
          <w:sz w:val="20"/>
        </w:rPr>
        <w:footnoteRef/>
      </w:r>
      <w:r w:rsidRPr="00C2088B">
        <w:t xml:space="preserve"> </w:t>
      </w:r>
      <w:r w:rsidRPr="00C2088B">
        <w:rPr>
          <w:i/>
        </w:rPr>
        <w:t>See</w:t>
      </w:r>
      <w:r w:rsidRPr="00C2088B">
        <w:t xml:space="preserve"> United States Department of Agriculture, Food and Nutrition Service, National School Lunch Program, </w:t>
      </w:r>
      <w:r w:rsidRPr="00C2088B">
        <w:rPr>
          <w:i/>
        </w:rPr>
        <w:t>available at</w:t>
      </w:r>
      <w:r w:rsidRPr="00C2088B">
        <w:t xml:space="preserve">  </w:t>
      </w:r>
      <w:hyperlink r:id="rId92" w:history="1">
        <w:r w:rsidRPr="00C2088B">
          <w:rPr>
            <w:rStyle w:val="Hyperlink"/>
          </w:rPr>
          <w:t>http://www.fns.usda.gov/cnd/lunch/</w:t>
        </w:r>
      </w:hyperlink>
      <w:r w:rsidRPr="00C2088B">
        <w:t xml:space="preserve"> (last visited July 15, 2013). </w:t>
      </w:r>
    </w:p>
  </w:footnote>
  <w:footnote w:id="375">
    <w:p w14:paraId="70E1FF9E" w14:textId="49B83619" w:rsidR="00434A8B" w:rsidRPr="00C2088B" w:rsidRDefault="00434A8B" w:rsidP="00647347">
      <w:pPr>
        <w:pStyle w:val="FootnoteText"/>
      </w:pPr>
      <w:r w:rsidRPr="00C2088B">
        <w:rPr>
          <w:rStyle w:val="FootnoteReference"/>
          <w:sz w:val="20"/>
        </w:rPr>
        <w:footnoteRef/>
      </w:r>
      <w:r w:rsidRPr="00C2088B">
        <w:t xml:space="preserve"> </w:t>
      </w:r>
      <w:r w:rsidRPr="00C2088B">
        <w:rPr>
          <w:i/>
        </w:rPr>
        <w:t>See</w:t>
      </w:r>
      <w:r w:rsidRPr="00C2088B">
        <w:t xml:space="preserve"> 47 C.F.R. § 54.505(b)(1).  The Commission found that </w:t>
      </w:r>
      <w:r>
        <w:t>“</w:t>
      </w:r>
      <w:r w:rsidRPr="00C2088B">
        <w:t>[T]he national school lunch program determines students’ eligibility for free or reduced-price lunches based on family income, which is a more accurate measure of a school’s level of need than a model that considers general community income.</w:t>
      </w:r>
      <w:r>
        <w:t>”</w:t>
      </w:r>
      <w:r w:rsidRPr="00C2088B">
        <w:t xml:space="preserve">  </w:t>
      </w:r>
      <w:r w:rsidRPr="00C2088B">
        <w:rPr>
          <w:i/>
        </w:rPr>
        <w:t>Universal Service First Report and Order</w:t>
      </w:r>
      <w:r w:rsidRPr="00C2088B">
        <w:t xml:space="preserve">, 12 FCC Rcd at 9044, para. 509.   </w:t>
      </w:r>
    </w:p>
  </w:footnote>
  <w:footnote w:id="376">
    <w:p w14:paraId="2918492F" w14:textId="1CF59855" w:rsidR="00434A8B" w:rsidRPr="00C2088B" w:rsidRDefault="00434A8B" w:rsidP="00647347">
      <w:pPr>
        <w:pStyle w:val="FootnoteText"/>
      </w:pPr>
      <w:r w:rsidRPr="00C2088B">
        <w:rPr>
          <w:rStyle w:val="FootnoteReference"/>
          <w:sz w:val="20"/>
        </w:rPr>
        <w:footnoteRef/>
      </w:r>
      <w:r w:rsidRPr="00C2088B">
        <w:t xml:space="preserve"> Schools electing not to use an actual count of students eligible for the NSLP may use only the federally-approved alternative mechanisms contained in the Elementary and Secondary Education Act of 1965, </w:t>
      </w:r>
      <w:r w:rsidRPr="004F322C">
        <w:rPr>
          <w:i/>
        </w:rPr>
        <w:t>amended by</w:t>
      </w:r>
      <w:r w:rsidRPr="00C2088B">
        <w:t xml:space="preserve"> No Child Left Behind Act of 2001, Pub. L. No. 107-110, 115 Stat. 1425 (2002).  Pursuant to the Act, private schools without access to the same poverty data that public schools use to count children from low-income families may use comparable data either collected through alternative means such as a survey or from existing sources such as Aid to Families with Dependent Children or tuition scholarship programs.  Schools using a federally-approved alternative mechanism may also use participation in other income-assistance programs, such as Medicaid, food stamps, or Supplementary Security Income (SSI) to determine the number of students that would be eligible for the NSLP.  </w:t>
      </w:r>
      <w:r w:rsidRPr="00C2088B">
        <w:rPr>
          <w:i/>
        </w:rPr>
        <w:t>See</w:t>
      </w:r>
      <w:r w:rsidRPr="00C2088B">
        <w:t xml:space="preserve"> Instructions for Completing the Schools and Libraries Universal Service, Services Ordered and Certification Form (FCC Form 471), OMB 3060-0806, at 12-13 (Oct. 2010).</w:t>
      </w:r>
    </w:p>
  </w:footnote>
  <w:footnote w:id="377">
    <w:p w14:paraId="23BC626C" w14:textId="77777777" w:rsidR="00434A8B" w:rsidRPr="00C2088B" w:rsidRDefault="00434A8B" w:rsidP="00647347">
      <w:pPr>
        <w:pStyle w:val="FootnoteText"/>
      </w:pPr>
      <w:r w:rsidRPr="00C2088B">
        <w:rPr>
          <w:rStyle w:val="FootnoteReference"/>
          <w:sz w:val="20"/>
        </w:rPr>
        <w:footnoteRef/>
      </w:r>
      <w:r w:rsidRPr="00C2088B">
        <w:t xml:space="preserve"> </w:t>
      </w:r>
      <w:r w:rsidRPr="00C2088B">
        <w:rPr>
          <w:i/>
        </w:rPr>
        <w:t>See</w:t>
      </w:r>
      <w:r w:rsidRPr="00C2088B">
        <w:t xml:space="preserve"> 47 C.F.R. § 54.505(b)(2).  </w:t>
      </w:r>
    </w:p>
  </w:footnote>
  <w:footnote w:id="378">
    <w:p w14:paraId="09738235" w14:textId="14E1B3AC" w:rsidR="00434A8B" w:rsidRPr="00C2088B" w:rsidRDefault="00434A8B" w:rsidP="008E44CA">
      <w:pPr>
        <w:pStyle w:val="FootnoteText"/>
      </w:pPr>
      <w:r w:rsidRPr="00C2088B">
        <w:rPr>
          <w:rStyle w:val="FootnoteReference"/>
          <w:sz w:val="20"/>
        </w:rPr>
        <w:footnoteRef/>
      </w:r>
      <w:r w:rsidRPr="00C2088B">
        <w:t xml:space="preserve"> </w:t>
      </w:r>
      <w:r w:rsidRPr="00C2088B">
        <w:rPr>
          <w:i/>
        </w:rPr>
        <w:t xml:space="preserve">See </w:t>
      </w:r>
      <w:r w:rsidRPr="00C2088B">
        <w:t>Health, Hunger-Free Kids Act of 2010, Pub. L. No. 111-296, 124 Stat. 3183§ 104 (Healthy, Hunger-Free Kids Act of 2010) (amending section 11(a)(1) of the Richard B. Russell National School Lunch Act, 42 U.S.C. § 1759a (a)(1)).</w:t>
      </w:r>
    </w:p>
  </w:footnote>
  <w:footnote w:id="379">
    <w:p w14:paraId="3312F8F3" w14:textId="35397C9F" w:rsidR="00434A8B" w:rsidRPr="00C2088B" w:rsidRDefault="00434A8B" w:rsidP="008E44CA">
      <w:pPr>
        <w:pStyle w:val="FootnoteText"/>
      </w:pPr>
      <w:r w:rsidRPr="00C2088B">
        <w:rPr>
          <w:rStyle w:val="FootnoteReference"/>
          <w:sz w:val="20"/>
        </w:rPr>
        <w:footnoteRef/>
      </w:r>
      <w:r w:rsidRPr="00C2088B">
        <w:t xml:space="preserve"> For more information regarding the CEO program, </w:t>
      </w:r>
      <w:r w:rsidRPr="00C2088B">
        <w:rPr>
          <w:i/>
        </w:rPr>
        <w:t>see</w:t>
      </w:r>
      <w:r w:rsidRPr="00C2088B">
        <w:t xml:space="preserve"> USDA Food and Nutrition Service, Community Eligible Option: Guidance and Process for Selection of States for School Year 2011-2012 (Memo Code SP 23-2011) (dated  Mar. 15, 2011), </w:t>
      </w:r>
      <w:r w:rsidRPr="00C2088B">
        <w:rPr>
          <w:i/>
        </w:rPr>
        <w:t>available at</w:t>
      </w:r>
      <w:r w:rsidRPr="00C2088B">
        <w:t xml:space="preserve"> </w:t>
      </w:r>
      <w:hyperlink r:id="rId93" w:tgtFrame="_blank" w:history="1">
        <w:r w:rsidRPr="00C2088B">
          <w:rPr>
            <w:color w:val="0000FF"/>
            <w:u w:val="single"/>
          </w:rPr>
          <w:t>http://www.fns.usda.gov/cnd/governance/Policy-Memos/2011/SP23-2011_os.pdf</w:t>
        </w:r>
      </w:hyperlink>
      <w:r w:rsidRPr="00C2088B">
        <w:t xml:space="preserve">  (last visited July 15, 2013) (School Year 2011-2012 CEO Program Guidance) and USDA, Food and Nutrition Service, Community Eligible Option: Guidance and Process for Selection of States for School Year 2012-2013 (Memo Code SP 12-2012) (dated Feb. 9, 2012), </w:t>
      </w:r>
      <w:r w:rsidRPr="00C2088B">
        <w:rPr>
          <w:i/>
        </w:rPr>
        <w:t xml:space="preserve">available at </w:t>
      </w:r>
      <w:hyperlink r:id="rId94" w:history="1">
        <w:r w:rsidRPr="00C2088B">
          <w:rPr>
            <w:rStyle w:val="Hyperlink"/>
          </w:rPr>
          <w:t>http://www.fns.usda.gov/cnd/Governance/Policy-Memos/2012/SP12-2012%20os.pdf</w:t>
        </w:r>
      </w:hyperlink>
      <w:r w:rsidRPr="00C2088B">
        <w:t xml:space="preserve"> (last visited July 15, 2013) (School Year 2012-2013 CEO Program Guidance) (collectively, CEO Program Guidance).</w:t>
      </w:r>
    </w:p>
  </w:footnote>
  <w:footnote w:id="380">
    <w:p w14:paraId="79E560C2" w14:textId="1FE1F590" w:rsidR="00434A8B" w:rsidRPr="00C2088B" w:rsidRDefault="00434A8B" w:rsidP="008E44CA">
      <w:pPr>
        <w:pStyle w:val="FootnoteText"/>
      </w:pPr>
      <w:r w:rsidRPr="00C2088B">
        <w:rPr>
          <w:rStyle w:val="FootnoteReference"/>
          <w:sz w:val="20"/>
        </w:rPr>
        <w:footnoteRef/>
      </w:r>
      <w:r w:rsidRPr="00C2088B">
        <w:t xml:space="preserve"> Identified Students are defined as </w:t>
      </w:r>
      <w:r>
        <w:t>“</w:t>
      </w:r>
      <w:r w:rsidRPr="00C2088B">
        <w:t>students certified based on documentation of benefit receipt or categorical eligibility as described in 7 C.F.R. 245.6a(c)(2)</w:t>
      </w:r>
      <w:r>
        <w:t>”</w:t>
      </w:r>
      <w:r w:rsidRPr="00C2088B">
        <w:t xml:space="preserve">, which primarily includes students who are directly certified for free meals on the basis of their participation in the Supplemental Nutrition Assistance Program (SNAP, formerly the Food Stamp Program), Temporary Assistance for Needy Families, and the Food Distribution Program on Indian Reservations.  </w:t>
      </w:r>
      <w:r w:rsidRPr="00C2088B">
        <w:rPr>
          <w:i/>
        </w:rPr>
        <w:t>See</w:t>
      </w:r>
      <w:r w:rsidRPr="00C2088B">
        <w:t xml:space="preserve"> School Year 2012-2013CEO Program Guidance , Attachment B.  It also includes homeless, runaway and migrant youth.  It does not include students who are categorically eligible based on submission of a free and reduced price application.  </w:t>
      </w:r>
      <w:r w:rsidRPr="00C2088B">
        <w:rPr>
          <w:i/>
        </w:rPr>
        <w:t>Id.</w:t>
      </w:r>
    </w:p>
  </w:footnote>
  <w:footnote w:id="381">
    <w:p w14:paraId="6FBDF48D" w14:textId="77777777" w:rsidR="00434A8B" w:rsidRPr="00C2088B" w:rsidRDefault="00434A8B" w:rsidP="008E44CA">
      <w:pPr>
        <w:pStyle w:val="FootnoteText"/>
      </w:pPr>
      <w:r w:rsidRPr="00C2088B">
        <w:rPr>
          <w:rStyle w:val="FootnoteReference"/>
          <w:sz w:val="20"/>
        </w:rPr>
        <w:footnoteRef/>
      </w:r>
      <w:r w:rsidRPr="00C2088B">
        <w:t xml:space="preserve"> </w:t>
      </w:r>
      <w:r w:rsidRPr="00C2088B">
        <w:rPr>
          <w:i/>
        </w:rPr>
        <w:t>Id</w:t>
      </w:r>
      <w:r w:rsidRPr="00C2088B">
        <w:t>.</w:t>
      </w:r>
      <w:r w:rsidRPr="00C2088B">
        <w:rPr>
          <w:i/>
        </w:rPr>
        <w:t xml:space="preserve"> </w:t>
      </w:r>
      <w:r w:rsidRPr="00C2088B">
        <w:t>at 1.</w:t>
      </w:r>
    </w:p>
  </w:footnote>
  <w:footnote w:id="382">
    <w:p w14:paraId="655BABA6" w14:textId="6899A8B9" w:rsidR="00434A8B" w:rsidRPr="00C2088B" w:rsidRDefault="00434A8B" w:rsidP="008E44CA">
      <w:pPr>
        <w:pStyle w:val="FootnoteText"/>
      </w:pPr>
      <w:r w:rsidRPr="00C2088B">
        <w:rPr>
          <w:rStyle w:val="FootnoteReference"/>
          <w:sz w:val="20"/>
        </w:rPr>
        <w:footnoteRef/>
      </w:r>
      <w:r w:rsidRPr="00C2088B">
        <w:t xml:space="preserve"> </w:t>
      </w:r>
      <w:r w:rsidRPr="00C2088B">
        <w:rPr>
          <w:i/>
        </w:rPr>
        <w:t>Id</w:t>
      </w:r>
      <w:r w:rsidRPr="00C2088B">
        <w:t>., Attachment B</w:t>
      </w:r>
      <w:r w:rsidRPr="00C2088B">
        <w:rPr>
          <w:i/>
        </w:rPr>
        <w:t xml:space="preserve">.  </w:t>
      </w:r>
      <w:r w:rsidRPr="00C2088B">
        <w:t xml:space="preserve">This factor was derived from USDA’s Food and Nutrition Service (FNS) administrative data to represent the remainder of the free students (those determined free based on income) and the reduced price students for schools qualifying for the CEO. The factor will be 1.6 through school year 2013-2014 (July 1, 2013 through June 30, 2014).  </w:t>
      </w:r>
      <w:r w:rsidRPr="00C2088B">
        <w:rPr>
          <w:i/>
        </w:rPr>
        <w:t>Id.</w:t>
      </w:r>
      <w:r w:rsidRPr="00C2088B">
        <w:t xml:space="preserve">  No later than December 31, 2013, the USDA is required to publish a report, among other things, assessing the impact of the CEO option, the number of schools and</w:t>
      </w:r>
      <w:r>
        <w:t xml:space="preserve"> local education agencies</w:t>
      </w:r>
      <w:r w:rsidRPr="00C2088B">
        <w:t xml:space="preserve"> </w:t>
      </w:r>
      <w:r>
        <w:t>(</w:t>
      </w:r>
      <w:r w:rsidRPr="00C2088B">
        <w:t>LEAs</w:t>
      </w:r>
      <w:r>
        <w:t>)</w:t>
      </w:r>
      <w:r w:rsidRPr="00C2088B">
        <w:t xml:space="preserve"> eligible to elect the CEO, and the multiplier selected (between 1.3 and 1.6) that the USDA intends to use for the 2014-2015 school  year and beyond.  </w:t>
      </w:r>
      <w:r w:rsidRPr="00C2088B">
        <w:rPr>
          <w:i/>
        </w:rPr>
        <w:t>See</w:t>
      </w:r>
      <w:r w:rsidRPr="00C2088B">
        <w:t xml:space="preserve"> Healthy, Hunger-Free Kids Act of 2010.  Schools electing the CEO will keep the same factor for an entire four-year cycle and do not have to implement changes until the next four-year cycle if the CEO is elected again.  </w:t>
      </w:r>
      <w:r w:rsidRPr="00C2088B">
        <w:rPr>
          <w:i/>
        </w:rPr>
        <w:t xml:space="preserve">See </w:t>
      </w:r>
      <w:r w:rsidRPr="00C2088B">
        <w:t>CEO 2012-2013 Program Guidance, Attachment B.</w:t>
      </w:r>
    </w:p>
  </w:footnote>
  <w:footnote w:id="383">
    <w:p w14:paraId="08D4E4D6" w14:textId="77777777" w:rsidR="00434A8B" w:rsidRPr="00C2088B" w:rsidRDefault="00434A8B" w:rsidP="008E44CA">
      <w:pPr>
        <w:pStyle w:val="FootnoteText"/>
      </w:pPr>
      <w:r w:rsidRPr="00C2088B">
        <w:rPr>
          <w:rStyle w:val="FootnoteReference"/>
          <w:sz w:val="20"/>
        </w:rPr>
        <w:footnoteRef/>
      </w:r>
      <w:r w:rsidRPr="00C2088B">
        <w:t xml:space="preserve"> CEO 2012-2013 Program Guidance at 1.</w:t>
      </w:r>
    </w:p>
  </w:footnote>
  <w:footnote w:id="384">
    <w:p w14:paraId="797B3B0D" w14:textId="3A965B25" w:rsidR="00434A8B" w:rsidRPr="00C2088B" w:rsidRDefault="00434A8B" w:rsidP="00647347">
      <w:pPr>
        <w:pStyle w:val="FootnoteText"/>
      </w:pPr>
      <w:r w:rsidRPr="00C2088B">
        <w:rPr>
          <w:rStyle w:val="FootnoteReference"/>
          <w:sz w:val="20"/>
        </w:rPr>
        <w:footnoteRef/>
      </w:r>
      <w:r w:rsidRPr="00C2088B">
        <w:t xml:space="preserve"> For example, under the E-rate program, using a 40% NSLP eligibility number, a school would receive a 60% urban discount and a 70% rural discount.  Under CEO, a school that has 40% of its students directly certified for the NSLP would qualify for a 64</w:t>
      </w:r>
      <w:r>
        <w:t>%</w:t>
      </w:r>
      <w:r w:rsidRPr="00C2088B">
        <w:t xml:space="preserve"> rate using the 1.6 multiplier.  Applying the CEO eligibility figure of 64% to the current E-rate discount matrix, the school would receive an 80% discount rather than a 60% (urban) or 70% (rural) discount.</w:t>
      </w:r>
    </w:p>
  </w:footnote>
  <w:footnote w:id="385">
    <w:p w14:paraId="079562AE" w14:textId="0E4A1C23" w:rsidR="00434A8B" w:rsidRPr="00C2088B" w:rsidRDefault="00434A8B" w:rsidP="00647347">
      <w:pPr>
        <w:pStyle w:val="FootnoteText"/>
      </w:pPr>
      <w:r w:rsidRPr="00C2088B">
        <w:rPr>
          <w:rStyle w:val="FootnoteReference"/>
          <w:sz w:val="20"/>
        </w:rPr>
        <w:footnoteRef/>
      </w:r>
      <w:r w:rsidRPr="00C2088B">
        <w:t xml:space="preserve"> </w:t>
      </w:r>
      <w:r w:rsidRPr="00C2088B">
        <w:rPr>
          <w:i/>
        </w:rPr>
        <w:t>See</w:t>
      </w:r>
      <w:r w:rsidRPr="00C2088B">
        <w:t xml:space="preserve"> Letter to Mel Blackwell, Vice President, Schools and Libraries Division, USAC, from Trent B. Harkrader, Chief, Telecommunications Access Policy Division, Wireline Competition Bureau, </w:t>
      </w:r>
      <w:r w:rsidR="007E0FCA">
        <w:t xml:space="preserve">27 FCC Rcd </w:t>
      </w:r>
      <w:r w:rsidR="007E0FCA" w:rsidRPr="007E0FCA">
        <w:t>8860</w:t>
      </w:r>
      <w:r w:rsidR="007E0FCA">
        <w:t xml:space="preserve"> </w:t>
      </w:r>
      <w:r w:rsidRPr="00C2088B">
        <w:t>(</w:t>
      </w:r>
      <w:r w:rsidR="007E0FCA">
        <w:t xml:space="preserve">Wireline Comp. Bur. </w:t>
      </w:r>
      <w:r w:rsidRPr="00C2088B">
        <w:t xml:space="preserve">2012). </w:t>
      </w:r>
    </w:p>
  </w:footnote>
  <w:footnote w:id="386">
    <w:p w14:paraId="08F7518E" w14:textId="6B7A164B" w:rsidR="00434A8B" w:rsidRPr="00C2088B" w:rsidRDefault="00434A8B" w:rsidP="00647347">
      <w:pPr>
        <w:pStyle w:val="FootnoteText"/>
      </w:pPr>
      <w:r w:rsidRPr="00C2088B">
        <w:rPr>
          <w:rStyle w:val="FootnoteReference"/>
          <w:sz w:val="20"/>
        </w:rPr>
        <w:footnoteRef/>
      </w:r>
      <w:r w:rsidRPr="00C2088B">
        <w:t xml:space="preserve"> </w:t>
      </w:r>
      <w:r w:rsidRPr="00C2088B">
        <w:rPr>
          <w:i/>
        </w:rPr>
        <w:t>See</w:t>
      </w:r>
      <w:r w:rsidRPr="00C2088B">
        <w:t xml:space="preserve"> U. S. Department of Commerce, U.S Census Bureau, American Community Survey, </w:t>
      </w:r>
      <w:r w:rsidRPr="00C2088B">
        <w:rPr>
          <w:i/>
        </w:rPr>
        <w:t xml:space="preserve">available at </w:t>
      </w:r>
      <w:hyperlink r:id="rId95" w:history="1">
        <w:r w:rsidRPr="00C2088B">
          <w:rPr>
            <w:rStyle w:val="Hyperlink"/>
          </w:rPr>
          <w:t>http://www.census.gov/acs/www/</w:t>
        </w:r>
      </w:hyperlink>
      <w:r w:rsidRPr="00C2088B">
        <w:t xml:space="preserve"> (last visited July 15, 2013) (ACS Guidance); Using American Community Survey Data to Expand Access to the School Meals Programs.</w:t>
      </w:r>
      <w:r w:rsidRPr="00C2088B">
        <w:rPr>
          <w:i/>
          <w:iCs/>
        </w:rPr>
        <w:t xml:space="preserve"> </w:t>
      </w:r>
      <w:r w:rsidRPr="00C2088B">
        <w:t xml:space="preserve">Panel on Estimating Children Eligible for School Nutrition Programs Using the American Community Survey, Allen Schirm and Nancy Kirkendall, Ed. Committee on National Statistics, Division of Behavioral and Social Sciences and Education, Washington, DC: The National Academies Press, </w:t>
      </w:r>
      <w:r w:rsidRPr="00C2088B">
        <w:rPr>
          <w:i/>
        </w:rPr>
        <w:t>available at</w:t>
      </w:r>
      <w:r w:rsidRPr="00C2088B">
        <w:t xml:space="preserve"> </w:t>
      </w:r>
      <w:hyperlink r:id="rId96" w:history="1">
        <w:r w:rsidRPr="00C2088B">
          <w:rPr>
            <w:rStyle w:val="Hyperlink"/>
          </w:rPr>
          <w:t>http://www.nap.edu/catalog.php?record_id=13409</w:t>
        </w:r>
      </w:hyperlink>
      <w:r w:rsidRPr="00C2088B">
        <w:t xml:space="preserve"> (last visited July 15, 2013) (report summarizing the technical and operational feasibility of using data from the ACS to estimate students eligible for free and reduced-price meals for schools and school districts).</w:t>
      </w:r>
    </w:p>
  </w:footnote>
  <w:footnote w:id="387">
    <w:p w14:paraId="13006BBC" w14:textId="77777777" w:rsidR="00434A8B" w:rsidRPr="00C2088B" w:rsidRDefault="00434A8B" w:rsidP="00647347">
      <w:pPr>
        <w:pStyle w:val="FootnoteText"/>
      </w:pPr>
      <w:r w:rsidRPr="00C2088B">
        <w:rPr>
          <w:rStyle w:val="FootnoteReference"/>
          <w:sz w:val="20"/>
        </w:rPr>
        <w:footnoteRef/>
      </w:r>
      <w:r w:rsidRPr="00C2088B">
        <w:t xml:space="preserve"> In the </w:t>
      </w:r>
      <w:r w:rsidRPr="00C2088B">
        <w:rPr>
          <w:i/>
        </w:rPr>
        <w:t>Universal Service First Report and Order</w:t>
      </w:r>
      <w:r w:rsidRPr="00C2088B">
        <w:t xml:space="preserve">, the Commission chose not to adopt a proposal to use U.S. Census Bureau data or a proposal to consider the value of owner-occupied housing or median household income and population density to determine a school’s poverty level because the Commission found that these methods may burden many schools with the task of collecting additional data. </w:t>
      </w:r>
      <w:r w:rsidRPr="00C2088B">
        <w:rPr>
          <w:i/>
        </w:rPr>
        <w:t>See</w:t>
      </w:r>
      <w:r w:rsidRPr="00C2088B">
        <w:t xml:space="preserve"> </w:t>
      </w:r>
      <w:r w:rsidRPr="00C2088B">
        <w:rPr>
          <w:i/>
        </w:rPr>
        <w:t>Universal Service First Report and Order</w:t>
      </w:r>
      <w:r w:rsidRPr="00C2088B">
        <w:t xml:space="preserve">, 12 FCC Rcd at 9046, para. 511.  The Commission also found that these methods, to the extent they measure the wealth of a school’s surrounding area rather than the wealth of a school’s students are less accurate than the federally-approved alternative mechanisms.  </w:t>
      </w:r>
      <w:r w:rsidRPr="00C2088B">
        <w:rPr>
          <w:i/>
        </w:rPr>
        <w:t>Id</w:t>
      </w:r>
      <w:r w:rsidRPr="00C2088B">
        <w:t>.</w:t>
      </w:r>
    </w:p>
  </w:footnote>
  <w:footnote w:id="388">
    <w:p w14:paraId="1231D927" w14:textId="6BEB615A" w:rsidR="00434A8B" w:rsidRPr="00C2088B" w:rsidRDefault="00434A8B" w:rsidP="00647347">
      <w:pPr>
        <w:pStyle w:val="FootnoteText"/>
      </w:pPr>
      <w:r w:rsidRPr="00C2088B">
        <w:rPr>
          <w:rStyle w:val="FootnoteReference"/>
          <w:sz w:val="20"/>
        </w:rPr>
        <w:footnoteRef/>
      </w:r>
      <w:r w:rsidRPr="00C2088B">
        <w:t xml:space="preserve"> </w:t>
      </w:r>
      <w:r w:rsidRPr="00C2088B">
        <w:rPr>
          <w:i/>
        </w:rPr>
        <w:t xml:space="preserve">See </w:t>
      </w:r>
      <w:r w:rsidRPr="00C2088B">
        <w:t xml:space="preserve">ACS Guidance, Data &amp; Documentation, </w:t>
      </w:r>
      <w:r w:rsidRPr="00C2088B">
        <w:rPr>
          <w:i/>
        </w:rPr>
        <w:t xml:space="preserve">available at </w:t>
      </w:r>
      <w:hyperlink r:id="rId97" w:history="1">
        <w:r w:rsidRPr="00C2088B">
          <w:rPr>
            <w:rStyle w:val="Hyperlink"/>
          </w:rPr>
          <w:t>http://www.census.gov/acs/www/data_documentation/data_main/</w:t>
        </w:r>
      </w:hyperlink>
      <w:r w:rsidRPr="00C2088B">
        <w:t xml:space="preserve"> (last visited July 15, 2013).</w:t>
      </w:r>
    </w:p>
  </w:footnote>
  <w:footnote w:id="389">
    <w:p w14:paraId="1D645615" w14:textId="1C9E9B3D" w:rsidR="00434A8B" w:rsidRPr="00C2088B" w:rsidRDefault="00434A8B" w:rsidP="00647347">
      <w:pPr>
        <w:pStyle w:val="FootnoteText"/>
      </w:pPr>
      <w:r w:rsidRPr="00C2088B">
        <w:rPr>
          <w:rStyle w:val="FootnoteReference"/>
          <w:sz w:val="20"/>
        </w:rPr>
        <w:footnoteRef/>
      </w:r>
      <w:r w:rsidRPr="00C2088B">
        <w:t xml:space="preserve"> </w:t>
      </w:r>
      <w:r w:rsidRPr="00C2088B">
        <w:rPr>
          <w:i/>
        </w:rPr>
        <w:t xml:space="preserve">See </w:t>
      </w:r>
      <w:r w:rsidRPr="00330566">
        <w:t>USDA, Food and Nutrition Service (FNS),</w:t>
      </w:r>
      <w:r w:rsidRPr="00330566">
        <w:rPr>
          <w:b/>
          <w:bCs/>
        </w:rPr>
        <w:t xml:space="preserve"> </w:t>
      </w:r>
      <w:r w:rsidRPr="00330566">
        <w:t>USDA Announces Next States Chosen to Phase In Streamlined Free School Meal Option, Press Release,</w:t>
      </w:r>
      <w:r w:rsidRPr="00330566">
        <w:rPr>
          <w:b/>
          <w:bCs/>
        </w:rPr>
        <w:t xml:space="preserve"> </w:t>
      </w:r>
      <w:r w:rsidRPr="00330566">
        <w:t xml:space="preserve"> Release No. FNS-2.12 (rel. May 4, 2012), </w:t>
      </w:r>
      <w:r w:rsidRPr="00330566">
        <w:rPr>
          <w:i/>
          <w:iCs/>
        </w:rPr>
        <w:t xml:space="preserve">available at </w:t>
      </w:r>
      <w:hyperlink r:id="rId98" w:history="1">
        <w:r w:rsidRPr="00330566">
          <w:rPr>
            <w:rStyle w:val="Hyperlink"/>
          </w:rPr>
          <w:t>http://www.fns.usda.gov/cga/pressreleases/2012/FNS-2.htm</w:t>
        </w:r>
      </w:hyperlink>
      <w:r w:rsidRPr="00330566">
        <w:t xml:space="preserve"> (last visited July 1</w:t>
      </w:r>
      <w:r>
        <w:t>5</w:t>
      </w:r>
      <w:r w:rsidRPr="00330566">
        <w:t>, 2013) (USDA FNS Press Release).</w:t>
      </w:r>
    </w:p>
  </w:footnote>
  <w:footnote w:id="390">
    <w:p w14:paraId="2D471DDA" w14:textId="22B072BD" w:rsidR="00434A8B" w:rsidRPr="00C2088B" w:rsidRDefault="00434A8B" w:rsidP="00647347">
      <w:pPr>
        <w:pStyle w:val="FootnoteText"/>
      </w:pPr>
      <w:r w:rsidRPr="00C2088B">
        <w:rPr>
          <w:rStyle w:val="FootnoteReference"/>
          <w:sz w:val="20"/>
        </w:rPr>
        <w:footnoteRef/>
      </w:r>
      <w:r w:rsidRPr="00C2088B">
        <w:t xml:space="preserve"> For example, suppose a school with 100 students sent a survey to all of its students, and 60 surveys were returned.  If 40 of the students are eligible for NSLP (</w:t>
      </w:r>
      <w:r w:rsidR="00A519CB" w:rsidRPr="00A519CB">
        <w:rPr>
          <w:i/>
        </w:rPr>
        <w:t>i.e.</w:t>
      </w:r>
      <w:r w:rsidRPr="00C2088B">
        <w:t>, 66</w:t>
      </w:r>
      <w:r>
        <w:t>%</w:t>
      </w:r>
      <w:r w:rsidRPr="00C2088B">
        <w:t xml:space="preserve"> of the returned surveys) then the school may project the 66</w:t>
      </w:r>
      <w:r>
        <w:t>%</w:t>
      </w:r>
      <w:r w:rsidRPr="00C2088B">
        <w:t xml:space="preserve"> to the total school enrollment.  </w:t>
      </w:r>
      <w:r w:rsidRPr="00C2088B">
        <w:rPr>
          <w:i/>
        </w:rPr>
        <w:t>See</w:t>
      </w:r>
      <w:r w:rsidRPr="00C2088B">
        <w:t xml:space="preserve"> USAC, Schools and Libraries, Applying for Discounts, </w:t>
      </w:r>
      <w:r w:rsidRPr="00C2088B">
        <w:rPr>
          <w:i/>
        </w:rPr>
        <w:t>available at</w:t>
      </w:r>
      <w:r w:rsidRPr="00C2088B">
        <w:t xml:space="preserve"> </w:t>
      </w:r>
      <w:hyperlink r:id="rId99" w:history="1">
        <w:r w:rsidRPr="00C2088B">
          <w:rPr>
            <w:rStyle w:val="Hyperlink"/>
          </w:rPr>
          <w:t>http://www.usac.org/sl/applicants/step04/alternative-discounts.aspx</w:t>
        </w:r>
      </w:hyperlink>
      <w:r w:rsidRPr="00C2088B">
        <w:t xml:space="preserve"> (last visited July 15, 2013).</w:t>
      </w:r>
    </w:p>
  </w:footnote>
  <w:footnote w:id="391">
    <w:p w14:paraId="1C50ECD8" w14:textId="77777777" w:rsidR="00434A8B" w:rsidRPr="00C2088B" w:rsidRDefault="00434A8B" w:rsidP="00647347">
      <w:pPr>
        <w:pStyle w:val="FootnoteText"/>
      </w:pPr>
      <w:r w:rsidRPr="00C2088B">
        <w:rPr>
          <w:rStyle w:val="FootnoteReference"/>
          <w:sz w:val="20"/>
        </w:rPr>
        <w:footnoteRef/>
      </w:r>
      <w:r w:rsidRPr="00C2088B">
        <w:t xml:space="preserve"> </w:t>
      </w:r>
      <w:r w:rsidRPr="00C2088B">
        <w:rPr>
          <w:i/>
        </w:rPr>
        <w:t>Id</w:t>
      </w:r>
      <w:r w:rsidRPr="00C2088B">
        <w:t>.</w:t>
      </w:r>
    </w:p>
  </w:footnote>
  <w:footnote w:id="392">
    <w:p w14:paraId="679ADA3B" w14:textId="77777777" w:rsidR="00434A8B" w:rsidRPr="00C2088B" w:rsidRDefault="00434A8B" w:rsidP="00647347">
      <w:pPr>
        <w:pStyle w:val="FootnoteText"/>
      </w:pPr>
      <w:r w:rsidRPr="00C2088B">
        <w:rPr>
          <w:rStyle w:val="FootnoteReference"/>
          <w:sz w:val="20"/>
        </w:rPr>
        <w:footnoteRef/>
      </w:r>
      <w:r w:rsidRPr="00C2088B">
        <w:t xml:space="preserve"> </w:t>
      </w:r>
      <w:r w:rsidRPr="00C2088B">
        <w:rPr>
          <w:i/>
        </w:rPr>
        <w:t>See</w:t>
      </w:r>
      <w:r w:rsidRPr="00C2088B">
        <w:t xml:space="preserve"> Healthy, Hunger-Free Kids Act of 2010 at § 104(a)(1)(F)(vii)(I).  </w:t>
      </w:r>
      <w:r w:rsidRPr="00C2088B">
        <w:rPr>
          <w:color w:val="000000"/>
        </w:rPr>
        <w:t xml:space="preserve">Schools electing the CEO will keep the same multiplier for an entire four-year cycle and do not have to implement changes to the multiplier until the next cycle if the CREO is elected again. </w:t>
      </w:r>
      <w:r w:rsidRPr="00C2088B">
        <w:rPr>
          <w:i/>
        </w:rPr>
        <w:t>See</w:t>
      </w:r>
      <w:r w:rsidRPr="00C2088B">
        <w:t xml:space="preserve"> School Year 2012-2013 CEO Program Guidance, Attachment B (Frequently Asked CEO Questions).</w:t>
      </w:r>
    </w:p>
  </w:footnote>
  <w:footnote w:id="393">
    <w:p w14:paraId="3AB2F961" w14:textId="77777777" w:rsidR="00434A8B" w:rsidRPr="00C2088B" w:rsidRDefault="00434A8B" w:rsidP="00647347">
      <w:pPr>
        <w:pStyle w:val="FootnoteText"/>
      </w:pPr>
      <w:r w:rsidRPr="00C2088B">
        <w:rPr>
          <w:rStyle w:val="FootnoteReference"/>
          <w:sz w:val="20"/>
        </w:rPr>
        <w:footnoteRef/>
      </w:r>
      <w:r w:rsidRPr="00C2088B">
        <w:t xml:space="preserve"> </w:t>
      </w:r>
      <w:r w:rsidRPr="00C2088B">
        <w:rPr>
          <w:i/>
        </w:rPr>
        <w:t xml:space="preserve">See </w:t>
      </w:r>
      <w:r w:rsidRPr="00C2088B">
        <w:t>CEO 2012-2013 Program Guidance, Attachment B.</w:t>
      </w:r>
    </w:p>
  </w:footnote>
  <w:footnote w:id="394">
    <w:p w14:paraId="7F15BFF2" w14:textId="77777777" w:rsidR="00434A8B" w:rsidRPr="00C2088B" w:rsidRDefault="00434A8B" w:rsidP="00647347">
      <w:pPr>
        <w:pStyle w:val="FootnoteText"/>
      </w:pPr>
      <w:r w:rsidRPr="00C2088B">
        <w:rPr>
          <w:rStyle w:val="FootnoteReference"/>
          <w:sz w:val="20"/>
        </w:rPr>
        <w:footnoteRef/>
      </w:r>
      <w:r w:rsidRPr="00C2088B">
        <w:t xml:space="preserve"> </w:t>
      </w:r>
      <w:r w:rsidRPr="00C2088B">
        <w:rPr>
          <w:i/>
        </w:rPr>
        <w:t>See</w:t>
      </w:r>
      <w:r w:rsidRPr="00C2088B">
        <w:t xml:space="preserve"> 47 C.F.R. § 54.505.</w:t>
      </w:r>
    </w:p>
  </w:footnote>
  <w:footnote w:id="395">
    <w:p w14:paraId="46574D8C" w14:textId="704AE4E0" w:rsidR="00434A8B" w:rsidRPr="00C2088B" w:rsidRDefault="00434A8B">
      <w:pPr>
        <w:pStyle w:val="FootnoteText"/>
      </w:pPr>
      <w:r w:rsidRPr="00C2088B">
        <w:rPr>
          <w:rStyle w:val="FootnoteReference"/>
          <w:sz w:val="20"/>
        </w:rPr>
        <w:footnoteRef/>
      </w:r>
      <w:r w:rsidRPr="00C2088B">
        <w:t xml:space="preserve"> </w:t>
      </w:r>
      <w:r w:rsidR="00E33DA7" w:rsidRPr="00E33DA7">
        <w:rPr>
          <w:i/>
        </w:rPr>
        <w:t>See, e.g.,</w:t>
      </w:r>
      <w:r w:rsidRPr="00C2088B">
        <w:t xml:space="preserve"> U.S. Department of Justice, Office of Public Affairs, </w:t>
      </w:r>
      <w:r w:rsidRPr="004F322C">
        <w:t>Businessman Convicted In Dallas Independent School District (DISD) Corruption Case Sentenced to 10 Years in Federal Prison</w:t>
      </w:r>
      <w:r w:rsidRPr="00C2088B">
        <w:t xml:space="preserve">, (Nov. 13, 2008), </w:t>
      </w:r>
      <w:r w:rsidRPr="00510855">
        <w:rPr>
          <w:i/>
        </w:rPr>
        <w:t>available at</w:t>
      </w:r>
      <w:r w:rsidRPr="00C2088B">
        <w:t xml:space="preserve"> </w:t>
      </w:r>
      <w:hyperlink r:id="rId100" w:history="1">
        <w:r w:rsidRPr="00C2088B">
          <w:rPr>
            <w:rStyle w:val="Hyperlink"/>
          </w:rPr>
          <w:t>http://www.justice.gov/opa/pr/2009/June/09-civ-632.html</w:t>
        </w:r>
      </w:hyperlink>
      <w:r w:rsidRPr="00C2088B">
        <w:t xml:space="preserve"> (last visited July 15, 2013); Press Release, U.S. Department of Justice, </w:t>
      </w:r>
      <w:r w:rsidRPr="004F322C">
        <w:t>Six Corporations and Five Individuals Indicted in Connection with Schemes to Defraud the Federal E-rate Program</w:t>
      </w:r>
      <w:r w:rsidRPr="00C2088B">
        <w:t xml:space="preserve">, (Apr. 7, 2005), </w:t>
      </w:r>
      <w:r w:rsidRPr="00C2088B">
        <w:rPr>
          <w:i/>
        </w:rPr>
        <w:t>available at</w:t>
      </w:r>
      <w:r w:rsidRPr="00C2088B">
        <w:t xml:space="preserve"> </w:t>
      </w:r>
      <w:hyperlink r:id="rId101" w:history="1">
        <w:r w:rsidRPr="00C2088B">
          <w:rPr>
            <w:rStyle w:val="Hyperlink"/>
          </w:rPr>
          <w:t>http://www.justice.gov/atr/public/press_releases/2005/208469.htm</w:t>
        </w:r>
      </w:hyperlink>
      <w:r w:rsidRPr="00C2088B">
        <w:t xml:space="preserve"> (last visited July 15, 2013); U.S. Department of Justice, Office of Public Affairs, </w:t>
      </w:r>
      <w:r w:rsidRPr="004F322C">
        <w:t>U.S. Settles Lawsuits Against Hewlett-Packard and Intervenes Against its Business Partners for Violating FCC Competitive Bidding Rules in Texas</w:t>
      </w:r>
      <w:r w:rsidRPr="00C2088B">
        <w:t xml:space="preserve">, (Nov. 10, 2010), </w:t>
      </w:r>
      <w:r w:rsidRPr="00C2088B">
        <w:rPr>
          <w:i/>
        </w:rPr>
        <w:t>available at</w:t>
      </w:r>
      <w:r w:rsidRPr="00C2088B">
        <w:t xml:space="preserve"> </w:t>
      </w:r>
      <w:hyperlink r:id="rId102" w:history="1">
        <w:r w:rsidRPr="00C2088B">
          <w:rPr>
            <w:rStyle w:val="Hyperlink"/>
          </w:rPr>
          <w:t>http://www.justice.gov/opa/pr/2010/November/10-civ-1284.html</w:t>
        </w:r>
      </w:hyperlink>
      <w:r w:rsidRPr="00C2088B">
        <w:t xml:space="preserve"> (last visited July 15, 2013).</w:t>
      </w:r>
    </w:p>
  </w:footnote>
  <w:footnote w:id="396">
    <w:p w14:paraId="1E46BE0A" w14:textId="6EB68E7C" w:rsidR="00434A8B" w:rsidRPr="00C2088B" w:rsidRDefault="00434A8B" w:rsidP="000408F0">
      <w:pPr>
        <w:pStyle w:val="FootnoteText"/>
      </w:pPr>
      <w:r w:rsidRPr="00C2088B">
        <w:rPr>
          <w:rStyle w:val="FootnoteReference"/>
          <w:sz w:val="20"/>
        </w:rPr>
        <w:footnoteRef/>
      </w:r>
      <w:r w:rsidRPr="00C2088B">
        <w:t xml:space="preserve"> </w:t>
      </w:r>
      <w:r w:rsidR="00E33DA7" w:rsidRPr="00E33DA7">
        <w:rPr>
          <w:i/>
        </w:rPr>
        <w:t>See, e.g.,</w:t>
      </w:r>
      <w:r w:rsidRPr="00C2088B">
        <w:t xml:space="preserve">, Press Release, Federal Communications Commission, </w:t>
      </w:r>
      <w:r w:rsidRPr="004F322C">
        <w:t>HP To Pay $16.25 Million to Settle  DOJ-FCC E-rate Fraud Investigation</w:t>
      </w:r>
      <w:r w:rsidRPr="00C2088B">
        <w:t xml:space="preserve">, DOC-302764A1 (Nov. 10, 2010), </w:t>
      </w:r>
      <w:r w:rsidRPr="00C2088B">
        <w:rPr>
          <w:i/>
        </w:rPr>
        <w:t>available at</w:t>
      </w:r>
      <w:r w:rsidRPr="00C2088B">
        <w:t xml:space="preserve"> </w:t>
      </w:r>
      <w:hyperlink r:id="rId103" w:history="1">
        <w:r w:rsidRPr="00C2088B">
          <w:rPr>
            <w:rStyle w:val="Hyperlink"/>
          </w:rPr>
          <w:t>http://hraunfoss.fcc.gov/edocs_public/attachmatch/DOC-302764A1.pdf</w:t>
        </w:r>
      </w:hyperlink>
      <w:r w:rsidRPr="00C2088B">
        <w:t xml:space="preserve">  (last visited July 9, 2013).</w:t>
      </w:r>
    </w:p>
  </w:footnote>
  <w:footnote w:id="397">
    <w:p w14:paraId="1AF558BB" w14:textId="29AD184A" w:rsidR="00434A8B" w:rsidRPr="00C2088B" w:rsidRDefault="00434A8B">
      <w:pPr>
        <w:pStyle w:val="FootnoteText"/>
      </w:pPr>
      <w:r w:rsidRPr="00C2088B">
        <w:rPr>
          <w:rStyle w:val="FootnoteReference"/>
          <w:sz w:val="20"/>
        </w:rPr>
        <w:footnoteRef/>
      </w:r>
      <w:r w:rsidRPr="00C2088B">
        <w:t xml:space="preserve"> </w:t>
      </w:r>
      <w:r w:rsidRPr="00C2088B">
        <w:rPr>
          <w:i/>
        </w:rPr>
        <w:t>See</w:t>
      </w:r>
      <w:r w:rsidRPr="00C2088B">
        <w:t xml:space="preserve"> </w:t>
      </w:r>
      <w:r w:rsidRPr="004F322C">
        <w:rPr>
          <w:i/>
        </w:rPr>
        <w:t xml:space="preserve">Schools and Libraries </w:t>
      </w:r>
      <w:r w:rsidRPr="00C2088B">
        <w:rPr>
          <w:i/>
        </w:rPr>
        <w:t>Second Report and Order</w:t>
      </w:r>
      <w:r w:rsidRPr="00C2088B">
        <w:t xml:space="preserve">, 18 FCC Rcd at 9224-29 (adopting suspension and debarment rules); </w:t>
      </w:r>
      <w:r w:rsidRPr="00C2088B">
        <w:rPr>
          <w:i/>
        </w:rPr>
        <w:t>See also</w:t>
      </w:r>
      <w:r w:rsidRPr="00C2088B">
        <w:t xml:space="preserve"> Federal Communications Commission, Enforcement Bureau, Universal Service Fund Suspension and Debarment Actions, </w:t>
      </w:r>
      <w:r w:rsidRPr="00C2088B">
        <w:rPr>
          <w:i/>
        </w:rPr>
        <w:t>available at</w:t>
      </w:r>
      <w:r w:rsidRPr="00C2088B">
        <w:t xml:space="preserve"> </w:t>
      </w:r>
      <w:hyperlink r:id="rId104" w:history="1">
        <w:r w:rsidRPr="00C2088B">
          <w:rPr>
            <w:rStyle w:val="Hyperlink"/>
          </w:rPr>
          <w:t>http://transition.fcc.gov/eb/usfc/sdr.html</w:t>
        </w:r>
      </w:hyperlink>
      <w:r w:rsidRPr="00C2088B">
        <w:t xml:space="preserve"> (last visited July 15, 2013)(providing a list of E-rate suspensions and debarments); USAC, Schools and Libraries, Program Integrity, Suspensions and Debarments, </w:t>
      </w:r>
      <w:r w:rsidRPr="00C2088B">
        <w:rPr>
          <w:i/>
        </w:rPr>
        <w:t>available at</w:t>
      </w:r>
      <w:r w:rsidRPr="00C2088B">
        <w:t xml:space="preserve"> </w:t>
      </w:r>
      <w:hyperlink r:id="rId105" w:history="1">
        <w:r w:rsidRPr="00C2088B">
          <w:rPr>
            <w:rStyle w:val="Hyperlink"/>
          </w:rPr>
          <w:t>http://www.usac.org/sl/about/program-integrity/suspensions-debarments.aspx</w:t>
        </w:r>
      </w:hyperlink>
      <w:r w:rsidRPr="00C2088B">
        <w:t xml:space="preserve"> (last visited July 15, 2013).</w:t>
      </w:r>
    </w:p>
  </w:footnote>
  <w:footnote w:id="398">
    <w:p w14:paraId="5159C244" w14:textId="77777777" w:rsidR="00434A8B" w:rsidRPr="00C2088B" w:rsidRDefault="00434A8B" w:rsidP="0040657A">
      <w:pPr>
        <w:pStyle w:val="FootnoteText"/>
      </w:pPr>
      <w:r w:rsidRPr="00C2088B">
        <w:rPr>
          <w:rStyle w:val="FootnoteReference"/>
          <w:sz w:val="20"/>
        </w:rPr>
        <w:footnoteRef/>
      </w:r>
      <w:r w:rsidRPr="00C2088B">
        <w:t xml:space="preserve"> 47 C.F.R. § 54.516(a)(1).</w:t>
      </w:r>
    </w:p>
  </w:footnote>
  <w:footnote w:id="399">
    <w:p w14:paraId="7B7E9DB7" w14:textId="77777777" w:rsidR="00434A8B" w:rsidRPr="00C2088B" w:rsidRDefault="00434A8B" w:rsidP="0040657A">
      <w:pPr>
        <w:pStyle w:val="FootnoteText"/>
      </w:pPr>
      <w:r w:rsidRPr="00C2088B">
        <w:rPr>
          <w:rStyle w:val="FootnoteReference"/>
          <w:sz w:val="20"/>
        </w:rPr>
        <w:footnoteRef/>
      </w:r>
      <w:r w:rsidRPr="00C2088B">
        <w:t xml:space="preserve"> </w:t>
      </w:r>
      <w:r w:rsidRPr="00C2088B">
        <w:rPr>
          <w:i/>
        </w:rPr>
        <w:t>Id.</w:t>
      </w:r>
    </w:p>
  </w:footnote>
  <w:footnote w:id="400">
    <w:p w14:paraId="43756EB7" w14:textId="77777777" w:rsidR="00434A8B" w:rsidRPr="00C2088B" w:rsidRDefault="00434A8B" w:rsidP="0040657A">
      <w:pPr>
        <w:pStyle w:val="FootnoteText"/>
      </w:pPr>
      <w:r w:rsidRPr="00C2088B">
        <w:rPr>
          <w:rStyle w:val="FootnoteReference"/>
          <w:sz w:val="20"/>
        </w:rPr>
        <w:footnoteRef/>
      </w:r>
      <w:r w:rsidRPr="00C2088B">
        <w:t xml:space="preserve"> 47 C.F.R. § 54.516(a)(2).</w:t>
      </w:r>
    </w:p>
  </w:footnote>
  <w:footnote w:id="401">
    <w:p w14:paraId="0B25386D" w14:textId="504C3A4A" w:rsidR="00434A8B" w:rsidRPr="00C2088B" w:rsidRDefault="00434A8B" w:rsidP="0040657A">
      <w:pPr>
        <w:pStyle w:val="FootnoteText"/>
      </w:pPr>
      <w:r w:rsidRPr="00C2088B">
        <w:rPr>
          <w:rStyle w:val="FootnoteReference"/>
          <w:sz w:val="20"/>
        </w:rPr>
        <w:footnoteRef/>
      </w:r>
      <w:r w:rsidRPr="00C2088B">
        <w:t xml:space="preserve"> </w:t>
      </w:r>
      <w:r w:rsidRPr="00C2088B">
        <w:rPr>
          <w:i/>
        </w:rPr>
        <w:t>See</w:t>
      </w:r>
      <w:r w:rsidRPr="00C2088B">
        <w:t xml:space="preserve"> </w:t>
      </w:r>
      <w:r w:rsidRPr="00C2088B">
        <w:rPr>
          <w:i/>
          <w:iCs/>
        </w:rPr>
        <w:t>USF/ICC Transformation Order</w:t>
      </w:r>
      <w:r w:rsidRPr="00C2088B">
        <w:rPr>
          <w:color w:val="000000"/>
        </w:rPr>
        <w:t>, 26 FCC Rcd at 17864  paras. 619-21</w:t>
      </w:r>
      <w:r w:rsidRPr="00C2088B">
        <w:t xml:space="preserve">; </w:t>
      </w:r>
      <w:r w:rsidRPr="00C2088B">
        <w:rPr>
          <w:i/>
          <w:iCs/>
        </w:rPr>
        <w:t>pets. for review pending sub nom. In re: FCC 11-161</w:t>
      </w:r>
      <w:r w:rsidRPr="00C2088B">
        <w:t>, No. 11-9900 (10th Cir. filed Dec. 8, 2011).</w:t>
      </w:r>
    </w:p>
  </w:footnote>
  <w:footnote w:id="402">
    <w:p w14:paraId="2DF26E30" w14:textId="77777777" w:rsidR="00434A8B" w:rsidRPr="00C2088B" w:rsidRDefault="00434A8B" w:rsidP="0040657A">
      <w:pPr>
        <w:pStyle w:val="FootnoteText"/>
      </w:pPr>
      <w:r w:rsidRPr="00C2088B">
        <w:rPr>
          <w:rStyle w:val="FootnoteReference"/>
          <w:sz w:val="20"/>
        </w:rPr>
        <w:footnoteRef/>
      </w:r>
      <w:r w:rsidRPr="00C2088B">
        <w:t xml:space="preserve"> 31 U.S.C. §§ 3729-33.  Under the False Claims Act, carriers receiving funds under fraudulent pretenses may be held liable for a civil penalty of between $5,000 and $10,000, plus treble damages.  31 U.S.C. § 3729(a)(1). </w:t>
      </w:r>
    </w:p>
  </w:footnote>
  <w:footnote w:id="403">
    <w:p w14:paraId="4879F0F1" w14:textId="6C78A2A4" w:rsidR="00434A8B" w:rsidRPr="00C2088B" w:rsidRDefault="00434A8B" w:rsidP="0040657A">
      <w:pPr>
        <w:pStyle w:val="FootnoteText"/>
      </w:pPr>
      <w:r w:rsidRPr="00C2088B">
        <w:rPr>
          <w:rStyle w:val="FootnoteReference"/>
          <w:sz w:val="20"/>
        </w:rPr>
        <w:footnoteRef/>
      </w:r>
      <w:r w:rsidRPr="00C2088B">
        <w:t xml:space="preserve"> </w:t>
      </w:r>
      <w:r w:rsidRPr="00C2088B">
        <w:rPr>
          <w:i/>
        </w:rPr>
        <w:t>See</w:t>
      </w:r>
      <w:r w:rsidRPr="00C2088B">
        <w:t xml:space="preserve"> </w:t>
      </w:r>
      <w:r w:rsidRPr="00C2088B">
        <w:rPr>
          <w:i/>
          <w:iCs/>
        </w:rPr>
        <w:t>USF/ICC Transformation Order</w:t>
      </w:r>
      <w:r w:rsidRPr="00C2088B">
        <w:rPr>
          <w:iCs/>
        </w:rPr>
        <w:t xml:space="preserve">, 26 FCC Rcd at 17864, paras. 619-21. </w:t>
      </w:r>
    </w:p>
  </w:footnote>
  <w:footnote w:id="404">
    <w:p w14:paraId="091D2EA9" w14:textId="728DC228" w:rsidR="00434A8B" w:rsidRPr="00C2088B" w:rsidRDefault="00434A8B" w:rsidP="0040657A">
      <w:pPr>
        <w:spacing w:after="120"/>
        <w:rPr>
          <w:sz w:val="20"/>
        </w:rPr>
      </w:pPr>
      <w:r w:rsidRPr="00C2088B">
        <w:rPr>
          <w:rStyle w:val="FootnoteReference"/>
          <w:sz w:val="20"/>
        </w:rPr>
        <w:footnoteRef/>
      </w:r>
      <w:r w:rsidRPr="00C2088B">
        <w:rPr>
          <w:sz w:val="20"/>
        </w:rPr>
        <w:t xml:space="preserve"> </w:t>
      </w:r>
      <w:r w:rsidRPr="00C2088B">
        <w:rPr>
          <w:i/>
          <w:iCs/>
          <w:sz w:val="20"/>
        </w:rPr>
        <w:t xml:space="preserve">See Lifeline Reform </w:t>
      </w:r>
      <w:r w:rsidRPr="00C2088B">
        <w:rPr>
          <w:i/>
          <w:sz w:val="20"/>
        </w:rPr>
        <w:t>Order</w:t>
      </w:r>
      <w:r w:rsidRPr="00C2088B">
        <w:rPr>
          <w:sz w:val="20"/>
        </w:rPr>
        <w:t>, 27 FCC Rcd at 6857, paras. 505-</w:t>
      </w:r>
      <w:r>
        <w:rPr>
          <w:sz w:val="20"/>
        </w:rPr>
        <w:t>0</w:t>
      </w:r>
      <w:r w:rsidRPr="00C2088B">
        <w:rPr>
          <w:sz w:val="20"/>
        </w:rPr>
        <w:t>6</w:t>
      </w:r>
      <w:r w:rsidRPr="00C2088B">
        <w:rPr>
          <w:i/>
          <w:iCs/>
          <w:sz w:val="20"/>
        </w:rPr>
        <w:t>.</w:t>
      </w:r>
    </w:p>
  </w:footnote>
  <w:footnote w:id="405">
    <w:p w14:paraId="4EFE3682" w14:textId="77777777" w:rsidR="00434A8B" w:rsidRPr="00C2088B" w:rsidRDefault="00434A8B" w:rsidP="00E42441">
      <w:pPr>
        <w:pStyle w:val="FootnoteText"/>
      </w:pPr>
      <w:r w:rsidRPr="00C2088B">
        <w:rPr>
          <w:rStyle w:val="FootnoteReference"/>
          <w:sz w:val="20"/>
        </w:rPr>
        <w:footnoteRef/>
      </w:r>
      <w:r w:rsidRPr="00C2088B">
        <w:t xml:space="preserve"> </w:t>
      </w:r>
      <w:r w:rsidRPr="00C2088B">
        <w:rPr>
          <w:i/>
        </w:rPr>
        <w:t>Id.</w:t>
      </w:r>
    </w:p>
  </w:footnote>
  <w:footnote w:id="406">
    <w:p w14:paraId="1BEEACAA" w14:textId="0296C059" w:rsidR="00434A8B" w:rsidRPr="00C2088B" w:rsidRDefault="00434A8B" w:rsidP="009511F9">
      <w:pPr>
        <w:pStyle w:val="FootnoteText"/>
      </w:pPr>
      <w:r w:rsidRPr="004118B5">
        <w:rPr>
          <w:rStyle w:val="FootnoteReference"/>
          <w:sz w:val="20"/>
        </w:rPr>
        <w:footnoteRef/>
      </w:r>
      <w:r w:rsidRPr="004118B5">
        <w:t xml:space="preserve"> </w:t>
      </w:r>
      <w:r w:rsidRPr="00C2088B">
        <w:rPr>
          <w:i/>
        </w:rPr>
        <w:t>See infra</w:t>
      </w:r>
      <w:r w:rsidRPr="00C2088B">
        <w:t xml:space="preserve"> para</w:t>
      </w:r>
      <w:r w:rsidR="00F415CF">
        <w:t>s</w:t>
      </w:r>
      <w:r w:rsidRPr="00C2088B">
        <w:t>.</w:t>
      </w:r>
      <w:r w:rsidR="00F415CF">
        <w:t xml:space="preserve"> </w:t>
      </w:r>
      <w:r w:rsidR="00F415CF">
        <w:fldChar w:fldCharType="begin"/>
      </w:r>
      <w:r w:rsidR="00F415CF">
        <w:instrText xml:space="preserve"> REF _Ref362341327 \r \h </w:instrText>
      </w:r>
      <w:r w:rsidR="00F415CF">
        <w:fldChar w:fldCharType="separate"/>
      </w:r>
      <w:r w:rsidR="00A0395D">
        <w:t>301</w:t>
      </w:r>
      <w:r w:rsidR="00F415CF">
        <w:fldChar w:fldCharType="end"/>
      </w:r>
      <w:r w:rsidR="00F415CF">
        <w:t>-</w:t>
      </w:r>
      <w:r w:rsidR="00F415CF">
        <w:fldChar w:fldCharType="begin"/>
      </w:r>
      <w:r w:rsidR="00F415CF">
        <w:instrText xml:space="preserve"> REF _Ref362341314 \r \h </w:instrText>
      </w:r>
      <w:r w:rsidR="00F415CF">
        <w:fldChar w:fldCharType="separate"/>
      </w:r>
      <w:r w:rsidR="00A0395D">
        <w:t>303</w:t>
      </w:r>
      <w:r w:rsidR="00F415CF">
        <w:fldChar w:fldCharType="end"/>
      </w:r>
      <w:r w:rsidRPr="00C2088B">
        <w:t xml:space="preserve"> </w:t>
      </w:r>
    </w:p>
  </w:footnote>
  <w:footnote w:id="407">
    <w:p w14:paraId="2E62BD3E" w14:textId="77777777" w:rsidR="00434A8B" w:rsidRPr="00C2088B" w:rsidRDefault="00434A8B" w:rsidP="009511F9">
      <w:pPr>
        <w:pStyle w:val="FootnoteText"/>
      </w:pPr>
      <w:r w:rsidRPr="00C2088B">
        <w:rPr>
          <w:rStyle w:val="FootnoteReference"/>
          <w:sz w:val="20"/>
        </w:rPr>
        <w:footnoteRef/>
      </w:r>
      <w:r w:rsidRPr="00C2088B">
        <w:t xml:space="preserve"> </w:t>
      </w:r>
      <w:r w:rsidRPr="00C2088B">
        <w:rPr>
          <w:i/>
        </w:rPr>
        <w:t>See</w:t>
      </w:r>
      <w:r w:rsidRPr="00C2088B">
        <w:t xml:space="preserve"> </w:t>
      </w:r>
      <w:r w:rsidRPr="00C2088B">
        <w:rPr>
          <w:color w:val="000000"/>
        </w:rPr>
        <w:t>Schools and Libraries</w:t>
      </w:r>
      <w:r w:rsidRPr="00C2088B">
        <w:rPr>
          <w:b/>
          <w:color w:val="000000"/>
        </w:rPr>
        <w:t xml:space="preserve"> </w:t>
      </w:r>
      <w:r w:rsidRPr="00C2088B">
        <w:rPr>
          <w:color w:val="000000"/>
        </w:rPr>
        <w:t>Universal Service, Description of Services Requested and Certification Form, OMB 3060-0806 (October 2010) (FCC Form 470).</w:t>
      </w:r>
    </w:p>
  </w:footnote>
  <w:footnote w:id="408">
    <w:p w14:paraId="1D02B1F1" w14:textId="77777777" w:rsidR="00434A8B" w:rsidRPr="00C2088B" w:rsidRDefault="00434A8B" w:rsidP="009511F9">
      <w:pPr>
        <w:pStyle w:val="FootnoteText"/>
      </w:pPr>
      <w:r w:rsidRPr="00C2088B">
        <w:rPr>
          <w:rStyle w:val="FootnoteReference"/>
          <w:sz w:val="20"/>
        </w:rPr>
        <w:footnoteRef/>
      </w:r>
      <w:r w:rsidRPr="00C2088B">
        <w:t xml:space="preserve"> </w:t>
      </w:r>
      <w:r w:rsidRPr="00C2088B">
        <w:rPr>
          <w:i/>
        </w:rPr>
        <w:t>Id.</w:t>
      </w:r>
      <w:r w:rsidRPr="00C2088B">
        <w:t xml:space="preserve"> at Block 5, Certifications and Signature. </w:t>
      </w:r>
    </w:p>
  </w:footnote>
  <w:footnote w:id="409">
    <w:p w14:paraId="0B7129CB" w14:textId="77777777" w:rsidR="00434A8B" w:rsidRPr="00C2088B" w:rsidRDefault="00434A8B" w:rsidP="009511F9">
      <w:pPr>
        <w:pStyle w:val="FootnoteText"/>
      </w:pPr>
      <w:r w:rsidRPr="00C2088B">
        <w:rPr>
          <w:rStyle w:val="FootnoteReference"/>
          <w:sz w:val="20"/>
        </w:rPr>
        <w:footnoteRef/>
      </w:r>
      <w:r w:rsidRPr="00C2088B">
        <w:t xml:space="preserve"> </w:t>
      </w:r>
      <w:r w:rsidRPr="00C2088B">
        <w:rPr>
          <w:i/>
        </w:rPr>
        <w:t xml:space="preserve">See </w:t>
      </w:r>
      <w:r w:rsidRPr="00C2088B">
        <w:t>Schools and Libraries Universal Service, Services Ordered and Certification Form, OMB 3060-0806 (October 2010) (FCC Form 471).</w:t>
      </w:r>
    </w:p>
  </w:footnote>
  <w:footnote w:id="410">
    <w:p w14:paraId="0F5D0FEA" w14:textId="77777777" w:rsidR="00434A8B" w:rsidRPr="00C2088B" w:rsidRDefault="00434A8B" w:rsidP="009511F9">
      <w:pPr>
        <w:pStyle w:val="FootnoteText"/>
      </w:pPr>
      <w:r w:rsidRPr="00C2088B">
        <w:rPr>
          <w:rStyle w:val="FootnoteReference"/>
          <w:sz w:val="20"/>
        </w:rPr>
        <w:footnoteRef/>
      </w:r>
      <w:r w:rsidRPr="00C2088B">
        <w:t xml:space="preserve"> </w:t>
      </w:r>
      <w:r w:rsidRPr="00C2088B">
        <w:rPr>
          <w:i/>
        </w:rPr>
        <w:t>Id.</w:t>
      </w:r>
      <w:r w:rsidRPr="00C2088B">
        <w:t xml:space="preserve"> at Block 6, Certifications and Signature. </w:t>
      </w:r>
    </w:p>
  </w:footnote>
  <w:footnote w:id="411">
    <w:p w14:paraId="00383C35" w14:textId="0BADB869" w:rsidR="00434A8B" w:rsidRPr="00C2088B" w:rsidRDefault="00434A8B" w:rsidP="009511F9">
      <w:pPr>
        <w:pStyle w:val="FootnoteText"/>
      </w:pPr>
      <w:r w:rsidRPr="00C2088B">
        <w:rPr>
          <w:rStyle w:val="FootnoteReference"/>
          <w:sz w:val="20"/>
        </w:rPr>
        <w:footnoteRef/>
      </w:r>
      <w:r w:rsidRPr="00C2088B">
        <w:t xml:space="preserve"> </w:t>
      </w:r>
      <w:r w:rsidRPr="00C2088B">
        <w:rPr>
          <w:i/>
        </w:rPr>
        <w:t xml:space="preserve">See </w:t>
      </w:r>
      <w:r w:rsidRPr="00C2088B">
        <w:t>Universal Service for Schools and Libraries, Billed Entity Applicant Reimbursement Form, OMB 3060-0856 (April 2007) (FCC Form 472).</w:t>
      </w:r>
    </w:p>
  </w:footnote>
  <w:footnote w:id="412">
    <w:p w14:paraId="086A7993" w14:textId="77777777" w:rsidR="00434A8B" w:rsidRPr="00C2088B" w:rsidRDefault="00434A8B" w:rsidP="009511F9">
      <w:pPr>
        <w:pStyle w:val="FootnoteText"/>
      </w:pPr>
      <w:r w:rsidRPr="00C2088B">
        <w:rPr>
          <w:rStyle w:val="FootnoteReference"/>
          <w:sz w:val="20"/>
        </w:rPr>
        <w:footnoteRef/>
      </w:r>
      <w:r w:rsidRPr="00C2088B">
        <w:t xml:space="preserve"> </w:t>
      </w:r>
      <w:r w:rsidRPr="00C2088B">
        <w:rPr>
          <w:i/>
        </w:rPr>
        <w:t>Id.</w:t>
      </w:r>
      <w:r w:rsidRPr="00C2088B">
        <w:t xml:space="preserve"> at Block 3, Billed Entity Certification, and Block 4, Service Provider Acknowledgment. </w:t>
      </w:r>
    </w:p>
  </w:footnote>
  <w:footnote w:id="413">
    <w:p w14:paraId="77C6B858" w14:textId="228841DA" w:rsidR="00434A8B" w:rsidRPr="00C2088B" w:rsidRDefault="00434A8B" w:rsidP="009511F9">
      <w:pPr>
        <w:pStyle w:val="FootnoteText"/>
      </w:pPr>
      <w:r w:rsidRPr="00C2088B">
        <w:rPr>
          <w:rStyle w:val="FootnoteReference"/>
          <w:sz w:val="20"/>
        </w:rPr>
        <w:footnoteRef/>
      </w:r>
      <w:r w:rsidRPr="00C2088B">
        <w:t xml:space="preserve"> </w:t>
      </w:r>
      <w:r w:rsidRPr="00C2088B">
        <w:rPr>
          <w:i/>
        </w:rPr>
        <w:t xml:space="preserve">See </w:t>
      </w:r>
      <w:r w:rsidRPr="00C2088B">
        <w:t>Universal Service for Schools and Libraries, Service Provider Annual Certification Form, OMB 3060-0856 (April 2007) (FCC Form 473).</w:t>
      </w:r>
    </w:p>
  </w:footnote>
  <w:footnote w:id="414">
    <w:p w14:paraId="1D9AFC2D" w14:textId="77777777" w:rsidR="00434A8B" w:rsidRPr="00C2088B" w:rsidRDefault="00434A8B" w:rsidP="009511F9">
      <w:pPr>
        <w:pStyle w:val="FootnoteText"/>
      </w:pPr>
      <w:r w:rsidRPr="00C2088B">
        <w:rPr>
          <w:rStyle w:val="FootnoteReference"/>
          <w:sz w:val="20"/>
        </w:rPr>
        <w:footnoteRef/>
      </w:r>
      <w:r w:rsidRPr="00C2088B">
        <w:t xml:space="preserve"> </w:t>
      </w:r>
      <w:r w:rsidRPr="00C2088B">
        <w:rPr>
          <w:i/>
        </w:rPr>
        <w:t>Id.</w:t>
      </w:r>
      <w:r w:rsidRPr="00C2088B">
        <w:t xml:space="preserve"> at Block 2, Certification. </w:t>
      </w:r>
    </w:p>
  </w:footnote>
  <w:footnote w:id="415">
    <w:p w14:paraId="5DC90A69" w14:textId="77777777" w:rsidR="00434A8B" w:rsidRPr="00C2088B" w:rsidRDefault="00434A8B" w:rsidP="009511F9">
      <w:pPr>
        <w:pStyle w:val="FootnoteText"/>
      </w:pPr>
      <w:r w:rsidRPr="00C2088B">
        <w:rPr>
          <w:rStyle w:val="FootnoteReference"/>
          <w:sz w:val="20"/>
        </w:rPr>
        <w:footnoteRef/>
      </w:r>
      <w:r w:rsidRPr="00C2088B">
        <w:t xml:space="preserve"> </w:t>
      </w:r>
      <w:r w:rsidRPr="00C2088B">
        <w:rPr>
          <w:i/>
        </w:rPr>
        <w:t xml:space="preserve">See </w:t>
      </w:r>
      <w:r w:rsidRPr="00C2088B">
        <w:t>Schools and Libraries Universal Service, Service Provider Invoice Form, OMB 3060-0856 (April 2007) (FCC Form 474).</w:t>
      </w:r>
    </w:p>
  </w:footnote>
  <w:footnote w:id="416">
    <w:p w14:paraId="04A1439A" w14:textId="77777777" w:rsidR="00434A8B" w:rsidRPr="00C2088B" w:rsidRDefault="00434A8B" w:rsidP="009511F9">
      <w:pPr>
        <w:pStyle w:val="FootnoteText"/>
      </w:pPr>
      <w:r w:rsidRPr="00C2088B">
        <w:rPr>
          <w:rStyle w:val="FootnoteReference"/>
          <w:sz w:val="20"/>
        </w:rPr>
        <w:footnoteRef/>
      </w:r>
      <w:r w:rsidRPr="00C2088B">
        <w:t xml:space="preserve"> </w:t>
      </w:r>
      <w:r w:rsidRPr="00C2088B">
        <w:rPr>
          <w:i/>
        </w:rPr>
        <w:t>Id.</w:t>
      </w:r>
    </w:p>
  </w:footnote>
  <w:footnote w:id="417">
    <w:p w14:paraId="39AB1C2D" w14:textId="77777777" w:rsidR="00434A8B" w:rsidRPr="00C2088B" w:rsidRDefault="00434A8B" w:rsidP="009511F9">
      <w:pPr>
        <w:pStyle w:val="FootnoteText"/>
      </w:pPr>
      <w:r w:rsidRPr="00C2088B">
        <w:rPr>
          <w:rStyle w:val="FootnoteReference"/>
          <w:sz w:val="20"/>
        </w:rPr>
        <w:footnoteRef/>
      </w:r>
      <w:r w:rsidRPr="00C2088B">
        <w:rPr>
          <w:i/>
        </w:rPr>
        <w:t xml:space="preserve"> See</w:t>
      </w:r>
      <w:r w:rsidRPr="00C2088B">
        <w:t xml:space="preserve"> </w:t>
      </w:r>
      <w:r w:rsidRPr="00C2088B">
        <w:rPr>
          <w:i/>
        </w:rPr>
        <w:t>Wireline Competition Bureau Seeks Comment on Revision to FCC Forms 472, 473, and 474</w:t>
      </w:r>
      <w:r w:rsidRPr="00C2088B">
        <w:t>, CC Docket No. 02-6, Public Notice, 28 FCC Rcd 2210 (Wireline Comp. Bur. 2013) (</w:t>
      </w:r>
      <w:r w:rsidRPr="004F322C">
        <w:rPr>
          <w:i/>
        </w:rPr>
        <w:t>FCC Forms 472, 473, and 474 Public Notice</w:t>
      </w:r>
      <w:r w:rsidRPr="00C2088B">
        <w:t>).</w:t>
      </w:r>
    </w:p>
  </w:footnote>
  <w:footnote w:id="418">
    <w:p w14:paraId="7464AAC8" w14:textId="77777777" w:rsidR="00434A8B" w:rsidRPr="00C2088B" w:rsidRDefault="00434A8B" w:rsidP="009511F9">
      <w:pPr>
        <w:pStyle w:val="FootnoteText"/>
      </w:pPr>
      <w:r w:rsidRPr="00C2088B">
        <w:rPr>
          <w:rStyle w:val="FootnoteReference"/>
          <w:sz w:val="20"/>
        </w:rPr>
        <w:footnoteRef/>
      </w:r>
      <w:r w:rsidRPr="00C2088B">
        <w:t xml:space="preserve"> </w:t>
      </w:r>
      <w:r w:rsidRPr="00C2088B">
        <w:rPr>
          <w:i/>
        </w:rPr>
        <w:t xml:space="preserve">See </w:t>
      </w:r>
      <w:r w:rsidRPr="00C2088B">
        <w:t xml:space="preserve">Schools and Libraries Universal Service, </w:t>
      </w:r>
      <w:r w:rsidRPr="00C2088B">
        <w:rPr>
          <w:bCs/>
        </w:rPr>
        <w:t>Certification by Administrative Authority to Billed Entity of Compliance with the Children’s Internet Protection Act</w:t>
      </w:r>
      <w:r w:rsidRPr="00C2088B">
        <w:t>, OMB 3060-0853 (April 2007) (FCC Form 479).</w:t>
      </w:r>
    </w:p>
  </w:footnote>
  <w:footnote w:id="419">
    <w:p w14:paraId="54F8C2F3" w14:textId="77777777" w:rsidR="00434A8B" w:rsidRPr="00C2088B" w:rsidRDefault="00434A8B" w:rsidP="009511F9">
      <w:pPr>
        <w:pStyle w:val="FootnoteText"/>
      </w:pPr>
      <w:r w:rsidRPr="00C2088B">
        <w:rPr>
          <w:rStyle w:val="FootnoteReference"/>
          <w:sz w:val="20"/>
        </w:rPr>
        <w:footnoteRef/>
      </w:r>
      <w:r w:rsidRPr="00C2088B">
        <w:t xml:space="preserve"> </w:t>
      </w:r>
      <w:r w:rsidRPr="00C2088B">
        <w:rPr>
          <w:i/>
        </w:rPr>
        <w:t>Id.</w:t>
      </w:r>
      <w:r w:rsidRPr="00C2088B">
        <w:t xml:space="preserve"> at Block 2, Certifications and Signature. </w:t>
      </w:r>
    </w:p>
  </w:footnote>
  <w:footnote w:id="420">
    <w:p w14:paraId="665BCDB3" w14:textId="60531A64" w:rsidR="00434A8B" w:rsidRPr="00C2088B" w:rsidRDefault="00434A8B" w:rsidP="009511F9">
      <w:pPr>
        <w:pStyle w:val="FootnoteText"/>
      </w:pPr>
      <w:r w:rsidRPr="00C2088B">
        <w:rPr>
          <w:rStyle w:val="FootnoteReference"/>
          <w:sz w:val="20"/>
        </w:rPr>
        <w:footnoteRef/>
      </w:r>
      <w:r w:rsidRPr="00C2088B">
        <w:t xml:space="preserve"> </w:t>
      </w:r>
      <w:r w:rsidRPr="00C2088B">
        <w:rPr>
          <w:i/>
        </w:rPr>
        <w:t xml:space="preserve">See </w:t>
      </w:r>
      <w:r w:rsidRPr="00C2088B">
        <w:t xml:space="preserve">Universal Service for Schools and Libraries, </w:t>
      </w:r>
      <w:r w:rsidRPr="00C2088B">
        <w:rPr>
          <w:bCs/>
          <w:color w:val="000000"/>
        </w:rPr>
        <w:t>Receipt of Service Confirmation Form</w:t>
      </w:r>
      <w:r w:rsidRPr="00C2088B">
        <w:t>, OMB 3060-0853 (April 2007) (FCC Form 486).</w:t>
      </w:r>
    </w:p>
  </w:footnote>
  <w:footnote w:id="421">
    <w:p w14:paraId="6AEF3BAB" w14:textId="77777777" w:rsidR="00434A8B" w:rsidRPr="00C2088B" w:rsidRDefault="00434A8B" w:rsidP="009511F9">
      <w:pPr>
        <w:pStyle w:val="FootnoteText"/>
      </w:pPr>
      <w:r w:rsidRPr="00C2088B">
        <w:rPr>
          <w:rStyle w:val="FootnoteReference"/>
          <w:sz w:val="20"/>
        </w:rPr>
        <w:footnoteRef/>
      </w:r>
      <w:r w:rsidRPr="00C2088B">
        <w:t xml:space="preserve"> </w:t>
      </w:r>
      <w:r w:rsidRPr="00C2088B">
        <w:rPr>
          <w:i/>
        </w:rPr>
        <w:t>Id.</w:t>
      </w:r>
      <w:r w:rsidRPr="00C2088B">
        <w:t xml:space="preserve"> at Block 4, Certifications and Signature. </w:t>
      </w:r>
    </w:p>
  </w:footnote>
  <w:footnote w:id="422">
    <w:p w14:paraId="76D101AF" w14:textId="6F285221" w:rsidR="00434A8B" w:rsidRPr="00C2088B" w:rsidRDefault="00434A8B" w:rsidP="009511F9">
      <w:pPr>
        <w:pStyle w:val="FootnoteText"/>
      </w:pPr>
      <w:r w:rsidRPr="00C2088B">
        <w:rPr>
          <w:rStyle w:val="FootnoteReference"/>
          <w:sz w:val="20"/>
        </w:rPr>
        <w:footnoteRef/>
      </w:r>
      <w:r w:rsidRPr="00C2088B">
        <w:t xml:space="preserve"> </w:t>
      </w:r>
      <w:r w:rsidRPr="00C2088B">
        <w:rPr>
          <w:i/>
        </w:rPr>
        <w:t xml:space="preserve">See </w:t>
      </w:r>
      <w:r w:rsidRPr="00C2088B">
        <w:t xml:space="preserve">Universal Service for Schools and Libraries, </w:t>
      </w:r>
      <w:r w:rsidRPr="00C2088B">
        <w:rPr>
          <w:bCs/>
        </w:rPr>
        <w:t>Adjustment of Funding Commitment and Modification to Receipt of Service Confirmation Form</w:t>
      </w:r>
      <w:r w:rsidRPr="00C2088B">
        <w:t>, OMB 3060-0853 (April 2007) (FCC Form 500).</w:t>
      </w:r>
    </w:p>
  </w:footnote>
  <w:footnote w:id="423">
    <w:p w14:paraId="4B3A8C70" w14:textId="77777777" w:rsidR="00434A8B" w:rsidRPr="00C2088B" w:rsidRDefault="00434A8B" w:rsidP="009511F9">
      <w:pPr>
        <w:pStyle w:val="FootnoteText"/>
      </w:pPr>
      <w:r w:rsidRPr="00C2088B">
        <w:rPr>
          <w:rStyle w:val="FootnoteReference"/>
          <w:sz w:val="20"/>
        </w:rPr>
        <w:footnoteRef/>
      </w:r>
      <w:r w:rsidRPr="00C2088B">
        <w:t xml:space="preserve"> </w:t>
      </w:r>
      <w:r w:rsidRPr="00C2088B">
        <w:rPr>
          <w:i/>
        </w:rPr>
        <w:t>Id.</w:t>
      </w:r>
      <w:r w:rsidRPr="00C2088B">
        <w:t xml:space="preserve"> at Block 3, Certification.  </w:t>
      </w:r>
    </w:p>
  </w:footnote>
  <w:footnote w:id="424">
    <w:p w14:paraId="202A73E4" w14:textId="77777777" w:rsidR="00434A8B" w:rsidRPr="00C2088B" w:rsidRDefault="00434A8B" w:rsidP="009511F9">
      <w:pPr>
        <w:pStyle w:val="FootnoteText"/>
      </w:pPr>
      <w:r w:rsidRPr="00C2088B">
        <w:rPr>
          <w:rStyle w:val="FootnoteReference"/>
          <w:sz w:val="20"/>
        </w:rPr>
        <w:footnoteRef/>
      </w:r>
      <w:r w:rsidRPr="00C2088B">
        <w:t xml:space="preserve"> </w:t>
      </w:r>
      <w:r w:rsidRPr="00C2088B">
        <w:rPr>
          <w:i/>
        </w:rPr>
        <w:t xml:space="preserve">See </w:t>
      </w:r>
      <w:r w:rsidRPr="004F322C">
        <w:rPr>
          <w:i/>
        </w:rPr>
        <w:t>FCC Forms 472, 473, and 474 Public Notice</w:t>
      </w:r>
      <w:r w:rsidRPr="00C2088B">
        <w:t>.</w:t>
      </w:r>
    </w:p>
  </w:footnote>
  <w:footnote w:id="425">
    <w:p w14:paraId="17ACA515" w14:textId="6D1D18A0" w:rsidR="00434A8B" w:rsidRPr="00C2088B" w:rsidRDefault="00434A8B" w:rsidP="009511F9">
      <w:pPr>
        <w:pStyle w:val="FootnoteText"/>
      </w:pPr>
      <w:r w:rsidRPr="00C2088B">
        <w:rPr>
          <w:rStyle w:val="FootnoteReference"/>
          <w:sz w:val="20"/>
        </w:rPr>
        <w:footnoteRef/>
      </w:r>
      <w:r w:rsidRPr="00C2088B">
        <w:t xml:space="preserve"> </w:t>
      </w:r>
      <w:r w:rsidRPr="00C2088B">
        <w:rPr>
          <w:i/>
        </w:rPr>
        <w:t>See</w:t>
      </w:r>
      <w:r w:rsidRPr="00C2088B">
        <w:t xml:space="preserve"> Opposition of United States Telecom Association, CC Docket No. 02-6 (filed Mar. 27, 2013); Comments of The Schultz Group, PLLC, CC Docket No. 02-6 (filed Mar. 27, 2013); Comments of Sprint Nextel Corporation, CC Docket No. 02-6 (filed Mar. 27, 2013); Comments of CSM Consulting, Inc., CC Docket No. 02-6 (filed Mar. 27, 2013); Comments from the State E-rate Coordinators’ Alliance, CC Docket No. 02-6 (filed Mar. 27, 2013); Reply to Comments of Edline, LLC, CC Docket No. 02-6 (filed Apr. 8, 2013); Reply to Comments of the National Cable &amp; Telecommunications Association, CC Docket No. 02-6 (filed Apr. 8, 2013).  </w:t>
      </w:r>
    </w:p>
  </w:footnote>
  <w:footnote w:id="426">
    <w:p w14:paraId="5545D365" w14:textId="77777777" w:rsidR="00434A8B" w:rsidRPr="00C2088B" w:rsidRDefault="00434A8B" w:rsidP="009511F9">
      <w:pPr>
        <w:pStyle w:val="FootnoteText"/>
      </w:pPr>
      <w:r w:rsidRPr="00C2088B">
        <w:rPr>
          <w:rStyle w:val="FootnoteReference"/>
          <w:sz w:val="20"/>
        </w:rPr>
        <w:footnoteRef/>
      </w:r>
      <w:r w:rsidRPr="00C2088B">
        <w:t xml:space="preserve"> </w:t>
      </w:r>
      <w:r w:rsidRPr="00C2088B">
        <w:rPr>
          <w:i/>
        </w:rPr>
        <w:t xml:space="preserve">See </w:t>
      </w:r>
      <w:r w:rsidRPr="00C2088B">
        <w:t>47 C.F.R. § 54.503(c)(2) (listing some of the FCC Form 470 certifications);  47 C.F.R. § 54.504(a)(1) (listing some of the FCC Form 471 certifications); 47 C.F.R. § 54.504(f) (listing some of the FCC Form 473 certifications); 47 C.F.R. § 54.520(c) (indicating the required CIPA certifications on the FCC Forms 479 and 486); 47 C.F.R. § 54.08(c) (requiring confirmation on the FCC Form 486 that the applicant’s technology plan was approved before they began receiving services).</w:t>
      </w:r>
    </w:p>
  </w:footnote>
  <w:footnote w:id="427">
    <w:p w14:paraId="72CBAF71" w14:textId="77777777" w:rsidR="00434A8B" w:rsidRPr="00C2088B" w:rsidRDefault="00434A8B" w:rsidP="009511F9">
      <w:pPr>
        <w:pStyle w:val="FootnoteText"/>
      </w:pPr>
      <w:r w:rsidRPr="00C2088B">
        <w:rPr>
          <w:rStyle w:val="FootnoteReference"/>
          <w:sz w:val="20"/>
        </w:rPr>
        <w:footnoteRef/>
      </w:r>
      <w:r w:rsidRPr="00C2088B">
        <w:t xml:space="preserve"> </w:t>
      </w:r>
      <w:r w:rsidRPr="00C2088B">
        <w:rPr>
          <w:i/>
        </w:rPr>
        <w:t xml:space="preserve">See </w:t>
      </w:r>
      <w:r w:rsidRPr="00C2088B">
        <w:t>FCC Form 471 at Block 6, Certifications and Signature; 47 C.F.R. § 54.504(a)(1) (2013).</w:t>
      </w:r>
    </w:p>
  </w:footnote>
  <w:footnote w:id="428">
    <w:p w14:paraId="0B167585" w14:textId="0A64923A" w:rsidR="00434A8B" w:rsidRPr="00C2088B" w:rsidRDefault="00434A8B" w:rsidP="00DB4A25">
      <w:pPr>
        <w:pStyle w:val="FootnoteText"/>
      </w:pPr>
      <w:r w:rsidRPr="00C2088B">
        <w:rPr>
          <w:rStyle w:val="FootnoteReference"/>
          <w:sz w:val="20"/>
        </w:rPr>
        <w:footnoteRef/>
      </w:r>
      <w:r w:rsidRPr="00C2088B">
        <w:t xml:space="preserve"> We recognize that in Section </w:t>
      </w:r>
      <w:r w:rsidR="00EA3723">
        <w:t>G</w:t>
      </w:r>
      <w:r w:rsidRPr="00C2088B">
        <w:t xml:space="preserve">, Invoicing and Disbursement Process, of this item we propose to modify our invoicing process to permit schools and libraries to receive disbursements directly from USAC.  </w:t>
      </w:r>
      <w:r w:rsidRPr="00C2088B">
        <w:rPr>
          <w:i/>
        </w:rPr>
        <w:t xml:space="preserve">See supra </w:t>
      </w:r>
      <w:r w:rsidRPr="00C2088B">
        <w:t xml:space="preserve">paras. </w:t>
      </w:r>
      <w:r w:rsidRPr="00C2088B">
        <w:fldChar w:fldCharType="begin"/>
      </w:r>
      <w:r w:rsidRPr="00C2088B">
        <w:instrText xml:space="preserve"> REF _Ref360207144 \r \h  \* MERGEFORMAT </w:instrText>
      </w:r>
      <w:r w:rsidRPr="00C2088B">
        <w:fldChar w:fldCharType="separate"/>
      </w:r>
      <w:r w:rsidR="00A0395D">
        <w:t>262</w:t>
      </w:r>
      <w:r w:rsidRPr="00C2088B">
        <w:fldChar w:fldCharType="end"/>
      </w:r>
      <w:r w:rsidRPr="00C2088B">
        <w:t>-</w:t>
      </w:r>
      <w:r w:rsidRPr="00C2088B">
        <w:fldChar w:fldCharType="begin"/>
      </w:r>
      <w:r w:rsidRPr="00C2088B">
        <w:instrText xml:space="preserve"> REF _Ref360207149 \r \h  \* MERGEFORMAT </w:instrText>
      </w:r>
      <w:r w:rsidRPr="00C2088B">
        <w:fldChar w:fldCharType="separate"/>
      </w:r>
      <w:r w:rsidR="00A0395D">
        <w:t>263</w:t>
      </w:r>
      <w:r w:rsidRPr="00C2088B">
        <w:fldChar w:fldCharType="end"/>
      </w:r>
      <w:r w:rsidRPr="00C2088B">
        <w:t xml:space="preserve">.  We thus seek comment on whether the FCC Form 473, the Service Provider Annual Certification Form, should incorporate Block 4 of the FCC Form 472, BEAR Form, to include the current service provider acknowledgement certifications in Block 4 of the current FCC Form 472.  </w:t>
      </w:r>
      <w:r w:rsidRPr="00C2088B">
        <w:rPr>
          <w:i/>
        </w:rPr>
        <w:t xml:space="preserve">See supra </w:t>
      </w:r>
      <w:r w:rsidRPr="00C2088B">
        <w:t xml:space="preserve">para. </w:t>
      </w:r>
      <w:r w:rsidRPr="00C2088B">
        <w:fldChar w:fldCharType="begin"/>
      </w:r>
      <w:r w:rsidRPr="00C2088B">
        <w:instrText xml:space="preserve"> REF _Ref360207225 \r \h  \* MERGEFORMAT </w:instrText>
      </w:r>
      <w:r w:rsidRPr="00C2088B">
        <w:fldChar w:fldCharType="separate"/>
      </w:r>
      <w:r w:rsidR="00A0395D">
        <w:t>264</w:t>
      </w:r>
      <w:r w:rsidRPr="00C2088B">
        <w:fldChar w:fldCharType="end"/>
      </w:r>
      <w:r w:rsidRPr="00C2088B">
        <w:t xml:space="preserve">.   </w:t>
      </w:r>
    </w:p>
  </w:footnote>
  <w:footnote w:id="429">
    <w:p w14:paraId="77A71F58" w14:textId="77777777" w:rsidR="00434A8B" w:rsidRPr="00C2088B" w:rsidRDefault="00434A8B" w:rsidP="009511F9">
      <w:pPr>
        <w:pStyle w:val="FootnoteText"/>
      </w:pPr>
      <w:r w:rsidRPr="00C2088B">
        <w:rPr>
          <w:rStyle w:val="FootnoteReference"/>
          <w:sz w:val="20"/>
        </w:rPr>
        <w:footnoteRef/>
      </w:r>
      <w:r w:rsidRPr="00C2088B">
        <w:t xml:space="preserve"> 47 C.F.R. § 54.511(b) (2013). </w:t>
      </w:r>
    </w:p>
  </w:footnote>
  <w:footnote w:id="430">
    <w:p w14:paraId="616A5D5D" w14:textId="6193D576" w:rsidR="00434A8B" w:rsidRPr="00C2088B" w:rsidRDefault="00434A8B" w:rsidP="009511F9">
      <w:pPr>
        <w:pStyle w:val="FootnoteText"/>
      </w:pPr>
      <w:r w:rsidRPr="00C2088B">
        <w:rPr>
          <w:rStyle w:val="FootnoteReference"/>
          <w:sz w:val="20"/>
        </w:rPr>
        <w:footnoteRef/>
      </w:r>
      <w:r w:rsidRPr="00C2088B">
        <w:t xml:space="preserve"> </w:t>
      </w:r>
      <w:r w:rsidRPr="00C2088B">
        <w:rPr>
          <w:i/>
        </w:rPr>
        <w:t>Id.</w:t>
      </w:r>
      <w:r w:rsidRPr="00C2088B">
        <w:t xml:space="preserve"> (</w:t>
      </w:r>
      <w:r>
        <w:t>“</w:t>
      </w:r>
      <w:r w:rsidRPr="00C2088B">
        <w:t>Providers of eligible services shall not charge schools, school district, libraries, library consortia, or consortia including any of these entities a price above the lowest corresponding price for supported services, unless the Commission, with respect to interstate services or the state commission with respect to intrastate services, finds that the lowest corresponding prices is not compensatory.  Promotional rates offered by a service provider for a period of more than 90 days must be included among the comparable rates upon which the lowest corresponding price is determined.</w:t>
      </w:r>
      <w:r>
        <w:t>”</w:t>
      </w:r>
      <w:r w:rsidRPr="00C2088B">
        <w:t xml:space="preserve">); 47 C.F.R. § 54.500(f) (2013) (defining </w:t>
      </w:r>
      <w:r>
        <w:t>“</w:t>
      </w:r>
      <w:r w:rsidRPr="00C2088B">
        <w:t>lowest corresponding price</w:t>
      </w:r>
      <w:r>
        <w:t>”</w:t>
      </w:r>
      <w:r w:rsidRPr="00C2088B">
        <w:t xml:space="preserve"> as the lowest price that a service provider charges to non-residential customers who are similarly situated to a particular school, library, or library consortium for similar services.</w:t>
      </w:r>
      <w:r>
        <w:t>”</w:t>
      </w:r>
      <w:r w:rsidRPr="00C2088B">
        <w:t xml:space="preserve">).  </w:t>
      </w:r>
      <w:r w:rsidRPr="00C2088B">
        <w:rPr>
          <w:i/>
        </w:rPr>
        <w:t>See also</w:t>
      </w:r>
      <w:r w:rsidRPr="00C2088B">
        <w:t xml:space="preserve"> </w:t>
      </w:r>
      <w:r w:rsidRPr="00C2088B">
        <w:rPr>
          <w:i/>
        </w:rPr>
        <w:t>Federal-State Joint Board on Universal Service</w:t>
      </w:r>
      <w:r w:rsidRPr="00C2088B">
        <w:t>, CC Docket No. 96-45, Fourth Order on Reconsideration, 13 FCC Rcd 2372, para. 133 (1997).</w:t>
      </w:r>
    </w:p>
  </w:footnote>
  <w:footnote w:id="431">
    <w:p w14:paraId="488CB64A" w14:textId="77777777" w:rsidR="00434A8B" w:rsidRPr="00C2088B" w:rsidRDefault="00434A8B" w:rsidP="009511F9">
      <w:pPr>
        <w:pStyle w:val="FootnoteText"/>
      </w:pPr>
      <w:r w:rsidRPr="00C2088B">
        <w:rPr>
          <w:rStyle w:val="FootnoteReference"/>
          <w:sz w:val="20"/>
        </w:rPr>
        <w:footnoteRef/>
      </w:r>
      <w:r w:rsidRPr="00C2088B">
        <w:t xml:space="preserve"> </w:t>
      </w:r>
      <w:r w:rsidRPr="00C2088B">
        <w:rPr>
          <w:i/>
        </w:rPr>
        <w:t xml:space="preserve">See </w:t>
      </w:r>
      <w:r w:rsidRPr="00C2088B">
        <w:t xml:space="preserve">47 C.F.R. § 54.503(b) (2013). </w:t>
      </w:r>
    </w:p>
  </w:footnote>
  <w:footnote w:id="432">
    <w:p w14:paraId="593A183D" w14:textId="0E63EADB" w:rsidR="00434A8B" w:rsidRPr="00C2088B" w:rsidRDefault="00434A8B" w:rsidP="009511F9">
      <w:pPr>
        <w:pStyle w:val="FootnoteText"/>
      </w:pPr>
      <w:r w:rsidRPr="00C2088B">
        <w:rPr>
          <w:rStyle w:val="FootnoteReference"/>
          <w:sz w:val="20"/>
        </w:rPr>
        <w:footnoteRef/>
      </w:r>
      <w:r w:rsidRPr="00C2088B">
        <w:t xml:space="preserve"> </w:t>
      </w:r>
      <w:r w:rsidRPr="00C2088B">
        <w:rPr>
          <w:i/>
        </w:rPr>
        <w:t>See supra</w:t>
      </w:r>
      <w:r w:rsidRPr="00C2088B">
        <w:t xml:space="preserve"> para. </w:t>
      </w:r>
      <w:r w:rsidR="00DA25DB">
        <w:fldChar w:fldCharType="begin"/>
      </w:r>
      <w:r w:rsidR="00DA25DB">
        <w:instrText xml:space="preserve"> REF _Ref360207277 \r \h </w:instrText>
      </w:r>
      <w:r w:rsidR="00DA25DB">
        <w:fldChar w:fldCharType="separate"/>
      </w:r>
      <w:r w:rsidR="00A0395D">
        <w:t>305</w:t>
      </w:r>
      <w:r w:rsidR="00DA25DB">
        <w:fldChar w:fldCharType="end"/>
      </w:r>
      <w:r w:rsidRPr="00C2088B">
        <w:t>.</w:t>
      </w:r>
    </w:p>
  </w:footnote>
  <w:footnote w:id="433">
    <w:p w14:paraId="19EAB2FA" w14:textId="24E71E1E" w:rsidR="00434A8B" w:rsidRPr="00C2088B" w:rsidRDefault="00434A8B" w:rsidP="00892925">
      <w:pPr>
        <w:pStyle w:val="FootnoteText"/>
        <w:tabs>
          <w:tab w:val="left" w:pos="540"/>
        </w:tabs>
      </w:pPr>
      <w:r w:rsidRPr="00C2088B">
        <w:rPr>
          <w:rStyle w:val="FootnoteCharacters"/>
        </w:rPr>
        <w:footnoteRef/>
      </w:r>
      <w:r w:rsidRPr="00C2088B">
        <w:t xml:space="preserve"> USAC’s audit program historically has consisted of audits by USAC’s internal audit division staff as well as audits by independent auditors under contract with USAC. In addition, in the past, the Commission’s OIG has conducted audits of USF program beneficiaries. </w:t>
      </w:r>
      <w:r w:rsidRPr="00C2088B">
        <w:rPr>
          <w:i/>
          <w:iCs/>
          <w:color w:val="000000"/>
        </w:rPr>
        <w:t xml:space="preserve">See </w:t>
      </w:r>
      <w:r w:rsidRPr="00C2088B">
        <w:rPr>
          <w:iCs/>
          <w:color w:val="000000"/>
        </w:rPr>
        <w:t>Federal Communications Commission Office of Inspector General, Semiannual Report to Congress, October 1, 2009 through March 31, 2010 at 17-20</w:t>
      </w:r>
      <w:r w:rsidRPr="00C2088B">
        <w:rPr>
          <w:color w:val="000000"/>
        </w:rPr>
        <w:t xml:space="preserve">, </w:t>
      </w:r>
      <w:r w:rsidRPr="00C2088B">
        <w:rPr>
          <w:i/>
          <w:color w:val="000000"/>
        </w:rPr>
        <w:t>available at</w:t>
      </w:r>
      <w:r w:rsidRPr="00C2088B">
        <w:rPr>
          <w:color w:val="000000"/>
        </w:rPr>
        <w:t xml:space="preserve"> </w:t>
      </w:r>
      <w:hyperlink r:id="rId106" w:history="1">
        <w:r w:rsidRPr="00C2088B">
          <w:rPr>
            <w:rStyle w:val="Hyperlink"/>
          </w:rPr>
          <w:t>http://transition.fcc.gov/oig/SAR_March_2010_050710.pdf</w:t>
        </w:r>
      </w:hyperlink>
      <w:r w:rsidRPr="00C2088B">
        <w:rPr>
          <w:color w:val="000000"/>
        </w:rPr>
        <w:t xml:space="preserve">.  </w:t>
      </w:r>
      <w:r w:rsidRPr="00C2088B">
        <w:t xml:space="preserve">In a February 12, 2010, letter to USAC, OMD directed USAC to separate its two audit objectives into distinct programs – one focused on Improper Payments Information Act (IPIA) assessment and the second on auditing compliance with all four USF programs.  </w:t>
      </w:r>
      <w:r w:rsidRPr="00C2088B">
        <w:rPr>
          <w:i/>
        </w:rPr>
        <w:t xml:space="preserve">See </w:t>
      </w:r>
      <w:r w:rsidRPr="00C2088B">
        <w:t xml:space="preserve">Improper Payments Information Act of 2002, Pub. L. No. 107-300, 116 Stat. 2350 (2002).  In addition to providing guidance on the implementation of the IPIA assessment program and compliance audit program, the letter informed USAC that OMD would assume responsibility for oversight of USAC’s implementation of both programs.  </w:t>
      </w:r>
      <w:r w:rsidRPr="00C2088B">
        <w:rPr>
          <w:i/>
        </w:rPr>
        <w:t xml:space="preserve">See </w:t>
      </w:r>
      <w:r w:rsidRPr="00C2088B">
        <w:t xml:space="preserve">Letter from Steven Van Roekel, Managing Director, Federal Communications Commission to Scott Barash, Acting CEO, Universal Service Administrative Company (filed Feb. 12, 2010), </w:t>
      </w:r>
      <w:r w:rsidRPr="00C2088B">
        <w:rPr>
          <w:i/>
        </w:rPr>
        <w:t>available at</w:t>
      </w:r>
      <w:r w:rsidRPr="00C2088B">
        <w:t xml:space="preserve"> </w:t>
      </w:r>
      <w:hyperlink r:id="rId107" w:history="1">
        <w:r w:rsidRPr="00C2088B">
          <w:rPr>
            <w:rStyle w:val="Hyperlink"/>
          </w:rPr>
          <w:t>http://www.fcc.gov/omd/usac-letters/2010/021210-ipia.pdf</w:t>
        </w:r>
      </w:hyperlink>
      <w:r w:rsidRPr="00C2088B">
        <w:t>.</w:t>
      </w:r>
    </w:p>
  </w:footnote>
  <w:footnote w:id="434">
    <w:p w14:paraId="5BE0D27F" w14:textId="4A898F79" w:rsidR="00434A8B" w:rsidRPr="00C2088B" w:rsidRDefault="00434A8B" w:rsidP="00892925">
      <w:pPr>
        <w:pStyle w:val="FootnoteText"/>
      </w:pPr>
      <w:r w:rsidRPr="00C2088B">
        <w:rPr>
          <w:rStyle w:val="FootnoteReference"/>
          <w:sz w:val="20"/>
        </w:rPr>
        <w:footnoteRef/>
      </w:r>
      <w:r w:rsidRPr="00C2088B">
        <w:t xml:space="preserve"> </w:t>
      </w:r>
      <w:r w:rsidRPr="00C2088B">
        <w:rPr>
          <w:i/>
        </w:rPr>
        <w:t>See</w:t>
      </w:r>
      <w:r w:rsidRPr="00C2088B">
        <w:t xml:space="preserve"> </w:t>
      </w:r>
      <w:r w:rsidRPr="00C2088B">
        <w:rPr>
          <w:i/>
          <w:iCs/>
        </w:rPr>
        <w:t xml:space="preserve">Lifeline Reform </w:t>
      </w:r>
      <w:r w:rsidRPr="00C2088B">
        <w:rPr>
          <w:i/>
        </w:rPr>
        <w:t>Order</w:t>
      </w:r>
      <w:r w:rsidRPr="00C2088B">
        <w:t>, 27 FCC Rcd at 6857, paras. 291-7</w:t>
      </w:r>
      <w:r w:rsidRPr="00C2088B">
        <w:rPr>
          <w:i/>
          <w:iCs/>
        </w:rPr>
        <w:t>; s</w:t>
      </w:r>
      <w:r w:rsidRPr="00C2088B">
        <w:rPr>
          <w:i/>
        </w:rPr>
        <w:t>ee</w:t>
      </w:r>
      <w:r w:rsidRPr="00C2088B">
        <w:t xml:space="preserve"> </w:t>
      </w:r>
      <w:r w:rsidRPr="00C2088B">
        <w:rPr>
          <w:i/>
        </w:rPr>
        <w:t>also</w:t>
      </w:r>
      <w:r w:rsidRPr="00C2088B">
        <w:t xml:space="preserve"> 47 C.F.R. § 54.420.</w:t>
      </w:r>
    </w:p>
  </w:footnote>
  <w:footnote w:id="435">
    <w:p w14:paraId="3B37BBF6" w14:textId="77777777" w:rsidR="00434A8B" w:rsidRPr="00C2088B" w:rsidRDefault="00434A8B" w:rsidP="004029EC">
      <w:pPr>
        <w:pStyle w:val="FootnoteText"/>
      </w:pPr>
      <w:r w:rsidRPr="00C2088B">
        <w:rPr>
          <w:rStyle w:val="FootnoteReference"/>
          <w:sz w:val="20"/>
        </w:rPr>
        <w:footnoteRef/>
      </w:r>
      <w:r w:rsidRPr="00C2088B">
        <w:t xml:space="preserve"> 47 C.F.R. § 54.8.</w:t>
      </w:r>
    </w:p>
  </w:footnote>
  <w:footnote w:id="436">
    <w:p w14:paraId="6432AF58" w14:textId="77777777" w:rsidR="00434A8B" w:rsidRPr="00C2088B" w:rsidRDefault="00434A8B" w:rsidP="004029EC">
      <w:pPr>
        <w:pStyle w:val="FootnoteText"/>
      </w:pPr>
      <w:r w:rsidRPr="00C2088B">
        <w:rPr>
          <w:rStyle w:val="FootnoteReference"/>
          <w:sz w:val="20"/>
        </w:rPr>
        <w:footnoteRef/>
      </w:r>
      <w:r w:rsidRPr="00C2088B">
        <w:t xml:space="preserve"> 2 C.F.R. §§ 180.5 </w:t>
      </w:r>
      <w:r w:rsidRPr="00C2088B">
        <w:rPr>
          <w:i/>
        </w:rPr>
        <w:t>et seq</w:t>
      </w:r>
      <w:r w:rsidRPr="00C2088B">
        <w:t xml:space="preserve">. </w:t>
      </w:r>
    </w:p>
  </w:footnote>
  <w:footnote w:id="437">
    <w:p w14:paraId="077DC127" w14:textId="57AD443D" w:rsidR="00434A8B" w:rsidRPr="00C2088B" w:rsidRDefault="00434A8B" w:rsidP="004029EC">
      <w:pPr>
        <w:pStyle w:val="FootnoteText"/>
      </w:pPr>
      <w:r w:rsidRPr="00C2088B">
        <w:rPr>
          <w:rStyle w:val="FootnoteReference"/>
          <w:sz w:val="20"/>
        </w:rPr>
        <w:footnoteRef/>
      </w:r>
      <w:r w:rsidRPr="00C2088B">
        <w:t xml:space="preserve"> We note that adoption of the government-wide debarment and suspension system could encompass nonprocurement transactions beyond just those related to our universal service programs.  </w:t>
      </w:r>
      <w:r w:rsidRPr="00C2088B">
        <w:rPr>
          <w:i/>
        </w:rPr>
        <w:t>See</w:t>
      </w:r>
      <w:r w:rsidRPr="00C2088B">
        <w:t xml:space="preserve"> 2 C.F.R. §180.970(a) (defining </w:t>
      </w:r>
      <w:r>
        <w:t>“</w:t>
      </w:r>
      <w:r w:rsidRPr="00C2088B">
        <w:rPr>
          <w:i/>
        </w:rPr>
        <w:t>nonprocurement transaction</w:t>
      </w:r>
      <w:r>
        <w:t>”</w:t>
      </w:r>
      <w:r w:rsidRPr="00C2088B">
        <w:t xml:space="preserve"> as encompassing many transactions, except procurement contracts, that involve the payment of monies by an agency, including without limitation subsidies, loans and loan guarantees, grants, and </w:t>
      </w:r>
      <w:r>
        <w:t>“</w:t>
      </w:r>
      <w:r w:rsidRPr="00C2088B">
        <w:t>payments for specified uses.</w:t>
      </w:r>
      <w:r>
        <w:t>”</w:t>
      </w:r>
      <w:r w:rsidRPr="00C2088B">
        <w:t xml:space="preserve">). </w:t>
      </w:r>
      <w:r w:rsidRPr="00C2088B">
        <w:rPr>
          <w:i/>
        </w:rPr>
        <w:t>See also</w:t>
      </w:r>
      <w:r w:rsidRPr="00C2088B">
        <w:t xml:space="preserve"> Subpart B, §180.200 – 180.225 (describing </w:t>
      </w:r>
      <w:r>
        <w:t>“</w:t>
      </w:r>
      <w:r w:rsidRPr="00C2088B">
        <w:t>covered transactions</w:t>
      </w:r>
      <w:r>
        <w:t>”</w:t>
      </w:r>
      <w:r w:rsidRPr="00C2088B">
        <w:t xml:space="preserve"> under Part 180).</w:t>
      </w:r>
    </w:p>
  </w:footnote>
  <w:footnote w:id="438">
    <w:p w14:paraId="7E67A425" w14:textId="05EDFFC1" w:rsidR="00434A8B" w:rsidRPr="00C2088B" w:rsidRDefault="00434A8B" w:rsidP="004029EC">
      <w:pPr>
        <w:pStyle w:val="FootnoteText"/>
      </w:pPr>
      <w:r w:rsidRPr="00C2088B">
        <w:rPr>
          <w:rStyle w:val="FootnoteReference"/>
          <w:sz w:val="20"/>
        </w:rPr>
        <w:footnoteRef/>
      </w:r>
      <w:r w:rsidRPr="00C2088B">
        <w:t xml:space="preserve"> 2 C.F.R. § 180.25(a).</w:t>
      </w:r>
    </w:p>
  </w:footnote>
  <w:footnote w:id="439">
    <w:p w14:paraId="69111B5F" w14:textId="77777777" w:rsidR="00434A8B" w:rsidRPr="00C2088B" w:rsidRDefault="00434A8B" w:rsidP="004029EC">
      <w:pPr>
        <w:pStyle w:val="FootnoteText"/>
      </w:pPr>
      <w:r w:rsidRPr="00C2088B">
        <w:rPr>
          <w:rStyle w:val="FootnoteReference"/>
          <w:sz w:val="20"/>
        </w:rPr>
        <w:footnoteRef/>
      </w:r>
      <w:r w:rsidRPr="00C2088B">
        <w:t xml:space="preserve"> </w:t>
      </w:r>
      <w:r w:rsidRPr="00C2088B">
        <w:rPr>
          <w:i/>
        </w:rPr>
        <w:t xml:space="preserve">See </w:t>
      </w:r>
      <w:r w:rsidRPr="00C2088B">
        <w:t>2 C.F.R. § 180.25(b), (c).</w:t>
      </w:r>
    </w:p>
  </w:footnote>
  <w:footnote w:id="440">
    <w:p w14:paraId="5053F5FC" w14:textId="167933FB" w:rsidR="00434A8B" w:rsidRPr="00C2088B" w:rsidRDefault="00434A8B" w:rsidP="004029EC">
      <w:pPr>
        <w:pStyle w:val="FootnoteText"/>
      </w:pPr>
      <w:r w:rsidRPr="00C2088B">
        <w:rPr>
          <w:rStyle w:val="FootnoteReference"/>
          <w:sz w:val="20"/>
        </w:rPr>
        <w:footnoteRef/>
      </w:r>
      <w:r w:rsidRPr="00C2088B">
        <w:t xml:space="preserve"> </w:t>
      </w:r>
      <w:r w:rsidRPr="00C2088B">
        <w:rPr>
          <w:i/>
        </w:rPr>
        <w:t xml:space="preserve">See </w:t>
      </w:r>
      <w:r w:rsidRPr="00C2088B">
        <w:t xml:space="preserve">2 C.F.R. § 180.205 (discussing the significance of a particular transaction being covered by the rules).  </w:t>
      </w:r>
      <w:r w:rsidRPr="00C2088B">
        <w:rPr>
          <w:i/>
        </w:rPr>
        <w:t>See also</w:t>
      </w:r>
      <w:r w:rsidRPr="00C2088B">
        <w:t xml:space="preserve"> Appendix to Part 180 – Covered Transactions.</w:t>
      </w:r>
    </w:p>
  </w:footnote>
  <w:footnote w:id="441">
    <w:p w14:paraId="4010A2A8" w14:textId="42CBE5BF" w:rsidR="00434A8B" w:rsidRPr="00C2088B" w:rsidRDefault="00434A8B" w:rsidP="004029EC">
      <w:pPr>
        <w:pStyle w:val="FootnoteText"/>
      </w:pPr>
      <w:r w:rsidRPr="00C2088B">
        <w:rPr>
          <w:rStyle w:val="FootnoteReference"/>
          <w:sz w:val="20"/>
        </w:rPr>
        <w:footnoteRef/>
      </w:r>
      <w:r w:rsidRPr="00C2088B">
        <w:t xml:space="preserve"> 2 C.F.R. § 180.200.</w:t>
      </w:r>
    </w:p>
  </w:footnote>
  <w:footnote w:id="442">
    <w:p w14:paraId="593CE644" w14:textId="75E56902" w:rsidR="00434A8B" w:rsidRPr="00C2088B" w:rsidRDefault="00434A8B" w:rsidP="004029EC">
      <w:pPr>
        <w:pStyle w:val="FootnoteText"/>
      </w:pPr>
      <w:r w:rsidRPr="00C2088B">
        <w:rPr>
          <w:rStyle w:val="FootnoteReference"/>
          <w:sz w:val="20"/>
        </w:rPr>
        <w:footnoteRef/>
      </w:r>
      <w:r w:rsidRPr="00C2088B">
        <w:t xml:space="preserve"> 2 C.F.R. §§ 180.25(b)(2);  180.220(c).</w:t>
      </w:r>
    </w:p>
  </w:footnote>
  <w:footnote w:id="443">
    <w:p w14:paraId="105A9360" w14:textId="77777777" w:rsidR="00434A8B" w:rsidRPr="00C2088B" w:rsidRDefault="00434A8B" w:rsidP="004029EC">
      <w:pPr>
        <w:pStyle w:val="FootnoteText"/>
      </w:pPr>
      <w:r w:rsidRPr="00C2088B">
        <w:rPr>
          <w:rStyle w:val="FootnoteReference"/>
          <w:sz w:val="20"/>
        </w:rPr>
        <w:footnoteRef/>
      </w:r>
      <w:r w:rsidRPr="00C2088B">
        <w:t xml:space="preserve"> </w:t>
      </w:r>
      <w:r w:rsidRPr="00C2088B">
        <w:rPr>
          <w:i/>
        </w:rPr>
        <w:t>See</w:t>
      </w:r>
      <w:r w:rsidRPr="00C2088B">
        <w:t xml:space="preserve"> 2 C.F.R. § 180.215(g)(2) (providing that any transaction may be exempt from coverage under Part 180 if a Federal agency’s regulation exempts it).</w:t>
      </w:r>
    </w:p>
  </w:footnote>
  <w:footnote w:id="444">
    <w:p w14:paraId="7DD48717" w14:textId="467A0FFB" w:rsidR="00434A8B" w:rsidRPr="00C2088B" w:rsidRDefault="00434A8B" w:rsidP="004029EC">
      <w:pPr>
        <w:pStyle w:val="FootnoteText"/>
      </w:pPr>
      <w:r w:rsidRPr="00C2088B">
        <w:rPr>
          <w:rStyle w:val="FootnoteReference"/>
          <w:sz w:val="20"/>
        </w:rPr>
        <w:footnoteRef/>
      </w:r>
      <w:r w:rsidRPr="00C2088B">
        <w:t xml:space="preserve"> </w:t>
      </w:r>
      <w:r w:rsidRPr="004F322C">
        <w:rPr>
          <w:i/>
        </w:rPr>
        <w:t>See</w:t>
      </w:r>
      <w:r w:rsidRPr="00C2088B">
        <w:t xml:space="preserve"> 2 C.F.R. §180.700 (grounds for suspension) and §180.800 (causes for debarment).  In addition to debarment for convictions or civil judgments under §180.800(a), the guidelines provide for debarment when the party’s conduct is </w:t>
      </w:r>
      <w:r>
        <w:t>“</w:t>
      </w:r>
      <w:r w:rsidRPr="00C2088B">
        <w:t>so serious as to affect the integrity of an agency program,</w:t>
      </w:r>
      <w:r>
        <w:t>”</w:t>
      </w:r>
      <w:r w:rsidRPr="00C2088B">
        <w:t xml:space="preserve"> such as the willful failure to abide by the terms of a transaction, repeated unsatisfactory performance, or willful violations of statutory, regulatory or other requirements applicable to a transaction. 2 C.F.R. §180.800(b). </w:t>
      </w:r>
      <w:r w:rsidRPr="00C2088B">
        <w:rPr>
          <w:i/>
        </w:rPr>
        <w:t>See also</w:t>
      </w:r>
      <w:r w:rsidRPr="00C2088B">
        <w:t xml:space="preserve"> 2 C.F.R. §180.800(c) (enumerating additional causes to debar).  </w:t>
      </w:r>
    </w:p>
  </w:footnote>
  <w:footnote w:id="445">
    <w:p w14:paraId="097DEFFF" w14:textId="53C3DAD0" w:rsidR="00434A8B" w:rsidRPr="00C2088B" w:rsidRDefault="00434A8B" w:rsidP="002F1F87">
      <w:pPr>
        <w:pStyle w:val="FootnoteText"/>
      </w:pPr>
      <w:r w:rsidRPr="00C2088B">
        <w:rPr>
          <w:rStyle w:val="FootnoteReference"/>
          <w:sz w:val="20"/>
        </w:rPr>
        <w:footnoteRef/>
      </w:r>
      <w:r w:rsidRPr="00C2088B">
        <w:t xml:space="preserve"> </w:t>
      </w:r>
      <w:r w:rsidRPr="00C2088B">
        <w:rPr>
          <w:i/>
        </w:rPr>
        <w:t xml:space="preserve">Schools and Libraries </w:t>
      </w:r>
      <w:r w:rsidRPr="00C2088B">
        <w:rPr>
          <w:i/>
          <w:spacing w:val="-2"/>
          <w:lang w:val="sv-SE"/>
        </w:rPr>
        <w:t>Sixth Report and Order</w:t>
      </w:r>
      <w:r w:rsidRPr="00C2088B">
        <w:rPr>
          <w:spacing w:val="-2"/>
          <w:lang w:val="sv-SE"/>
        </w:rPr>
        <w:t xml:space="preserve">, 25 FCC Rcd at 18773-77, paras. 20-27; </w:t>
      </w:r>
      <w:r w:rsidRPr="00C2088B">
        <w:rPr>
          <w:i/>
        </w:rPr>
        <w:t>Schools and Libraries Universal Service Support Mechanism</w:t>
      </w:r>
      <w:r w:rsidRPr="00C2088B">
        <w:t>, CC Docket No. 02-6, Order and Notice of Proposed Rulemaking, 25 FCC Rcd 1740 (2010) (</w:t>
      </w:r>
      <w:r w:rsidRPr="00C2088B">
        <w:rPr>
          <w:i/>
        </w:rPr>
        <w:t>E-rate Community Use Order and NPRM</w:t>
      </w:r>
      <w:r w:rsidRPr="00C2088B">
        <w:t xml:space="preserve">). </w:t>
      </w:r>
    </w:p>
  </w:footnote>
  <w:footnote w:id="446">
    <w:p w14:paraId="3F6CCA26" w14:textId="752FA47B" w:rsidR="00434A8B" w:rsidRPr="00C2088B" w:rsidRDefault="00434A8B" w:rsidP="002F1F87">
      <w:pPr>
        <w:pStyle w:val="FootnoteText"/>
      </w:pPr>
      <w:r w:rsidRPr="00C2088B">
        <w:rPr>
          <w:rStyle w:val="FootnoteReference"/>
          <w:sz w:val="20"/>
        </w:rPr>
        <w:footnoteRef/>
      </w:r>
      <w:r w:rsidRPr="00C2088B">
        <w:t xml:space="preserve"> </w:t>
      </w:r>
      <w:r w:rsidRPr="00C2088B">
        <w:rPr>
          <w:i/>
        </w:rPr>
        <w:t xml:space="preserve">Schools and Libraries </w:t>
      </w:r>
      <w:r w:rsidRPr="00C2088B">
        <w:rPr>
          <w:i/>
          <w:spacing w:val="-2"/>
          <w:lang w:val="sv-SE"/>
        </w:rPr>
        <w:t>Sixth Report and Order</w:t>
      </w:r>
      <w:r w:rsidRPr="00C2088B">
        <w:rPr>
          <w:spacing w:val="-2"/>
          <w:lang w:val="sv-SE"/>
        </w:rPr>
        <w:t>, 25 FCC Rcd at 18774-75, para. 23.</w:t>
      </w:r>
    </w:p>
  </w:footnote>
  <w:footnote w:id="447">
    <w:p w14:paraId="4B93FCB4" w14:textId="1BAE341B" w:rsidR="00434A8B" w:rsidRPr="00C2088B" w:rsidRDefault="00434A8B" w:rsidP="002F1F87">
      <w:pPr>
        <w:pStyle w:val="FootnoteText"/>
        <w:spacing w:before="240"/>
      </w:pPr>
      <w:r w:rsidRPr="00C2088B">
        <w:rPr>
          <w:rStyle w:val="FootnoteReference"/>
          <w:sz w:val="20"/>
        </w:rPr>
        <w:footnoteRef/>
      </w:r>
      <w:r w:rsidRPr="00C2088B">
        <w:t xml:space="preserve"> </w:t>
      </w:r>
      <w:r w:rsidRPr="00C2088B">
        <w:rPr>
          <w:i/>
        </w:rPr>
        <w:t>Id.</w:t>
      </w:r>
      <w:r w:rsidRPr="00C2088B">
        <w:t xml:space="preserve"> at </w:t>
      </w:r>
      <w:r w:rsidRPr="00C2088B">
        <w:rPr>
          <w:spacing w:val="-2"/>
          <w:lang w:val="sv-SE"/>
        </w:rPr>
        <w:t>18773-77, paras. 20-27.</w:t>
      </w:r>
    </w:p>
  </w:footnote>
  <w:footnote w:id="448">
    <w:p w14:paraId="701C6F95" w14:textId="7AE6E866" w:rsidR="00434A8B" w:rsidRDefault="00434A8B">
      <w:pPr>
        <w:pStyle w:val="FootnoteText"/>
      </w:pPr>
      <w:r>
        <w:rPr>
          <w:rStyle w:val="FootnoteReference"/>
        </w:rPr>
        <w:footnoteRef/>
      </w:r>
      <w:r>
        <w:t xml:space="preserve"> </w:t>
      </w:r>
      <w:r w:rsidRPr="004F322C">
        <w:rPr>
          <w:i/>
        </w:rPr>
        <w:t>See supra</w:t>
      </w:r>
      <w:r>
        <w:t xml:space="preserve"> n.</w:t>
      </w:r>
      <w:r>
        <w:fldChar w:fldCharType="begin"/>
      </w:r>
      <w:r>
        <w:instrText xml:space="preserve"> NOTEREF _Ref362264613 \h </w:instrText>
      </w:r>
      <w:r>
        <w:fldChar w:fldCharType="separate"/>
      </w:r>
      <w:r w:rsidR="00A0395D">
        <w:t>223</w:t>
      </w:r>
      <w:r>
        <w:fldChar w:fldCharType="end"/>
      </w:r>
      <w:r>
        <w:t xml:space="preserve"> (giving the definition of Wi-Fi).</w:t>
      </w:r>
    </w:p>
  </w:footnote>
  <w:footnote w:id="449">
    <w:p w14:paraId="7FD11872" w14:textId="0511C1C9" w:rsidR="00434A8B" w:rsidRPr="00C2088B" w:rsidRDefault="00434A8B" w:rsidP="002F1F87">
      <w:pPr>
        <w:pStyle w:val="FootnoteText"/>
      </w:pPr>
      <w:r w:rsidRPr="00C2088B">
        <w:rPr>
          <w:rStyle w:val="FootnoteReference"/>
          <w:sz w:val="20"/>
        </w:rPr>
        <w:footnoteRef/>
      </w:r>
      <w:r w:rsidRPr="00C2088B">
        <w:t xml:space="preserve"> Letter from Gee Kin Chou, Information Technology Officer, Oakland Unified School District, to Marlene H. Dortch, Office of the Secretary, Federal Communications Commission, CC Docket No. 02-6 (filed Jan. 12, 2011) (Oakland Request for Waiver); Letter from Dianne Kelly, Assistant Superintendent of Schools, Revere Public Schools, to Marlene H. Dortch, Office of the Secretary, Federal Communications Commission, CC Docket No. 02-6 (filed June 14, 2011) (Revere Request for Waiver) (together, Requests for Waiver).  </w:t>
      </w:r>
    </w:p>
  </w:footnote>
  <w:footnote w:id="450">
    <w:p w14:paraId="13A3C095" w14:textId="68A3FFB0" w:rsidR="00434A8B" w:rsidRPr="00C2088B" w:rsidRDefault="00434A8B" w:rsidP="002F1F87">
      <w:pPr>
        <w:pStyle w:val="FootnoteText"/>
      </w:pPr>
      <w:r w:rsidRPr="00C2088B">
        <w:rPr>
          <w:rStyle w:val="FootnoteReference"/>
          <w:sz w:val="20"/>
        </w:rPr>
        <w:footnoteRef/>
      </w:r>
      <w:r w:rsidRPr="00C2088B">
        <w:t xml:space="preserve"> 47 U.S.C. § 254(h)(1)(B); 47 C.F.R. §§ 54.503(c)(2)(v) and 54.504(a)(1)(vii) (2011) (requiring applicants to certify on their FCC Forms 470 and 471 that services obtained through discounts from the E-rate program would be used solely for educational purposes).  The Commission has said that, in limited instances, the use of certain services off school or library property would be considered as an </w:t>
      </w:r>
      <w:r>
        <w:t>“</w:t>
      </w:r>
      <w:r w:rsidRPr="00C2088B">
        <w:t>educational purpose</w:t>
      </w:r>
      <w:r>
        <w:t>”</w:t>
      </w:r>
      <w:r w:rsidRPr="00C2088B">
        <w:t xml:space="preserve"> (such as the use of a cell phone on a school bus or a library staff person's use of a cell phone on a mobile library unit van).  </w:t>
      </w:r>
      <w:r w:rsidRPr="00C2088B">
        <w:rPr>
          <w:i/>
          <w:color w:val="000000"/>
        </w:rPr>
        <w:t>Schools and Libraries Second Report and Order</w:t>
      </w:r>
      <w:r w:rsidRPr="00C2088B">
        <w:rPr>
          <w:color w:val="000000"/>
        </w:rPr>
        <w:t>, 18 FCC Rcd at 9208-09, para. 19, n.28.</w:t>
      </w:r>
    </w:p>
  </w:footnote>
  <w:footnote w:id="451">
    <w:p w14:paraId="0C1FCEA7" w14:textId="6C166F16" w:rsidR="00434A8B" w:rsidRPr="00C2088B" w:rsidRDefault="00434A8B" w:rsidP="002F1F87">
      <w:pPr>
        <w:pStyle w:val="FootnoteText"/>
      </w:pPr>
      <w:r w:rsidRPr="00C2088B">
        <w:rPr>
          <w:rStyle w:val="FootnoteReference"/>
          <w:sz w:val="20"/>
        </w:rPr>
        <w:footnoteRef/>
      </w:r>
      <w:r w:rsidRPr="00C2088B">
        <w:t xml:space="preserve"> </w:t>
      </w:r>
      <w:r w:rsidRPr="00C2088B">
        <w:rPr>
          <w:i/>
        </w:rPr>
        <w:t>See</w:t>
      </w:r>
      <w:r w:rsidRPr="004F322C">
        <w:rPr>
          <w:i/>
        </w:rPr>
        <w:t xml:space="preserve"> </w:t>
      </w:r>
      <w:r w:rsidRPr="00C2088B">
        <w:t>47 C.F.R. § 54.504(e).</w:t>
      </w:r>
    </w:p>
  </w:footnote>
  <w:footnote w:id="452">
    <w:p w14:paraId="3B478AD3" w14:textId="150D5893" w:rsidR="00434A8B" w:rsidRPr="00C2088B" w:rsidRDefault="00434A8B" w:rsidP="002F1F87">
      <w:pPr>
        <w:pStyle w:val="FootnoteText"/>
      </w:pPr>
      <w:r w:rsidRPr="00C2088B">
        <w:rPr>
          <w:rStyle w:val="FootnoteReference"/>
          <w:sz w:val="20"/>
        </w:rPr>
        <w:footnoteRef/>
      </w:r>
      <w:r w:rsidRPr="00C2088B">
        <w:t xml:space="preserve"> </w:t>
      </w:r>
      <w:r w:rsidRPr="00C2088B">
        <w:rPr>
          <w:i/>
        </w:rPr>
        <w:t xml:space="preserve">Schools and Libraries </w:t>
      </w:r>
      <w:r w:rsidRPr="00C2088B">
        <w:rPr>
          <w:i/>
          <w:spacing w:val="-2"/>
          <w:lang w:val="sv-SE"/>
        </w:rPr>
        <w:t>Sixth Report and Order</w:t>
      </w:r>
      <w:r w:rsidRPr="00C2088B">
        <w:rPr>
          <w:spacing w:val="-2"/>
          <w:lang w:val="sv-SE"/>
        </w:rPr>
        <w:t>, 25 FCC Rcd at 18775-76, paras. 24-26.</w:t>
      </w:r>
    </w:p>
  </w:footnote>
  <w:footnote w:id="453">
    <w:p w14:paraId="42A5964C" w14:textId="77777777" w:rsidR="00434A8B" w:rsidRPr="00C2088B" w:rsidRDefault="00434A8B" w:rsidP="002F1F87">
      <w:pPr>
        <w:pStyle w:val="FootnoteText"/>
      </w:pPr>
      <w:r w:rsidRPr="00C2088B">
        <w:rPr>
          <w:rStyle w:val="FootnoteReference"/>
          <w:sz w:val="20"/>
        </w:rPr>
        <w:footnoteRef/>
      </w:r>
      <w:r w:rsidRPr="00C2088B">
        <w:t xml:space="preserve"> </w:t>
      </w:r>
      <w:r w:rsidRPr="00C2088B">
        <w:rPr>
          <w:i/>
          <w:iCs/>
        </w:rPr>
        <w:t xml:space="preserve">See </w:t>
      </w:r>
      <w:r w:rsidRPr="00C2088B">
        <w:t>47 C.F.R. § 54.503(d) (2011).</w:t>
      </w:r>
    </w:p>
  </w:footnote>
  <w:footnote w:id="454">
    <w:p w14:paraId="6583ACB0" w14:textId="7694F68D" w:rsidR="00434A8B" w:rsidRPr="00C2088B" w:rsidRDefault="00434A8B" w:rsidP="009E4FC1">
      <w:pPr>
        <w:pStyle w:val="FootnoteText"/>
      </w:pPr>
      <w:r w:rsidRPr="00C2088B">
        <w:rPr>
          <w:rStyle w:val="FootnoteReference"/>
          <w:sz w:val="20"/>
        </w:rPr>
        <w:footnoteRef/>
      </w:r>
      <w:r w:rsidRPr="00C2088B">
        <w:t xml:space="preserve"> </w:t>
      </w:r>
      <w:r w:rsidRPr="00C2088B">
        <w:rPr>
          <w:i/>
        </w:rPr>
        <w:t>See Federal-State Joint Board on Universal Service, Schools and Libraries Universal Service Support Mechanism, Rural Health Care Support Mechanism, Lifeline and Link-up</w:t>
      </w:r>
      <w:r w:rsidRPr="00C2088B">
        <w:t>, CC Docket Nos. 96-45 and 02-6 and WC Docket Nos. 02-60 and 03-109, Order, 20 FCC Rcd 16883 (2005) (</w:t>
      </w:r>
      <w:r w:rsidRPr="00C2088B">
        <w:rPr>
          <w:i/>
        </w:rPr>
        <w:t>Hurricane Katrina Order</w:t>
      </w:r>
      <w:r w:rsidRPr="00C2088B">
        <w:t xml:space="preserve">).  </w:t>
      </w:r>
    </w:p>
  </w:footnote>
  <w:footnote w:id="455">
    <w:p w14:paraId="0784B5EE" w14:textId="4BC3637A" w:rsidR="00434A8B" w:rsidRPr="00C2088B" w:rsidRDefault="00434A8B" w:rsidP="009E4FC1">
      <w:pPr>
        <w:pStyle w:val="FootnoteText"/>
      </w:pPr>
      <w:r w:rsidRPr="00C2088B">
        <w:rPr>
          <w:rStyle w:val="FootnoteReference"/>
          <w:sz w:val="20"/>
        </w:rPr>
        <w:footnoteRef/>
      </w:r>
      <w:r w:rsidRPr="00C2088B">
        <w:t xml:space="preserve"> </w:t>
      </w:r>
      <w:r w:rsidRPr="00C2088B">
        <w:rPr>
          <w:i/>
        </w:rPr>
        <w:t>See</w:t>
      </w:r>
      <w:r w:rsidRPr="00C2088B">
        <w:t xml:space="preserve"> 47 C.F.R. § 54.502 (a)(iii) (explaining that applicants are eligible for support for internal connections services, except basic maintenance services, no more than twice every five funding years).  </w:t>
      </w:r>
    </w:p>
  </w:footnote>
  <w:footnote w:id="456">
    <w:p w14:paraId="094424B6" w14:textId="21CC1A83" w:rsidR="00434A8B" w:rsidRPr="00C2088B" w:rsidRDefault="00434A8B" w:rsidP="009E4FC1">
      <w:pPr>
        <w:pStyle w:val="FootnoteText"/>
      </w:pPr>
      <w:r w:rsidRPr="00C2088B">
        <w:rPr>
          <w:rStyle w:val="FootnoteReference"/>
          <w:sz w:val="20"/>
        </w:rPr>
        <w:footnoteRef/>
      </w:r>
      <w:r w:rsidRPr="00C2088B">
        <w:t xml:space="preserve"> </w:t>
      </w:r>
      <w:r w:rsidRPr="00C2088B">
        <w:rPr>
          <w:i/>
        </w:rPr>
        <w:t>See</w:t>
      </w:r>
      <w:r w:rsidRPr="00C2088B">
        <w:t xml:space="preserve"> </w:t>
      </w:r>
      <w:r w:rsidRPr="00C2088B">
        <w:rPr>
          <w:i/>
        </w:rPr>
        <w:t>Hurricane Katrina Order</w:t>
      </w:r>
      <w:r w:rsidRPr="00C2088B">
        <w:t xml:space="preserve">, 20 FCC Rcd at 16908, para. 49.  </w:t>
      </w:r>
    </w:p>
  </w:footnote>
  <w:footnote w:id="457">
    <w:p w14:paraId="164104E7" w14:textId="406D8705" w:rsidR="00434A8B" w:rsidRPr="00C2088B" w:rsidRDefault="00434A8B" w:rsidP="009E4FC1">
      <w:pPr>
        <w:pStyle w:val="FootnoteText"/>
      </w:pPr>
      <w:r w:rsidRPr="00C2088B">
        <w:rPr>
          <w:rStyle w:val="FootnoteReference"/>
          <w:sz w:val="20"/>
        </w:rPr>
        <w:footnoteRef/>
      </w:r>
      <w:r w:rsidRPr="00C2088B">
        <w:t xml:space="preserve"> </w:t>
      </w:r>
      <w:r w:rsidRPr="00C2088B">
        <w:rPr>
          <w:i/>
        </w:rPr>
        <w:t>See, e.g., State of Louisiana Department of Education Baton Rouge, LA et al., Schools and Libraries Universal Service Support Mechanism</w:t>
      </w:r>
      <w:r w:rsidRPr="00C2088B">
        <w:t>, CC Docket No. 02-6 et al., Order, 25 FCC Rcd 1653 (2010) (</w:t>
      </w:r>
      <w:r w:rsidRPr="00C2088B">
        <w:rPr>
          <w:i/>
        </w:rPr>
        <w:t>Louisiana Department of Education Order</w:t>
      </w:r>
      <w:r w:rsidRPr="00C2088B">
        <w:t xml:space="preserve">).  </w:t>
      </w:r>
      <w:r w:rsidRPr="00C2088B">
        <w:rPr>
          <w:i/>
        </w:rPr>
        <w:t xml:space="preserve">See also </w:t>
      </w:r>
      <w:r w:rsidRPr="00C2088B">
        <w:t xml:space="preserve">USAC, Schools and Libraries Program, Latest News 11/2/2012-FCC Form 486 and FY 2011 Recurring Services Invoice Deadlines Extended to Jan. 28, 2013, </w:t>
      </w:r>
      <w:r w:rsidRPr="00C2088B">
        <w:rPr>
          <w:i/>
        </w:rPr>
        <w:t>available at</w:t>
      </w:r>
      <w:r w:rsidRPr="00C2088B">
        <w:t xml:space="preserve"> </w:t>
      </w:r>
      <w:hyperlink r:id="rId108" w:history="1">
        <w:r w:rsidRPr="00C2088B">
          <w:rPr>
            <w:rStyle w:val="Hyperlink"/>
          </w:rPr>
          <w:t>http://www.usac.org/sl/tools/news/default.aspx#650</w:t>
        </w:r>
      </w:hyperlink>
      <w:r w:rsidRPr="00C2088B">
        <w:t xml:space="preserve"> (last visited July 15, 2013) (extending the deadlines for the FCC Form 486 and the Funding Year 2011 recurring services invoices for applicants in light of Hurricane Sandy and permitting extra time for applicants affected by Hurricane Sandy to answer PIA questions and comply with other program requirements).</w:t>
      </w:r>
    </w:p>
  </w:footnote>
  <w:footnote w:id="458">
    <w:p w14:paraId="5765E0E4" w14:textId="379322C1" w:rsidR="00434A8B" w:rsidRPr="00C2088B" w:rsidRDefault="00434A8B" w:rsidP="009E4FC1">
      <w:pPr>
        <w:pStyle w:val="FootnoteText"/>
      </w:pPr>
      <w:r w:rsidRPr="00C2088B">
        <w:rPr>
          <w:rStyle w:val="FootnoteReference"/>
          <w:sz w:val="20"/>
        </w:rPr>
        <w:footnoteRef/>
      </w:r>
      <w:r w:rsidRPr="00C2088B">
        <w:t xml:space="preserve"> </w:t>
      </w:r>
      <w:r w:rsidRPr="00C2088B">
        <w:rPr>
          <w:i/>
        </w:rPr>
        <w:t>See</w:t>
      </w:r>
      <w:r w:rsidRPr="00C2088B">
        <w:t xml:space="preserve"> 44 C.F.R. § 206.2(a)(9) (2012) (defining </w:t>
      </w:r>
      <w:r>
        <w:t>“</w:t>
      </w:r>
      <w:r w:rsidRPr="00C2088B">
        <w:t>Emergency</w:t>
      </w:r>
      <w:r>
        <w:t>”</w:t>
      </w:r>
      <w:r w:rsidRPr="00C2088B">
        <w:t xml:space="preserve"> as </w:t>
      </w:r>
      <w:r>
        <w:t>“</w:t>
      </w:r>
      <w:r w:rsidRPr="00C2088B">
        <w:t xml:space="preserve">any occasion or instance for which, in the determination of the President, Federal assistance is needed to supplement State and local efforts and capabilities to save lives and to protect property and public health and safety, or to lessen or avert the threat of a catastrophe in any part of the United States).  A </w:t>
      </w:r>
      <w:r>
        <w:t>“</w:t>
      </w:r>
      <w:r w:rsidRPr="00C2088B">
        <w:t>Major  Disaster</w:t>
      </w:r>
      <w:r>
        <w:t>”</w:t>
      </w:r>
      <w:r w:rsidRPr="00C2088B">
        <w:t xml:space="preserve"> is defined as </w:t>
      </w:r>
      <w:r>
        <w:t>“</w:t>
      </w:r>
      <w:r w:rsidRPr="00C2088B">
        <w:t>any natural catastrophe (including any hurricane, tornado, storm, high water, wind driven water, tidal wave, tsunami, earthquake, volcanic eruption, landslide, mudslide, snowstorm, or drought), or regardless of cause, any fire, flood, or explosion, in any part of the United States, which in the determination of the President causes damage of sufficient severity and magnitude to warrant major disaster assistance under this Act to supplement the efforts and available resources of States, local governments, and disaster relief organizations in alleviating the damage, loss, hardship, or suffering caused thereby.</w:t>
      </w:r>
      <w:r>
        <w:t>”</w:t>
      </w:r>
      <w:r w:rsidRPr="00C2088B">
        <w:t xml:space="preserve">  </w:t>
      </w:r>
      <w:r w:rsidRPr="00C2088B">
        <w:rPr>
          <w:i/>
        </w:rPr>
        <w:t>See</w:t>
      </w:r>
      <w:r w:rsidRPr="00C2088B">
        <w:t xml:space="preserve"> 44 C.F.R. § 206.2 (a)(17)(2012). </w:t>
      </w:r>
    </w:p>
  </w:footnote>
  <w:footnote w:id="459">
    <w:p w14:paraId="7A7175E6" w14:textId="22A91EFB" w:rsidR="00434A8B" w:rsidRPr="00C2088B" w:rsidRDefault="00434A8B" w:rsidP="009E4FC1">
      <w:pPr>
        <w:pStyle w:val="FootnoteText"/>
      </w:pPr>
      <w:r w:rsidRPr="00DE7C42">
        <w:rPr>
          <w:rStyle w:val="FootnoteReference"/>
          <w:sz w:val="20"/>
        </w:rPr>
        <w:footnoteRef/>
      </w:r>
      <w:r w:rsidRPr="00520D37">
        <w:t xml:space="preserve"> </w:t>
      </w:r>
      <w:r w:rsidRPr="00C2088B">
        <w:rPr>
          <w:i/>
        </w:rPr>
        <w:t>See, e.g</w:t>
      </w:r>
      <w:r w:rsidRPr="00C2088B">
        <w:t xml:space="preserve">., </w:t>
      </w:r>
      <w:r w:rsidRPr="00C2088B">
        <w:rPr>
          <w:i/>
        </w:rPr>
        <w:t xml:space="preserve">Hurricane Katrina Order, </w:t>
      </w:r>
      <w:r w:rsidRPr="00C2088B">
        <w:t>20 FCC Rcd at 16905, para. 42.</w:t>
      </w:r>
    </w:p>
  </w:footnote>
  <w:footnote w:id="460">
    <w:p w14:paraId="6DC4E80C" w14:textId="170C4DCA" w:rsidR="00434A8B" w:rsidRPr="00C2088B" w:rsidRDefault="00434A8B" w:rsidP="009E4FC1">
      <w:pPr>
        <w:pStyle w:val="FootnoteText"/>
      </w:pPr>
      <w:r w:rsidRPr="00C2088B">
        <w:rPr>
          <w:rStyle w:val="FootnoteReference"/>
          <w:sz w:val="20"/>
        </w:rPr>
        <w:footnoteRef/>
      </w:r>
      <w:r w:rsidRPr="00C2088B">
        <w:t xml:space="preserve"> </w:t>
      </w:r>
      <w:r w:rsidRPr="00C2088B">
        <w:rPr>
          <w:i/>
        </w:rPr>
        <w:t>Id.</w:t>
      </w:r>
      <w:r w:rsidRPr="00C2088B">
        <w:t xml:space="preserve"> at 16907, paras. 47, 49. </w:t>
      </w:r>
    </w:p>
  </w:footnote>
  <w:footnote w:id="461">
    <w:p w14:paraId="3606F8FD" w14:textId="788C13D7" w:rsidR="00434A8B" w:rsidRPr="00C2088B" w:rsidRDefault="00434A8B" w:rsidP="009E4FC1">
      <w:pPr>
        <w:pStyle w:val="FootnoteText"/>
      </w:pPr>
      <w:r w:rsidRPr="00C2088B">
        <w:rPr>
          <w:rStyle w:val="FootnoteReference"/>
          <w:sz w:val="20"/>
        </w:rPr>
        <w:footnoteRef/>
      </w:r>
      <w:r w:rsidRPr="00C2088B">
        <w:t xml:space="preserve"> </w:t>
      </w:r>
      <w:r w:rsidRPr="00C2088B">
        <w:rPr>
          <w:i/>
        </w:rPr>
        <w:t>Id.</w:t>
      </w:r>
      <w:r w:rsidRPr="00C2088B">
        <w:t xml:space="preserve"> at 16903-04, para. 39.</w:t>
      </w:r>
    </w:p>
  </w:footnote>
  <w:footnote w:id="462">
    <w:p w14:paraId="448AD9A7" w14:textId="6E521F07" w:rsidR="00434A8B" w:rsidRPr="00C2088B" w:rsidRDefault="00434A8B" w:rsidP="009E4FC1">
      <w:pPr>
        <w:pStyle w:val="FootnoteText"/>
      </w:pPr>
      <w:r w:rsidRPr="00C2088B">
        <w:rPr>
          <w:rStyle w:val="FootnoteReference"/>
          <w:sz w:val="20"/>
        </w:rPr>
        <w:footnoteRef/>
      </w:r>
      <w:r w:rsidRPr="00C2088B">
        <w:t xml:space="preserve"> </w:t>
      </w:r>
      <w:r w:rsidRPr="00C2088B">
        <w:rPr>
          <w:i/>
        </w:rPr>
        <w:t>Id.</w:t>
      </w:r>
      <w:r w:rsidRPr="00C2088B">
        <w:t xml:space="preserve"> </w:t>
      </w:r>
    </w:p>
  </w:footnote>
  <w:footnote w:id="463">
    <w:p w14:paraId="1DCCAA0C" w14:textId="18FAC236" w:rsidR="00434A8B" w:rsidRPr="00C2088B" w:rsidRDefault="00434A8B" w:rsidP="009E4FC1">
      <w:pPr>
        <w:pStyle w:val="FootnoteText"/>
      </w:pPr>
      <w:r w:rsidRPr="00C2088B">
        <w:rPr>
          <w:rStyle w:val="FootnoteReference"/>
          <w:sz w:val="20"/>
        </w:rPr>
        <w:footnoteRef/>
      </w:r>
      <w:r w:rsidRPr="00C2088B">
        <w:t xml:space="preserve"> </w:t>
      </w:r>
      <w:r w:rsidRPr="00C2088B">
        <w:rPr>
          <w:i/>
        </w:rPr>
        <w:t>Id.</w:t>
      </w:r>
    </w:p>
  </w:footnote>
  <w:footnote w:id="464">
    <w:p w14:paraId="5280E1E2" w14:textId="77777777" w:rsidR="00434A8B" w:rsidRPr="00C2088B" w:rsidRDefault="00434A8B" w:rsidP="006F2F26">
      <w:pPr>
        <w:pStyle w:val="FootnoteText"/>
      </w:pPr>
      <w:r w:rsidRPr="00C2088B">
        <w:rPr>
          <w:rStyle w:val="FootnoteReference"/>
          <w:sz w:val="20"/>
        </w:rPr>
        <w:footnoteRef/>
      </w:r>
      <w:r w:rsidRPr="00C2088B">
        <w:t xml:space="preserve"> </w:t>
      </w:r>
      <w:r w:rsidRPr="00C2088B">
        <w:rPr>
          <w:i/>
        </w:rPr>
        <w:t xml:space="preserve">See </w:t>
      </w:r>
      <w:r w:rsidRPr="00C2088B">
        <w:t>5 U.S.C. § 603.</w:t>
      </w:r>
    </w:p>
  </w:footnote>
  <w:footnote w:id="465">
    <w:p w14:paraId="3566868D" w14:textId="77777777" w:rsidR="00434A8B" w:rsidRPr="00C2088B" w:rsidRDefault="00434A8B" w:rsidP="006F2F26">
      <w:pPr>
        <w:pStyle w:val="FootnoteText"/>
      </w:pPr>
      <w:r w:rsidRPr="00C2088B">
        <w:rPr>
          <w:rStyle w:val="FootnoteReference"/>
          <w:sz w:val="20"/>
        </w:rPr>
        <w:footnoteRef/>
      </w:r>
      <w:r w:rsidRPr="00C2088B">
        <w:t xml:space="preserve"> </w:t>
      </w:r>
      <w:r w:rsidRPr="00C2088B">
        <w:rPr>
          <w:i/>
        </w:rPr>
        <w:t>See</w:t>
      </w:r>
      <w:r w:rsidRPr="00C2088B">
        <w:t xml:space="preserve"> 5 U.S.C. § 603(a).</w:t>
      </w:r>
    </w:p>
  </w:footnote>
  <w:footnote w:id="466">
    <w:p w14:paraId="394494D5" w14:textId="4D1646FE" w:rsidR="00434A8B" w:rsidRPr="00C2088B" w:rsidRDefault="00434A8B" w:rsidP="006F2F26">
      <w:pPr>
        <w:pStyle w:val="FootnoteText"/>
      </w:pPr>
      <w:r w:rsidRPr="00C2088B">
        <w:rPr>
          <w:rStyle w:val="FootnoteReference"/>
          <w:sz w:val="20"/>
        </w:rPr>
        <w:footnoteRef/>
      </w:r>
      <w:r w:rsidRPr="00C2088B">
        <w:t xml:space="preserve"> </w:t>
      </w:r>
      <w:r w:rsidRPr="00C2088B">
        <w:rPr>
          <w:i/>
        </w:rPr>
        <w:t>See id.</w:t>
      </w:r>
    </w:p>
  </w:footnote>
  <w:footnote w:id="467">
    <w:p w14:paraId="7C9B1472" w14:textId="77777777" w:rsidR="00434A8B" w:rsidRPr="00C2088B" w:rsidRDefault="00434A8B" w:rsidP="00C2088B">
      <w:pPr>
        <w:pStyle w:val="FootnoteText"/>
      </w:pPr>
      <w:r w:rsidRPr="00C2088B">
        <w:rPr>
          <w:rStyle w:val="FootnoteReference"/>
          <w:sz w:val="20"/>
        </w:rPr>
        <w:footnoteRef/>
      </w:r>
      <w:r w:rsidRPr="00C2088B">
        <w:t xml:space="preserve"> 47 C.F.R. §§ 1.1200 </w:t>
      </w:r>
      <w:r w:rsidRPr="00C2088B">
        <w:rPr>
          <w:i/>
          <w:iCs/>
        </w:rPr>
        <w:t>et seq.</w:t>
      </w:r>
    </w:p>
  </w:footnote>
  <w:footnote w:id="468">
    <w:p w14:paraId="44C753FF" w14:textId="77777777" w:rsidR="00434A8B" w:rsidRPr="00C2088B" w:rsidRDefault="00434A8B" w:rsidP="00C2088B">
      <w:pPr>
        <w:pStyle w:val="FootnoteText"/>
      </w:pPr>
      <w:r w:rsidRPr="00C2088B">
        <w:rPr>
          <w:rStyle w:val="FootnoteReference"/>
          <w:sz w:val="20"/>
        </w:rPr>
        <w:footnoteRef/>
      </w:r>
      <w:r w:rsidRPr="00C2088B">
        <w:t xml:space="preserve"> 5 U.S.C. § 603.  The RFA, 5 U.S.C. §§ 601–612, has been amended by the Small Business Regulatory Enforcement Fairness Act of 1996 (SBREFA), Pub. L. No. 104-121, Title II, 110 Stat. 857 (1996).</w:t>
      </w:r>
    </w:p>
  </w:footnote>
  <w:footnote w:id="469">
    <w:p w14:paraId="2DEE2D36" w14:textId="77777777" w:rsidR="00434A8B" w:rsidRPr="00C2088B" w:rsidRDefault="00434A8B" w:rsidP="00C2088B">
      <w:pPr>
        <w:pStyle w:val="FootnoteText"/>
      </w:pPr>
      <w:r w:rsidRPr="00C2088B">
        <w:rPr>
          <w:rStyle w:val="FootnoteReference"/>
          <w:sz w:val="20"/>
        </w:rPr>
        <w:footnoteRef/>
      </w:r>
      <w:r w:rsidRPr="00C2088B">
        <w:t xml:space="preserve"> </w:t>
      </w:r>
      <w:r w:rsidRPr="00C2088B">
        <w:rPr>
          <w:i/>
        </w:rPr>
        <w:t xml:space="preserve">See </w:t>
      </w:r>
      <w:r w:rsidRPr="00C2088B">
        <w:t>5 U.S.C. § 603(a).</w:t>
      </w:r>
    </w:p>
  </w:footnote>
  <w:footnote w:id="470">
    <w:p w14:paraId="254946B6" w14:textId="77777777" w:rsidR="00434A8B" w:rsidRPr="00C2088B" w:rsidRDefault="00434A8B" w:rsidP="00C2088B">
      <w:pPr>
        <w:pStyle w:val="FootnoteText"/>
      </w:pPr>
      <w:r w:rsidRPr="00C2088B">
        <w:rPr>
          <w:rStyle w:val="FootnoteReference"/>
          <w:sz w:val="20"/>
        </w:rPr>
        <w:footnoteRef/>
      </w:r>
      <w:r w:rsidRPr="00C2088B">
        <w:t xml:space="preserve"> </w:t>
      </w:r>
      <w:r w:rsidRPr="00C2088B">
        <w:rPr>
          <w:i/>
        </w:rPr>
        <w:t>See id.</w:t>
      </w:r>
    </w:p>
  </w:footnote>
  <w:footnote w:id="471">
    <w:p w14:paraId="072A82A5" w14:textId="77777777" w:rsidR="00434A8B" w:rsidRPr="00C2088B" w:rsidRDefault="00434A8B" w:rsidP="00C2088B">
      <w:pPr>
        <w:pStyle w:val="FootnoteText"/>
      </w:pPr>
      <w:r w:rsidRPr="00C2088B">
        <w:rPr>
          <w:rStyle w:val="FootnoteReference"/>
          <w:sz w:val="20"/>
        </w:rPr>
        <w:footnoteRef/>
      </w:r>
      <w:r w:rsidRPr="00C2088B">
        <w:t xml:space="preserve"> </w:t>
      </w:r>
      <w:r w:rsidRPr="00C2088B">
        <w:rPr>
          <w:i/>
        </w:rPr>
        <w:t>See</w:t>
      </w:r>
      <w:r w:rsidRPr="00C2088B">
        <w:t xml:space="preserve"> </w:t>
      </w:r>
      <w:r w:rsidRPr="00C2088B">
        <w:rPr>
          <w:i/>
        </w:rPr>
        <w:t>generally</w:t>
      </w:r>
      <w:r w:rsidRPr="00C2088B">
        <w:t xml:space="preserve"> 47 U.S.C. </w:t>
      </w:r>
      <w:r w:rsidRPr="00C2088B">
        <w:rPr>
          <w:spacing w:val="-2"/>
        </w:rPr>
        <w:t>§ 254</w:t>
      </w:r>
      <w:r w:rsidRPr="00C2088B">
        <w:rPr>
          <w:i/>
          <w:spacing w:val="-2"/>
        </w:rPr>
        <w:t>.</w:t>
      </w:r>
    </w:p>
  </w:footnote>
  <w:footnote w:id="472">
    <w:p w14:paraId="04E2B535" w14:textId="77777777" w:rsidR="00434A8B" w:rsidRPr="00C2088B" w:rsidRDefault="00434A8B" w:rsidP="00C2088B">
      <w:pPr>
        <w:pStyle w:val="FootnoteText"/>
        <w:rPr>
          <w:i/>
          <w:snapToGrid w:val="0"/>
        </w:rPr>
      </w:pPr>
      <w:r w:rsidRPr="00C2088B">
        <w:rPr>
          <w:rStyle w:val="FootnoteReference"/>
          <w:sz w:val="20"/>
        </w:rPr>
        <w:footnoteRef/>
      </w:r>
      <w:r w:rsidRPr="00C2088B">
        <w:t xml:space="preserve"> </w:t>
      </w:r>
      <w:r w:rsidRPr="00C2088B">
        <w:rPr>
          <w:i/>
        </w:rPr>
        <w:t>Universal Service First Report and Order</w:t>
      </w:r>
      <w:r w:rsidRPr="00C2088B">
        <w:t xml:space="preserve"> 12 FCC Rcd 8776.</w:t>
      </w:r>
      <w:r w:rsidRPr="00C2088B">
        <w:rPr>
          <w:i/>
          <w:snapToGrid w:val="0"/>
        </w:rPr>
        <w:t xml:space="preserve"> </w:t>
      </w:r>
    </w:p>
  </w:footnote>
  <w:footnote w:id="473">
    <w:p w14:paraId="084E6DC0" w14:textId="77777777" w:rsidR="00434A8B" w:rsidRPr="00C2088B" w:rsidRDefault="00434A8B" w:rsidP="00C2088B">
      <w:pPr>
        <w:pStyle w:val="FootnoteText"/>
      </w:pPr>
      <w:r w:rsidRPr="00C2088B">
        <w:rPr>
          <w:rStyle w:val="FootnoteReference"/>
          <w:sz w:val="20"/>
        </w:rPr>
        <w:footnoteRef/>
      </w:r>
      <w:r w:rsidRPr="00C2088B">
        <w:t xml:space="preserve"> 47 C.F.R. § 54.502.</w:t>
      </w:r>
    </w:p>
  </w:footnote>
  <w:footnote w:id="474">
    <w:p w14:paraId="43D51AC5" w14:textId="77777777" w:rsidR="00434A8B" w:rsidRPr="00C2088B" w:rsidRDefault="00434A8B" w:rsidP="00C2088B">
      <w:pPr>
        <w:pStyle w:val="FootnoteText"/>
      </w:pPr>
      <w:r w:rsidRPr="00C2088B">
        <w:rPr>
          <w:rStyle w:val="FootnoteReference"/>
          <w:sz w:val="20"/>
        </w:rPr>
        <w:footnoteRef/>
      </w:r>
      <w:r w:rsidRPr="00C2088B">
        <w:t xml:space="preserve"> 5 U.S.C. § 603(b)(3).</w:t>
      </w:r>
    </w:p>
  </w:footnote>
  <w:footnote w:id="475">
    <w:p w14:paraId="6170BDFF" w14:textId="77777777" w:rsidR="00434A8B" w:rsidRPr="00C2088B" w:rsidRDefault="00434A8B" w:rsidP="00C2088B">
      <w:pPr>
        <w:pStyle w:val="FootnoteText"/>
      </w:pPr>
      <w:r w:rsidRPr="00C2088B">
        <w:rPr>
          <w:rStyle w:val="FootnoteReference"/>
          <w:sz w:val="20"/>
        </w:rPr>
        <w:footnoteRef/>
      </w:r>
      <w:r w:rsidRPr="00C2088B">
        <w:t xml:space="preserve"> 5 U.S.C. § 601(6).</w:t>
      </w:r>
    </w:p>
  </w:footnote>
  <w:footnote w:id="476">
    <w:p w14:paraId="3D35D5F3" w14:textId="260C541D" w:rsidR="00434A8B" w:rsidRPr="00C2088B" w:rsidRDefault="00434A8B" w:rsidP="00C2088B">
      <w:pPr>
        <w:pStyle w:val="FootnoteText"/>
      </w:pPr>
      <w:r w:rsidRPr="00C2088B">
        <w:rPr>
          <w:rStyle w:val="FootnoteReference"/>
          <w:sz w:val="20"/>
        </w:rPr>
        <w:footnoteRef/>
      </w:r>
      <w:r w:rsidRPr="00C2088B">
        <w:t xml:space="preserve"> 5 U.S.C. § 601(3) (incorporating by reference the definition of </w:t>
      </w:r>
      <w:r>
        <w:t>“</w:t>
      </w:r>
      <w:r w:rsidRPr="00C2088B">
        <w:t>small business concern</w:t>
      </w:r>
      <w:r>
        <w:t>”</w:t>
      </w:r>
      <w:r w:rsidRPr="00C2088B">
        <w:t xml:space="preserve"> in 15 U.S.C. § 632(a)).  Pursuant to the RFA, the statutory definition of a small business applies </w:t>
      </w:r>
      <w:r>
        <w:t>“</w:t>
      </w:r>
      <w:r w:rsidRPr="00C2088B">
        <w:t>unless an agency, after consultation with the Office of Advocacy of the Small Business Administration and after opportunity for public comment, establishes one or more definitions of such term which are appropriate to the activities of the agency and publishes such definition(s) in the Federal Register.</w:t>
      </w:r>
      <w:r>
        <w:t>”</w:t>
      </w:r>
      <w:r w:rsidRPr="00C2088B">
        <w:t xml:space="preserve"> 5 U.S.C. § 601(3).</w:t>
      </w:r>
    </w:p>
  </w:footnote>
  <w:footnote w:id="477">
    <w:p w14:paraId="555D9DD9" w14:textId="77777777" w:rsidR="00434A8B" w:rsidRPr="00C2088B" w:rsidRDefault="00434A8B" w:rsidP="00C2088B">
      <w:pPr>
        <w:pStyle w:val="FootnoteText"/>
      </w:pPr>
      <w:r w:rsidRPr="00C2088B">
        <w:rPr>
          <w:rStyle w:val="FootnoteReference"/>
          <w:sz w:val="20"/>
        </w:rPr>
        <w:footnoteRef/>
      </w:r>
      <w:r w:rsidRPr="00C2088B">
        <w:t xml:space="preserve"> Small Business Act, 15 U.S.C. § 632.</w:t>
      </w:r>
    </w:p>
  </w:footnote>
  <w:footnote w:id="478">
    <w:p w14:paraId="037D6E1E" w14:textId="1E9A3012" w:rsidR="00434A8B" w:rsidRPr="00C2088B" w:rsidRDefault="00434A8B" w:rsidP="00C2088B">
      <w:pPr>
        <w:pStyle w:val="FootnoteText"/>
      </w:pPr>
      <w:r w:rsidRPr="00C2088B">
        <w:rPr>
          <w:rStyle w:val="FootnoteReference"/>
          <w:sz w:val="20"/>
        </w:rPr>
        <w:footnoteRef/>
      </w:r>
      <w:r w:rsidRPr="00C2088B">
        <w:t xml:space="preserve"> U.S. Small Business Administration, Office of Advocacy, Frequently Asked Questions, </w:t>
      </w:r>
      <w:hyperlink r:id="rId109" w:history="1">
        <w:r w:rsidRPr="00C2088B">
          <w:rPr>
            <w:rStyle w:val="Hyperlink"/>
          </w:rPr>
          <w:t>http://web.sba.gov/faqs/faqindex.cfm?areaID=24</w:t>
        </w:r>
      </w:hyperlink>
      <w:r w:rsidRPr="00C2088B">
        <w:t xml:space="preserve"> (last visited July 15, 2013).</w:t>
      </w:r>
    </w:p>
  </w:footnote>
  <w:footnote w:id="479">
    <w:p w14:paraId="7DF63808" w14:textId="77777777" w:rsidR="00434A8B" w:rsidRPr="00C2088B" w:rsidRDefault="00434A8B" w:rsidP="00C2088B">
      <w:pPr>
        <w:pStyle w:val="FootnoteText"/>
      </w:pPr>
      <w:r w:rsidRPr="00C2088B">
        <w:rPr>
          <w:rStyle w:val="FootnoteReference"/>
          <w:sz w:val="20"/>
        </w:rPr>
        <w:footnoteRef/>
      </w:r>
      <w:r w:rsidRPr="00C2088B">
        <w:t xml:space="preserve"> </w:t>
      </w:r>
      <w:r w:rsidRPr="00C2088B">
        <w:rPr>
          <w:spacing w:val="-2"/>
        </w:rPr>
        <w:t>5 U.S.C.</w:t>
      </w:r>
      <w:r w:rsidRPr="00C2088B">
        <w:t xml:space="preserve"> § 601(4).</w:t>
      </w:r>
    </w:p>
  </w:footnote>
  <w:footnote w:id="480">
    <w:p w14:paraId="69D08184" w14:textId="77777777" w:rsidR="00434A8B" w:rsidRPr="00C2088B" w:rsidRDefault="00434A8B" w:rsidP="00C2088B">
      <w:pPr>
        <w:pStyle w:val="FootnoteText"/>
      </w:pPr>
      <w:r w:rsidRPr="00C2088B">
        <w:rPr>
          <w:rStyle w:val="FootnoteReference"/>
          <w:sz w:val="20"/>
        </w:rPr>
        <w:footnoteRef/>
      </w:r>
      <w:r w:rsidRPr="00C2088B">
        <w:t xml:space="preserve"> Murray S. Weitzman,  The New Nonprofit Almanac &amp; Desk Reference (Jossey-Bass 2002).</w:t>
      </w:r>
    </w:p>
  </w:footnote>
  <w:footnote w:id="481">
    <w:p w14:paraId="7F059378" w14:textId="77777777" w:rsidR="00434A8B" w:rsidRPr="00C2088B" w:rsidRDefault="00434A8B" w:rsidP="00C2088B">
      <w:pPr>
        <w:pStyle w:val="FootnoteText"/>
      </w:pPr>
      <w:r w:rsidRPr="00C2088B">
        <w:rPr>
          <w:rStyle w:val="FootnoteReference"/>
          <w:sz w:val="20"/>
        </w:rPr>
        <w:footnoteRef/>
      </w:r>
      <w:r w:rsidRPr="00C2088B">
        <w:t xml:space="preserve"> 5 U.S.C. § 601(5).</w:t>
      </w:r>
    </w:p>
  </w:footnote>
  <w:footnote w:id="482">
    <w:p w14:paraId="13F75FBA" w14:textId="6A6C4E43" w:rsidR="00434A8B" w:rsidRPr="00C2088B" w:rsidRDefault="00434A8B" w:rsidP="00C2088B">
      <w:pPr>
        <w:pStyle w:val="FootnoteText"/>
      </w:pPr>
      <w:r w:rsidRPr="00C2088B">
        <w:rPr>
          <w:rStyle w:val="FootnoteReference"/>
          <w:sz w:val="20"/>
        </w:rPr>
        <w:footnoteRef/>
      </w:r>
      <w:r w:rsidRPr="00C2088B">
        <w:t xml:space="preserve"> U.S. Census Bureau, Statistical Abstract of the United States: 2006, Section 8, Table 415, page 272, </w:t>
      </w:r>
      <w:r w:rsidRPr="00C2088B">
        <w:rPr>
          <w:i/>
        </w:rPr>
        <w:t xml:space="preserve">available at </w:t>
      </w:r>
      <w:hyperlink r:id="rId110" w:history="1">
        <w:r w:rsidRPr="00C2088B">
          <w:rPr>
            <w:rStyle w:val="Hyperlink"/>
          </w:rPr>
          <w:t>http://www.census.gov/compendia/statab/2006/state_local_govt_finances_employment/stlocgov.pdf</w:t>
        </w:r>
      </w:hyperlink>
      <w:r w:rsidRPr="00C2088B">
        <w:t xml:space="preserve"> (last visited July 15, 2013).</w:t>
      </w:r>
    </w:p>
  </w:footnote>
  <w:footnote w:id="483">
    <w:p w14:paraId="14202316" w14:textId="77777777" w:rsidR="00434A8B" w:rsidRPr="00C2088B" w:rsidRDefault="00434A8B" w:rsidP="00C2088B">
      <w:pPr>
        <w:pStyle w:val="FootnoteText"/>
      </w:pPr>
      <w:r w:rsidRPr="00C2088B">
        <w:rPr>
          <w:rStyle w:val="FootnoteReference"/>
          <w:sz w:val="20"/>
        </w:rPr>
        <w:footnoteRef/>
      </w:r>
      <w:r w:rsidRPr="00C2088B">
        <w:t xml:space="preserve"> We assume that the villages, school districts, and special districts are small, and total 48,558.  </w:t>
      </w:r>
      <w:r w:rsidRPr="00C2088B">
        <w:rPr>
          <w:i/>
        </w:rPr>
        <w:t>Id. at</w:t>
      </w:r>
      <w:r w:rsidRPr="00C2088B">
        <w:t xml:space="preserve"> Table 417, page 273.  For 2002, Census Bureau data indicate that the total number of county, municipal, and township governments nationwide was 38,967, of which 35,819 were small.  </w:t>
      </w:r>
      <w:r w:rsidRPr="00C2088B">
        <w:rPr>
          <w:i/>
        </w:rPr>
        <w:t>Id.</w:t>
      </w:r>
    </w:p>
  </w:footnote>
  <w:footnote w:id="484">
    <w:p w14:paraId="2FEEC588" w14:textId="77777777" w:rsidR="00434A8B" w:rsidRPr="00C2088B" w:rsidRDefault="00434A8B" w:rsidP="00C2088B">
      <w:pPr>
        <w:pStyle w:val="FootnoteText"/>
      </w:pPr>
      <w:r w:rsidRPr="00C2088B">
        <w:rPr>
          <w:rStyle w:val="FootnoteReference"/>
          <w:sz w:val="20"/>
        </w:rPr>
        <w:footnoteRef/>
      </w:r>
      <w:r w:rsidRPr="00C2088B">
        <w:t xml:space="preserve"> </w:t>
      </w:r>
      <w:r w:rsidRPr="00C2088B">
        <w:rPr>
          <w:i/>
        </w:rPr>
        <w:t xml:space="preserve">See </w:t>
      </w:r>
      <w:r w:rsidRPr="00C2088B">
        <w:rPr>
          <w:lang w:val="fr-FR"/>
        </w:rPr>
        <w:t>47 C.F.R. §§ 54.501-54.502, 54.504.</w:t>
      </w:r>
    </w:p>
  </w:footnote>
  <w:footnote w:id="485">
    <w:p w14:paraId="761CB145" w14:textId="77777777" w:rsidR="00434A8B" w:rsidRPr="00C2088B" w:rsidRDefault="00434A8B" w:rsidP="00C2088B">
      <w:pPr>
        <w:pStyle w:val="FootnoteText"/>
      </w:pPr>
      <w:r w:rsidRPr="00C2088B">
        <w:rPr>
          <w:rStyle w:val="FootnoteReference"/>
          <w:sz w:val="20"/>
        </w:rPr>
        <w:footnoteRef/>
      </w:r>
      <w:r w:rsidRPr="00C2088B">
        <w:t xml:space="preserve"> </w:t>
      </w:r>
      <w:r w:rsidRPr="00C2088B">
        <w:rPr>
          <w:lang w:val="fr-FR"/>
        </w:rPr>
        <w:t>47 C.F.R. § 54.500(c).</w:t>
      </w:r>
    </w:p>
  </w:footnote>
  <w:footnote w:id="486">
    <w:p w14:paraId="45C98D1E" w14:textId="77777777" w:rsidR="00434A8B" w:rsidRPr="00C2088B" w:rsidRDefault="00434A8B" w:rsidP="00C2088B">
      <w:pPr>
        <w:pStyle w:val="FootnoteText"/>
      </w:pPr>
      <w:r w:rsidRPr="00C2088B">
        <w:rPr>
          <w:rStyle w:val="FootnoteReference"/>
          <w:sz w:val="20"/>
        </w:rPr>
        <w:footnoteRef/>
      </w:r>
      <w:r w:rsidRPr="00C2088B">
        <w:t xml:space="preserve"> </w:t>
      </w:r>
      <w:r w:rsidRPr="00C2088B">
        <w:rPr>
          <w:lang w:val="fr-FR"/>
        </w:rPr>
        <w:t>47 C.F.R. § 54.500(k).</w:t>
      </w:r>
    </w:p>
  </w:footnote>
  <w:footnote w:id="487">
    <w:p w14:paraId="603784B3" w14:textId="77777777" w:rsidR="00434A8B" w:rsidRPr="00C2088B" w:rsidRDefault="00434A8B" w:rsidP="00C2088B">
      <w:pPr>
        <w:pStyle w:val="FootnoteText"/>
      </w:pPr>
      <w:r w:rsidRPr="00C2088B">
        <w:rPr>
          <w:rStyle w:val="FootnoteReference"/>
          <w:sz w:val="20"/>
        </w:rPr>
        <w:footnoteRef/>
      </w:r>
      <w:r w:rsidRPr="00C2088B">
        <w:t xml:space="preserve"> 47 C.F.R. § 54.500(d).</w:t>
      </w:r>
    </w:p>
  </w:footnote>
  <w:footnote w:id="488">
    <w:p w14:paraId="4CEAA7D6" w14:textId="77777777" w:rsidR="00434A8B" w:rsidRPr="00C2088B" w:rsidRDefault="00434A8B" w:rsidP="00C2088B">
      <w:pPr>
        <w:pStyle w:val="FootnoteText"/>
      </w:pPr>
      <w:r w:rsidRPr="00C2088B">
        <w:rPr>
          <w:rStyle w:val="FootnoteReference"/>
          <w:sz w:val="20"/>
        </w:rPr>
        <w:footnoteRef/>
      </w:r>
      <w:r w:rsidRPr="00C2088B">
        <w:t xml:space="preserve"> </w:t>
      </w:r>
      <w:r w:rsidRPr="00C2088B">
        <w:rPr>
          <w:lang w:val="fr-FR"/>
        </w:rPr>
        <w:t>47 C.F.R. § 54.500(a), (b).</w:t>
      </w:r>
    </w:p>
  </w:footnote>
  <w:footnote w:id="489">
    <w:p w14:paraId="61358A4B" w14:textId="77777777" w:rsidR="00434A8B" w:rsidRPr="00C2088B" w:rsidRDefault="00434A8B" w:rsidP="00C2088B">
      <w:pPr>
        <w:pStyle w:val="FootnoteText"/>
      </w:pPr>
      <w:r w:rsidRPr="00C2088B">
        <w:rPr>
          <w:rStyle w:val="FootnoteReference"/>
          <w:sz w:val="20"/>
        </w:rPr>
        <w:footnoteRef/>
      </w:r>
      <w:r w:rsidRPr="00C2088B">
        <w:t xml:space="preserve"> </w:t>
      </w:r>
      <w:r w:rsidRPr="00C2088B">
        <w:rPr>
          <w:i/>
        </w:rPr>
        <w:t>Id.</w:t>
      </w:r>
    </w:p>
  </w:footnote>
  <w:footnote w:id="490">
    <w:p w14:paraId="5E073902" w14:textId="77777777" w:rsidR="00434A8B" w:rsidRPr="00C2088B" w:rsidRDefault="00434A8B" w:rsidP="00C2088B">
      <w:pPr>
        <w:pStyle w:val="FootnoteText"/>
      </w:pPr>
      <w:r w:rsidRPr="00C2088B">
        <w:rPr>
          <w:rStyle w:val="FootnoteReference"/>
          <w:sz w:val="20"/>
        </w:rPr>
        <w:footnoteRef/>
      </w:r>
      <w:r w:rsidRPr="00C2088B">
        <w:t xml:space="preserve"> 13 C.F.R. § 121.201;NAICS codes 611110 and 519120 (NAICS code 519120 was previously 514120).</w:t>
      </w:r>
    </w:p>
  </w:footnote>
  <w:footnote w:id="491">
    <w:p w14:paraId="5622F2CB" w14:textId="77777777" w:rsidR="00434A8B" w:rsidRPr="00C2088B" w:rsidRDefault="00434A8B" w:rsidP="00C2088B">
      <w:pPr>
        <w:pStyle w:val="FootnoteText"/>
      </w:pPr>
      <w:r w:rsidRPr="00C2088B">
        <w:rPr>
          <w:rStyle w:val="FootnoteReference"/>
          <w:sz w:val="20"/>
        </w:rPr>
        <w:footnoteRef/>
      </w:r>
      <w:r w:rsidRPr="00C2088B">
        <w:t xml:space="preserve"> </w:t>
      </w:r>
      <w:r w:rsidRPr="00C2088B">
        <w:rPr>
          <w:lang w:val="fr-FR"/>
        </w:rPr>
        <w:t>13 C.F.R. § 121.201 ; NAICS code 517110.</w:t>
      </w:r>
    </w:p>
  </w:footnote>
  <w:footnote w:id="492">
    <w:p w14:paraId="15C93342" w14:textId="77777777" w:rsidR="00434A8B" w:rsidRPr="00C2088B" w:rsidRDefault="00434A8B" w:rsidP="00C2088B">
      <w:pPr>
        <w:pStyle w:val="FootnoteText"/>
      </w:pPr>
      <w:r w:rsidRPr="00C2088B">
        <w:rPr>
          <w:rStyle w:val="FootnoteReference"/>
          <w:sz w:val="20"/>
        </w:rPr>
        <w:footnoteRef/>
      </w:r>
      <w:r w:rsidRPr="00C2088B">
        <w:t xml:space="preserve"> Federal Communications Commission, Wireline Competition Bureau, Industry Analysis and Technology Division, Trends in Telephone Service at Table 5.3, Page 5-5 (September 2010) (</w:t>
      </w:r>
      <w:r w:rsidRPr="00C2088B">
        <w:rPr>
          <w:i/>
        </w:rPr>
        <w:t>2010 Trends Report</w:t>
      </w:r>
      <w:r w:rsidRPr="00C2088B">
        <w:t>) (using data that is current as of Oct. 13, 2008).</w:t>
      </w:r>
    </w:p>
  </w:footnote>
  <w:footnote w:id="493">
    <w:p w14:paraId="62C038D3" w14:textId="77777777" w:rsidR="00434A8B" w:rsidRPr="00C2088B" w:rsidRDefault="00434A8B" w:rsidP="00C2088B">
      <w:pPr>
        <w:pStyle w:val="FootnoteText"/>
      </w:pPr>
      <w:r w:rsidRPr="00C2088B">
        <w:rPr>
          <w:rStyle w:val="FootnoteReference"/>
          <w:sz w:val="20"/>
        </w:rPr>
        <w:footnoteRef/>
      </w:r>
      <w:r w:rsidRPr="00C2088B">
        <w:t xml:space="preserve"> </w:t>
      </w:r>
      <w:r w:rsidRPr="00C2088B">
        <w:rPr>
          <w:i/>
        </w:rPr>
        <w:t>Id.</w:t>
      </w:r>
    </w:p>
  </w:footnote>
  <w:footnote w:id="494">
    <w:p w14:paraId="0350EC4B" w14:textId="77777777" w:rsidR="00434A8B" w:rsidRPr="00C2088B" w:rsidRDefault="00434A8B" w:rsidP="00C2088B">
      <w:pPr>
        <w:pStyle w:val="FootnoteText"/>
      </w:pPr>
      <w:r w:rsidRPr="00C2088B">
        <w:rPr>
          <w:rStyle w:val="FootnoteReference"/>
          <w:sz w:val="20"/>
        </w:rPr>
        <w:footnoteRef/>
      </w:r>
      <w:r w:rsidRPr="00C2088B">
        <w:t xml:space="preserve"> 5 U.S.C. § 601(3).</w:t>
      </w:r>
    </w:p>
  </w:footnote>
  <w:footnote w:id="495">
    <w:p w14:paraId="5285B377" w14:textId="7E1A2F65" w:rsidR="00434A8B" w:rsidRPr="00C2088B" w:rsidRDefault="00434A8B" w:rsidP="00C2088B">
      <w:pPr>
        <w:pStyle w:val="FootnoteText"/>
      </w:pPr>
      <w:r w:rsidRPr="00C2088B">
        <w:rPr>
          <w:rStyle w:val="FootnoteReference"/>
          <w:sz w:val="20"/>
        </w:rPr>
        <w:footnoteRef/>
      </w:r>
      <w:r w:rsidRPr="00C2088B">
        <w:t xml:space="preserve"> </w:t>
      </w:r>
      <w:r w:rsidRPr="00C2088B">
        <w:rPr>
          <w:i/>
        </w:rPr>
        <w:t>See</w:t>
      </w:r>
      <w:r w:rsidRPr="00C2088B">
        <w:t xml:space="preserve"> Letter from Jere W. Glover, Chief Counsel for Advocacy, U.S. Small Business Administration, to William E. Kennard, Chairman, Federal Communications Commission, CC Docket No. 98-147 et al., at 2 (May 27, 1999).  The Small Business Act contains a definition of </w:t>
      </w:r>
      <w:r>
        <w:t>“</w:t>
      </w:r>
      <w:r w:rsidRPr="00C2088B">
        <w:t>small business concern,</w:t>
      </w:r>
      <w:r>
        <w:t>”</w:t>
      </w:r>
      <w:r w:rsidRPr="00C2088B">
        <w:t xml:space="preserve"> which the RFA incorporates into its own definition of </w:t>
      </w:r>
      <w:r>
        <w:t>“</w:t>
      </w:r>
      <w:r w:rsidRPr="00C2088B">
        <w:t>small business.</w:t>
      </w:r>
      <w:r>
        <w:t>”</w:t>
      </w:r>
      <w:r w:rsidRPr="00C2088B">
        <w:t xml:space="preserve">  </w:t>
      </w:r>
      <w:r w:rsidRPr="00C2088B">
        <w:rPr>
          <w:i/>
        </w:rPr>
        <w:t xml:space="preserve">See </w:t>
      </w:r>
      <w:r w:rsidRPr="00C2088B">
        <w:t xml:space="preserve">15 U.S.C. § 632(a) ; 5 U.S.C. § 601(3) .  SBA regulations interpret </w:t>
      </w:r>
      <w:r>
        <w:t>“</w:t>
      </w:r>
      <w:r w:rsidRPr="00C2088B">
        <w:t>small business concern</w:t>
      </w:r>
      <w:r>
        <w:t>”</w:t>
      </w:r>
      <w:r w:rsidRPr="00C2088B">
        <w:t xml:space="preserve"> to include the concept of dominance on a national basis. </w:t>
      </w:r>
      <w:r w:rsidRPr="00C2088B">
        <w:rPr>
          <w:lang w:val="fr-FR"/>
        </w:rPr>
        <w:t>13 C.F.R. § 121.102(b).</w:t>
      </w:r>
    </w:p>
  </w:footnote>
  <w:footnote w:id="496">
    <w:p w14:paraId="6E42BB3D" w14:textId="77777777" w:rsidR="00434A8B" w:rsidRPr="00C2088B" w:rsidRDefault="00434A8B" w:rsidP="00C2088B">
      <w:pPr>
        <w:pStyle w:val="FootnoteText"/>
      </w:pPr>
      <w:r w:rsidRPr="00C2088B">
        <w:rPr>
          <w:rStyle w:val="FootnoteReference"/>
          <w:sz w:val="20"/>
        </w:rPr>
        <w:footnoteRef/>
      </w:r>
      <w:r w:rsidRPr="00C2088B">
        <w:t xml:space="preserve"> 13 C.F.R. § 121.201; NAICS code </w:t>
      </w:r>
      <w:r w:rsidRPr="00C2088B">
        <w:rPr>
          <w:lang w:val="fr-FR"/>
        </w:rPr>
        <w:t>517110</w:t>
      </w:r>
      <w:r w:rsidRPr="00C2088B">
        <w:t>.</w:t>
      </w:r>
    </w:p>
  </w:footnote>
  <w:footnote w:id="497">
    <w:p w14:paraId="1116104B" w14:textId="77777777" w:rsidR="00434A8B" w:rsidRPr="00C2088B" w:rsidRDefault="00434A8B" w:rsidP="00C2088B">
      <w:pPr>
        <w:pStyle w:val="FootnoteText"/>
      </w:pPr>
      <w:r w:rsidRPr="00C2088B">
        <w:rPr>
          <w:rStyle w:val="FootnoteReference"/>
          <w:sz w:val="20"/>
        </w:rPr>
        <w:footnoteRef/>
      </w:r>
      <w:r w:rsidRPr="00C2088B">
        <w:t xml:space="preserve"> </w:t>
      </w:r>
      <w:r w:rsidRPr="00C2088B">
        <w:rPr>
          <w:i/>
          <w:lang w:val="fr-FR"/>
        </w:rPr>
        <w:t>Id.</w:t>
      </w:r>
    </w:p>
  </w:footnote>
  <w:footnote w:id="498">
    <w:p w14:paraId="167BCDC3" w14:textId="77777777" w:rsidR="00434A8B" w:rsidRPr="00C2088B" w:rsidRDefault="00434A8B" w:rsidP="00C2088B">
      <w:pPr>
        <w:pStyle w:val="FootnoteText"/>
      </w:pPr>
      <w:r w:rsidRPr="00C2088B">
        <w:rPr>
          <w:rStyle w:val="FootnoteReference"/>
          <w:sz w:val="20"/>
        </w:rPr>
        <w:footnoteRef/>
      </w:r>
      <w:r w:rsidRPr="00C2088B">
        <w:t xml:space="preserve"> </w:t>
      </w:r>
      <w:r w:rsidRPr="00C2088B">
        <w:rPr>
          <w:i/>
          <w:lang w:val="fr-FR"/>
        </w:rPr>
        <w:t>2010 Trends Report</w:t>
      </w:r>
      <w:r w:rsidRPr="00C2088B">
        <w:rPr>
          <w:lang w:val="fr-FR"/>
        </w:rPr>
        <w:t>, Table 5.3, page 5-5.</w:t>
      </w:r>
    </w:p>
  </w:footnote>
  <w:footnote w:id="499">
    <w:p w14:paraId="26917461" w14:textId="77777777" w:rsidR="00434A8B" w:rsidRPr="00C2088B" w:rsidRDefault="00434A8B" w:rsidP="00C2088B">
      <w:pPr>
        <w:pStyle w:val="FootnoteText"/>
      </w:pPr>
      <w:r w:rsidRPr="00C2088B">
        <w:rPr>
          <w:rStyle w:val="FootnoteReference"/>
          <w:sz w:val="20"/>
        </w:rPr>
        <w:footnoteRef/>
      </w:r>
      <w:r w:rsidRPr="00C2088B">
        <w:t xml:space="preserve"> </w:t>
      </w:r>
      <w:r w:rsidRPr="00C2088B">
        <w:rPr>
          <w:i/>
          <w:lang w:val="fr-FR"/>
        </w:rPr>
        <w:t>Id.</w:t>
      </w:r>
    </w:p>
  </w:footnote>
  <w:footnote w:id="500">
    <w:p w14:paraId="352A6C1B" w14:textId="77777777" w:rsidR="00434A8B" w:rsidRPr="00C2088B" w:rsidRDefault="00434A8B" w:rsidP="00C2088B">
      <w:pPr>
        <w:pStyle w:val="FootnoteText"/>
      </w:pPr>
      <w:r w:rsidRPr="00C2088B">
        <w:rPr>
          <w:rStyle w:val="FootnoteReference"/>
          <w:sz w:val="20"/>
        </w:rPr>
        <w:footnoteRef/>
      </w:r>
      <w:r w:rsidRPr="00C2088B">
        <w:t xml:space="preserve"> </w:t>
      </w:r>
      <w:r w:rsidRPr="00C2088B">
        <w:rPr>
          <w:lang w:val="fr-FR"/>
        </w:rPr>
        <w:t>13 C.F.R. § 121.201 ; NAICS code 517110.</w:t>
      </w:r>
    </w:p>
  </w:footnote>
  <w:footnote w:id="501">
    <w:p w14:paraId="37820A7F" w14:textId="77777777" w:rsidR="00434A8B" w:rsidRPr="00C2088B" w:rsidRDefault="00434A8B" w:rsidP="00C2088B">
      <w:pPr>
        <w:pStyle w:val="FootnoteText"/>
      </w:pPr>
      <w:r w:rsidRPr="00C2088B">
        <w:rPr>
          <w:rStyle w:val="FootnoteReference"/>
          <w:sz w:val="20"/>
        </w:rPr>
        <w:footnoteRef/>
      </w:r>
      <w:r w:rsidRPr="00C2088B">
        <w:t xml:space="preserve"> </w:t>
      </w:r>
      <w:r w:rsidRPr="00C2088B">
        <w:rPr>
          <w:i/>
          <w:lang w:val="fr-FR"/>
        </w:rPr>
        <w:t>Id.</w:t>
      </w:r>
    </w:p>
  </w:footnote>
  <w:footnote w:id="502">
    <w:p w14:paraId="12D976F1" w14:textId="77777777" w:rsidR="00434A8B" w:rsidRPr="00C2088B" w:rsidRDefault="00434A8B" w:rsidP="00C2088B">
      <w:pPr>
        <w:pStyle w:val="FootnoteText"/>
      </w:pPr>
      <w:r w:rsidRPr="00C2088B">
        <w:rPr>
          <w:rStyle w:val="FootnoteReference"/>
          <w:sz w:val="20"/>
        </w:rPr>
        <w:footnoteRef/>
      </w:r>
      <w:r w:rsidRPr="00C2088B">
        <w:t xml:space="preserve"> </w:t>
      </w:r>
      <w:r w:rsidRPr="00C2088B">
        <w:rPr>
          <w:i/>
          <w:lang w:val="fr-FR"/>
        </w:rPr>
        <w:t>2010 Trends Report</w:t>
      </w:r>
      <w:r w:rsidRPr="00C2088B">
        <w:rPr>
          <w:lang w:val="fr-FR"/>
        </w:rPr>
        <w:t>, Table 5.3, page 5-5.</w:t>
      </w:r>
    </w:p>
  </w:footnote>
  <w:footnote w:id="503">
    <w:p w14:paraId="3BB4B5FF" w14:textId="77777777" w:rsidR="00434A8B" w:rsidRPr="00C2088B" w:rsidRDefault="00434A8B" w:rsidP="00C2088B">
      <w:pPr>
        <w:pStyle w:val="FootnoteText"/>
      </w:pPr>
      <w:r w:rsidRPr="00C2088B">
        <w:rPr>
          <w:rStyle w:val="FootnoteReference"/>
          <w:sz w:val="20"/>
        </w:rPr>
        <w:footnoteRef/>
      </w:r>
      <w:r w:rsidRPr="00C2088B">
        <w:t xml:space="preserve"> </w:t>
      </w:r>
      <w:r w:rsidRPr="00C2088B">
        <w:rPr>
          <w:i/>
          <w:lang w:val="fr-FR"/>
        </w:rPr>
        <w:t>Id.</w:t>
      </w:r>
    </w:p>
  </w:footnote>
  <w:footnote w:id="504">
    <w:p w14:paraId="1EB6C531" w14:textId="5A59DB6E" w:rsidR="00434A8B" w:rsidRPr="00C2088B" w:rsidRDefault="00434A8B" w:rsidP="00C2088B">
      <w:pPr>
        <w:pStyle w:val="FootnoteText"/>
      </w:pPr>
      <w:r w:rsidRPr="00C2088B">
        <w:rPr>
          <w:rStyle w:val="FootnoteReference"/>
          <w:sz w:val="20"/>
        </w:rPr>
        <w:footnoteRef/>
      </w:r>
      <w:r w:rsidRPr="00C2088B">
        <w:t xml:space="preserve"> </w:t>
      </w:r>
      <w:r w:rsidRPr="00C2088B">
        <w:rPr>
          <w:lang w:val="fr-FR"/>
        </w:rPr>
        <w:t xml:space="preserve">U.S. Census Bureau, 2012 NAICS Definitions, </w:t>
      </w:r>
      <w:r w:rsidRPr="00C2088B">
        <w:rPr>
          <w:bCs/>
          <w:lang w:val="fr-FR"/>
        </w:rPr>
        <w:t xml:space="preserve">517210 Wireless Telecommunications Categories (Except Satellite), </w:t>
      </w:r>
      <w:r w:rsidRPr="00C2088B">
        <w:rPr>
          <w:bCs/>
          <w:i/>
          <w:lang w:val="fr-FR"/>
        </w:rPr>
        <w:t>available at</w:t>
      </w:r>
      <w:r w:rsidRPr="00C2088B">
        <w:rPr>
          <w:lang w:val="fr-FR"/>
        </w:rPr>
        <w:t xml:space="preserve"> </w:t>
      </w:r>
      <w:hyperlink r:id="rId111" w:history="1">
        <w:r w:rsidRPr="00C2088B">
          <w:rPr>
            <w:rStyle w:val="Hyperlink"/>
            <w:lang w:val="fr-FR"/>
          </w:rPr>
          <w:t>http://www.census.gov/cgi-bin/sssd/naics/naicsrch?code=517210&amp;search=2007</w:t>
        </w:r>
      </w:hyperlink>
      <w:r w:rsidRPr="00C2088B">
        <w:rPr>
          <w:lang w:val="fr-FR"/>
        </w:rPr>
        <w:t xml:space="preserve"> (last visited July 15, 2013).</w:t>
      </w:r>
    </w:p>
  </w:footnote>
  <w:footnote w:id="505">
    <w:p w14:paraId="64B79C33" w14:textId="612440C6" w:rsidR="00434A8B" w:rsidRPr="00C2088B" w:rsidRDefault="00434A8B" w:rsidP="00C2088B">
      <w:pPr>
        <w:pStyle w:val="FootnoteText"/>
      </w:pPr>
      <w:r w:rsidRPr="00C2088B">
        <w:rPr>
          <w:rStyle w:val="FootnoteReference"/>
          <w:sz w:val="20"/>
        </w:rPr>
        <w:footnoteRef/>
      </w:r>
      <w:r w:rsidRPr="00C2088B">
        <w:t xml:space="preserve"> U.S. Census Bureau, 2002 NAICS Definitions, </w:t>
      </w:r>
      <w:r w:rsidRPr="00C2088B">
        <w:rPr>
          <w:bCs/>
        </w:rPr>
        <w:t xml:space="preserve">517211 Paging, </w:t>
      </w:r>
      <w:r w:rsidRPr="00C2088B">
        <w:rPr>
          <w:bCs/>
          <w:i/>
        </w:rPr>
        <w:t>available at</w:t>
      </w:r>
      <w:r w:rsidRPr="00C2088B">
        <w:t xml:space="preserve"> </w:t>
      </w:r>
      <w:hyperlink r:id="rId112" w:history="1">
        <w:r w:rsidRPr="00C2088B">
          <w:rPr>
            <w:rStyle w:val="Hyperlink"/>
          </w:rPr>
          <w:t>http://www.census.gov/cgi-bin/sssd/naics/naicsrch?code=517211&amp;search=2002</w:t>
        </w:r>
      </w:hyperlink>
      <w:r w:rsidRPr="00C2088B">
        <w:t xml:space="preserve"> </w:t>
      </w:r>
      <w:r w:rsidRPr="00C2088B">
        <w:rPr>
          <w:lang w:val="fr-FR"/>
        </w:rPr>
        <w:t>(last visited July 15, 2013)</w:t>
      </w:r>
      <w:r w:rsidRPr="00C2088B">
        <w:t xml:space="preserve">; U.S. Census Bureau, 2012 NAICS Definitions, 517212 Cellular and Other Wireless Telecommunications, </w:t>
      </w:r>
      <w:r w:rsidRPr="00C2088B">
        <w:rPr>
          <w:i/>
        </w:rPr>
        <w:t>available at</w:t>
      </w:r>
      <w:r w:rsidRPr="00C2088B">
        <w:t xml:space="preserve"> http://www.census.gov/cgi-bin/sssd/naics/naicsrch?code=517212&amp;search=2002 </w:t>
      </w:r>
      <w:r w:rsidRPr="00C2088B">
        <w:rPr>
          <w:lang w:val="fr-FR"/>
        </w:rPr>
        <w:t>(last visited July 15, 2013)</w:t>
      </w:r>
      <w:r w:rsidRPr="00C2088B">
        <w:t>.</w:t>
      </w:r>
    </w:p>
  </w:footnote>
  <w:footnote w:id="506">
    <w:p w14:paraId="72F04197" w14:textId="77777777" w:rsidR="00434A8B" w:rsidRPr="00C2088B" w:rsidRDefault="00434A8B" w:rsidP="00C2088B">
      <w:pPr>
        <w:pStyle w:val="FootnoteText"/>
      </w:pPr>
      <w:r w:rsidRPr="00C2088B">
        <w:rPr>
          <w:rStyle w:val="FootnoteReference"/>
          <w:sz w:val="20"/>
        </w:rPr>
        <w:footnoteRef/>
      </w:r>
      <w:r w:rsidRPr="00C2088B">
        <w:t xml:space="preserve"> </w:t>
      </w:r>
      <w:r w:rsidRPr="00C2088B">
        <w:rPr>
          <w:lang w:val="fr-FR"/>
        </w:rPr>
        <w:t xml:space="preserve">13 C.F.R. § 121.201, NAICS code 517210 (2007 NAICS). </w:t>
      </w:r>
      <w:r w:rsidRPr="00C2088B">
        <w:t>The now-superseded, pre-2007 C.F.R. citations were 13 C.F.R. § 121.201, NAICS codes 517211 and 517212 (referring to the 2002 NAICS).</w:t>
      </w:r>
    </w:p>
  </w:footnote>
  <w:footnote w:id="507">
    <w:p w14:paraId="061141BC" w14:textId="77777777" w:rsidR="00434A8B" w:rsidRPr="00C2088B" w:rsidRDefault="00434A8B" w:rsidP="00C2088B">
      <w:pPr>
        <w:pStyle w:val="FootnoteText"/>
      </w:pPr>
      <w:r w:rsidRPr="00C2088B">
        <w:rPr>
          <w:rStyle w:val="FootnoteReference"/>
          <w:sz w:val="20"/>
        </w:rPr>
        <w:footnoteRef/>
      </w:r>
      <w:r w:rsidRPr="00C2088B">
        <w:t xml:space="preserve"> U.S. Census Bureau, 2002 Economic Census, Subject Series: Information, Establishment and Firm Size (Including Legal Form of Organization), Table 5, NAICS code 517211 (issued Nov. 2005).</w:t>
      </w:r>
    </w:p>
  </w:footnote>
  <w:footnote w:id="508">
    <w:p w14:paraId="5F1370C8" w14:textId="0970670C" w:rsidR="00434A8B" w:rsidRPr="00C2088B" w:rsidRDefault="00434A8B" w:rsidP="00C2088B">
      <w:pPr>
        <w:pStyle w:val="FootnoteText"/>
      </w:pPr>
      <w:r w:rsidRPr="00C2088B">
        <w:rPr>
          <w:rStyle w:val="FootnoteReference"/>
          <w:sz w:val="20"/>
        </w:rPr>
        <w:footnoteRef/>
      </w:r>
      <w:r w:rsidRPr="00C2088B">
        <w:t xml:space="preserve"> </w:t>
      </w:r>
      <w:r w:rsidRPr="00C2088B">
        <w:rPr>
          <w:i/>
        </w:rPr>
        <w:t>Id.</w:t>
      </w:r>
      <w:r w:rsidRPr="00C2088B">
        <w:t xml:space="preserve">  The census data do not provide a more precise estimate of the number of firms that have employment of 1,500 or fewer employees; the largest category provided is for firms with </w:t>
      </w:r>
      <w:r>
        <w:t>“</w:t>
      </w:r>
      <w:r w:rsidRPr="00C2088B">
        <w:t>1000 employees or more.</w:t>
      </w:r>
      <w:r>
        <w:t>”</w:t>
      </w:r>
    </w:p>
  </w:footnote>
  <w:footnote w:id="509">
    <w:p w14:paraId="07DA9E4C" w14:textId="53241619" w:rsidR="00434A8B" w:rsidRPr="00C2088B" w:rsidRDefault="00434A8B" w:rsidP="00C2088B">
      <w:pPr>
        <w:pStyle w:val="FootnoteText"/>
      </w:pPr>
      <w:r w:rsidRPr="00C2088B">
        <w:rPr>
          <w:rStyle w:val="FootnoteReference"/>
          <w:sz w:val="20"/>
        </w:rPr>
        <w:footnoteRef/>
      </w:r>
      <w:r w:rsidRPr="00C2088B">
        <w:t xml:space="preserve"> U.S. Census Bureau, 2002 Economic Census, Subject Series:  Information, </w:t>
      </w:r>
      <w:r>
        <w:t>“</w:t>
      </w:r>
      <w:r w:rsidRPr="00C2088B">
        <w:t>Establishment and Firm Size (Including Legal Form of Organization,</w:t>
      </w:r>
      <w:r>
        <w:t>”</w:t>
      </w:r>
      <w:r w:rsidRPr="00C2088B">
        <w:t xml:space="preserve"> Table 5, NAICS code 517212 (issued Nov. 2005).</w:t>
      </w:r>
    </w:p>
  </w:footnote>
  <w:footnote w:id="510">
    <w:p w14:paraId="68F783D4" w14:textId="3B7797A0" w:rsidR="00434A8B" w:rsidRPr="00C2088B" w:rsidRDefault="00434A8B" w:rsidP="00C2088B">
      <w:pPr>
        <w:pStyle w:val="FootnoteText"/>
      </w:pPr>
      <w:r w:rsidRPr="00C2088B">
        <w:rPr>
          <w:rStyle w:val="FootnoteReference"/>
          <w:sz w:val="20"/>
        </w:rPr>
        <w:footnoteRef/>
      </w:r>
      <w:r w:rsidRPr="00C2088B">
        <w:t xml:space="preserve"> </w:t>
      </w:r>
      <w:r w:rsidRPr="00C2088B">
        <w:rPr>
          <w:i/>
        </w:rPr>
        <w:t>Id.</w:t>
      </w:r>
      <w:r w:rsidRPr="00C2088B">
        <w:t xml:space="preserve">  The census data do not provide a more precise estimate of the number of firms that have employment of 1,500 or fewer employees; the largest category provided is for firms with </w:t>
      </w:r>
      <w:r>
        <w:t>“</w:t>
      </w:r>
      <w:r w:rsidRPr="00C2088B">
        <w:t>1000 employees or more.</w:t>
      </w:r>
      <w:r>
        <w:t>”</w:t>
      </w:r>
    </w:p>
  </w:footnote>
  <w:footnote w:id="511">
    <w:p w14:paraId="7A893B05" w14:textId="77777777" w:rsidR="00434A8B" w:rsidRPr="00C2088B" w:rsidRDefault="00434A8B" w:rsidP="00C2088B">
      <w:pPr>
        <w:pStyle w:val="FootnoteText"/>
      </w:pPr>
      <w:r w:rsidRPr="00C2088B">
        <w:rPr>
          <w:rStyle w:val="FootnoteReference"/>
          <w:sz w:val="20"/>
        </w:rPr>
        <w:footnoteRef/>
      </w:r>
      <w:r w:rsidRPr="00C2088B">
        <w:t xml:space="preserve"> </w:t>
      </w:r>
      <w:r w:rsidRPr="00C2088B">
        <w:rPr>
          <w:rStyle w:val="Footnote"/>
          <w:lang w:val="fr-FR"/>
        </w:rPr>
        <w:t>13 C.F.R. § 121.201(b) ; NAICS code 517210.</w:t>
      </w:r>
    </w:p>
  </w:footnote>
  <w:footnote w:id="512">
    <w:p w14:paraId="7DAA3B4E" w14:textId="77777777" w:rsidR="00434A8B" w:rsidRPr="00C2088B" w:rsidRDefault="00434A8B" w:rsidP="00C2088B">
      <w:pPr>
        <w:pStyle w:val="FootnoteText"/>
      </w:pPr>
      <w:r w:rsidRPr="00C2088B">
        <w:rPr>
          <w:rStyle w:val="FootnoteReference"/>
          <w:sz w:val="20"/>
        </w:rPr>
        <w:footnoteRef/>
      </w:r>
      <w:r w:rsidRPr="00C2088B">
        <w:t xml:space="preserve"> </w:t>
      </w:r>
      <w:r w:rsidRPr="00C2088B">
        <w:rPr>
          <w:rStyle w:val="Footnote"/>
          <w:i/>
        </w:rPr>
        <w:t>Id</w:t>
      </w:r>
      <w:r w:rsidRPr="00C2088B">
        <w:rPr>
          <w:rStyle w:val="Footnote"/>
        </w:rPr>
        <w:t>.</w:t>
      </w:r>
    </w:p>
  </w:footnote>
  <w:footnote w:id="513">
    <w:p w14:paraId="06B20F5C" w14:textId="77777777" w:rsidR="00434A8B" w:rsidRPr="00C2088B" w:rsidRDefault="00434A8B" w:rsidP="00C2088B">
      <w:pPr>
        <w:pStyle w:val="FootnoteText"/>
      </w:pPr>
      <w:r w:rsidRPr="00C2088B">
        <w:rPr>
          <w:rStyle w:val="FootnoteReference"/>
          <w:sz w:val="20"/>
        </w:rPr>
        <w:footnoteRef/>
      </w:r>
      <w:r w:rsidRPr="00C2088B">
        <w:t xml:space="preserve"> </w:t>
      </w:r>
      <w:r w:rsidRPr="00C2088B">
        <w:rPr>
          <w:rStyle w:val="Footnote"/>
          <w:i/>
        </w:rPr>
        <w:t>2010 Trends Report</w:t>
      </w:r>
      <w:r w:rsidRPr="00C2088B">
        <w:rPr>
          <w:rStyle w:val="Footnote"/>
        </w:rPr>
        <w:t xml:space="preserve"> at Table 5.3, page 5-5.</w:t>
      </w:r>
    </w:p>
  </w:footnote>
  <w:footnote w:id="514">
    <w:p w14:paraId="7803DED0" w14:textId="77777777" w:rsidR="00434A8B" w:rsidRPr="00C2088B" w:rsidRDefault="00434A8B" w:rsidP="00C2088B">
      <w:pPr>
        <w:pStyle w:val="FootnoteText"/>
      </w:pPr>
      <w:r w:rsidRPr="00C2088B">
        <w:rPr>
          <w:rStyle w:val="FootnoteReference"/>
          <w:sz w:val="20"/>
        </w:rPr>
        <w:footnoteRef/>
      </w:r>
      <w:r w:rsidRPr="00C2088B">
        <w:t xml:space="preserve"> </w:t>
      </w:r>
      <w:r w:rsidRPr="00C2088B">
        <w:rPr>
          <w:rStyle w:val="Footnote"/>
          <w:i/>
        </w:rPr>
        <w:t>Id</w:t>
      </w:r>
      <w:r w:rsidRPr="00C2088B">
        <w:rPr>
          <w:rStyle w:val="Footnote"/>
        </w:rPr>
        <w:t>.</w:t>
      </w:r>
    </w:p>
  </w:footnote>
  <w:footnote w:id="515">
    <w:p w14:paraId="4787B9B6" w14:textId="3054CB29" w:rsidR="00434A8B" w:rsidRPr="00C2088B" w:rsidRDefault="00434A8B" w:rsidP="00C2088B">
      <w:pPr>
        <w:pStyle w:val="FootnoteText"/>
      </w:pPr>
      <w:r w:rsidRPr="00C2088B">
        <w:rPr>
          <w:rStyle w:val="FootnoteReference"/>
          <w:sz w:val="20"/>
        </w:rPr>
        <w:footnoteRef/>
      </w:r>
      <w:r w:rsidRPr="00C2088B">
        <w:t xml:space="preserve"> U.S. Census Bureau, 2007 NAICS Definitions, </w:t>
      </w:r>
      <w:r w:rsidRPr="00C2088B">
        <w:rPr>
          <w:bCs/>
        </w:rPr>
        <w:t xml:space="preserve">517210 Wireless Telecommunications Categories (Except Satellite), </w:t>
      </w:r>
      <w:r w:rsidRPr="00C2088B">
        <w:rPr>
          <w:bCs/>
          <w:i/>
        </w:rPr>
        <w:t>available at</w:t>
      </w:r>
      <w:r w:rsidRPr="00C2088B">
        <w:t xml:space="preserve"> </w:t>
      </w:r>
      <w:hyperlink r:id="rId113" w:anchor="N517210" w:history="1">
        <w:r w:rsidRPr="00C2088B">
          <w:rPr>
            <w:rStyle w:val="Hyperlink"/>
          </w:rPr>
          <w:t>http://www.census.gov/naics/2007/def/ND517210.HTM#N517210</w:t>
        </w:r>
      </w:hyperlink>
      <w:r w:rsidRPr="00C2088B">
        <w:t xml:space="preserve"> (last visited July 15, 2013).</w:t>
      </w:r>
    </w:p>
  </w:footnote>
  <w:footnote w:id="516">
    <w:p w14:paraId="3CEC6764" w14:textId="7AC5A6A9" w:rsidR="00434A8B" w:rsidRPr="00C2088B" w:rsidRDefault="00434A8B" w:rsidP="00C2088B">
      <w:pPr>
        <w:pStyle w:val="FootnoteText"/>
      </w:pPr>
      <w:r w:rsidRPr="00C2088B">
        <w:rPr>
          <w:rStyle w:val="FootnoteReference"/>
          <w:sz w:val="20"/>
        </w:rPr>
        <w:footnoteRef/>
      </w:r>
      <w:r w:rsidRPr="00C2088B">
        <w:t xml:space="preserve"> </w:t>
      </w:r>
      <w:r w:rsidRPr="00C2088B">
        <w:rPr>
          <w:lang w:val="fr-FR"/>
        </w:rPr>
        <w:t xml:space="preserve">U.S. Census Bureau, 2002 NAICS Definitions, </w:t>
      </w:r>
      <w:r w:rsidRPr="00C2088B">
        <w:rPr>
          <w:bCs/>
          <w:lang w:val="fr-FR"/>
        </w:rPr>
        <w:t>517211 Paging,</w:t>
      </w:r>
      <w:r w:rsidRPr="00C2088B">
        <w:t xml:space="preserve"> </w:t>
      </w:r>
      <w:hyperlink r:id="rId114" w:history="1">
        <w:r w:rsidRPr="00C2088B">
          <w:rPr>
            <w:rStyle w:val="Hyperlink"/>
          </w:rPr>
          <w:t>http://www.census.gov/cgi-bin/sssd/naics/naicsrch?code=517211&amp;search=2002</w:t>
        </w:r>
      </w:hyperlink>
      <w:r w:rsidRPr="00C2088B">
        <w:rPr>
          <w:rStyle w:val="Hyperlink"/>
        </w:rPr>
        <w:t xml:space="preserve"> (last visited July 15, 2013)</w:t>
      </w:r>
      <w:r w:rsidRPr="00C2088B">
        <w:rPr>
          <w:lang w:val="fr-FR"/>
        </w:rPr>
        <w:t>.</w:t>
      </w:r>
    </w:p>
  </w:footnote>
  <w:footnote w:id="517">
    <w:p w14:paraId="54472CDC" w14:textId="77777777" w:rsidR="00434A8B" w:rsidRPr="00C2088B" w:rsidRDefault="00434A8B" w:rsidP="00C2088B">
      <w:pPr>
        <w:pStyle w:val="FootnoteText"/>
      </w:pPr>
      <w:r w:rsidRPr="00C2088B">
        <w:rPr>
          <w:rStyle w:val="FootnoteReference"/>
          <w:sz w:val="20"/>
        </w:rPr>
        <w:footnoteRef/>
      </w:r>
      <w:r w:rsidRPr="00C2088B">
        <w:t xml:space="preserve"> </w:t>
      </w:r>
      <w:r w:rsidRPr="00C2088B">
        <w:rPr>
          <w:lang w:val="fr-FR"/>
        </w:rPr>
        <w:t xml:space="preserve">13 C.F.R. § 121.201 ; NAICS code 517210 (2007 NAICS).  </w:t>
      </w:r>
      <w:r w:rsidRPr="00C2088B">
        <w:t>The now-superseded, pre-2007 C.F.R. citations were 13 C.F.R. § 121.201, NAICS codes 517211 and 517212 (referring to the 2002 NAICS).</w:t>
      </w:r>
    </w:p>
  </w:footnote>
  <w:footnote w:id="518">
    <w:p w14:paraId="4990E357" w14:textId="77777777" w:rsidR="00434A8B" w:rsidRPr="00C2088B" w:rsidRDefault="00434A8B" w:rsidP="00C2088B">
      <w:pPr>
        <w:pStyle w:val="FootnoteText"/>
      </w:pPr>
      <w:r w:rsidRPr="00C2088B">
        <w:rPr>
          <w:rStyle w:val="FootnoteReference"/>
          <w:sz w:val="20"/>
        </w:rPr>
        <w:footnoteRef/>
      </w:r>
      <w:r w:rsidRPr="00C2088B">
        <w:t xml:space="preserve"> U.S. Census Bureau, 2002 Economic Census, Subject Series: Information, Establishment and Firm Size Including Legal Form of Organization, Table 5, pages 160-197 (issued Nov. 2005); NAICS code 517211.</w:t>
      </w:r>
    </w:p>
  </w:footnote>
  <w:footnote w:id="519">
    <w:p w14:paraId="566E5E44" w14:textId="103FCE32" w:rsidR="00434A8B" w:rsidRPr="00C2088B" w:rsidRDefault="00434A8B" w:rsidP="00C2088B">
      <w:pPr>
        <w:pStyle w:val="FootnoteText"/>
      </w:pPr>
      <w:r w:rsidRPr="00C2088B">
        <w:rPr>
          <w:rStyle w:val="FootnoteReference"/>
          <w:sz w:val="20"/>
        </w:rPr>
        <w:footnoteRef/>
      </w:r>
      <w:r w:rsidRPr="00C2088B">
        <w:t xml:space="preserve"> </w:t>
      </w:r>
      <w:r w:rsidRPr="00C2088B">
        <w:rPr>
          <w:i/>
        </w:rPr>
        <w:t>Id.</w:t>
      </w:r>
      <w:r w:rsidRPr="00C2088B">
        <w:t xml:space="preserve">  The census data do not provide a more precise estimate of the number of firms that have employment of 1,500 or fewer employees; the largest category provided is for firms with </w:t>
      </w:r>
      <w:r>
        <w:t>“</w:t>
      </w:r>
      <w:r w:rsidRPr="00C2088B">
        <w:t>1000 employees or more.</w:t>
      </w:r>
      <w:r>
        <w:t>”</w:t>
      </w:r>
    </w:p>
  </w:footnote>
  <w:footnote w:id="520">
    <w:p w14:paraId="6323327D" w14:textId="77777777" w:rsidR="00434A8B" w:rsidRPr="00C2088B" w:rsidRDefault="00434A8B" w:rsidP="00C2088B">
      <w:pPr>
        <w:pStyle w:val="FootnoteText"/>
      </w:pPr>
      <w:r w:rsidRPr="00C2088B">
        <w:rPr>
          <w:rStyle w:val="FootnoteReference"/>
          <w:sz w:val="20"/>
        </w:rPr>
        <w:footnoteRef/>
      </w:r>
      <w:r w:rsidRPr="00C2088B">
        <w:t xml:space="preserve"> </w:t>
      </w:r>
      <w:r w:rsidRPr="00C2088B">
        <w:rPr>
          <w:rStyle w:val="Footnote"/>
          <w:i/>
        </w:rPr>
        <w:t>Revision of Part 22 and Part 90 of the Commission’s Rules to Facilitate Future Development of Paging Systems</w:t>
      </w:r>
      <w:r w:rsidRPr="00C2088B">
        <w:rPr>
          <w:rStyle w:val="Footnote"/>
        </w:rPr>
        <w:t>, Second Report and Order, 12 FCC Rcd 2732, 2810-15, paras. 178-186 (</w:t>
      </w:r>
      <w:r w:rsidRPr="00C2088B">
        <w:rPr>
          <w:rStyle w:val="Footnote"/>
          <w:i/>
        </w:rPr>
        <w:t>Paging Second Report and Order</w:t>
      </w:r>
      <w:r w:rsidRPr="00C2088B">
        <w:rPr>
          <w:rStyle w:val="Footnote"/>
        </w:rPr>
        <w:t xml:space="preserve">); </w:t>
      </w:r>
      <w:r w:rsidRPr="00C2088B">
        <w:rPr>
          <w:rStyle w:val="Footnote"/>
          <w:i/>
        </w:rPr>
        <w:t>see also</w:t>
      </w:r>
      <w:r w:rsidRPr="00C2088B">
        <w:rPr>
          <w:rStyle w:val="Footnote"/>
        </w:rPr>
        <w:t xml:space="preserve"> </w:t>
      </w:r>
      <w:r w:rsidRPr="00C2088B">
        <w:rPr>
          <w:rStyle w:val="Footnote"/>
          <w:i/>
        </w:rPr>
        <w:t>Revision of Part 22 and Part 90 of the Commission’s Rules to Facilitate Future Development of Paging Systems</w:t>
      </w:r>
      <w:r w:rsidRPr="00C2088B">
        <w:rPr>
          <w:rStyle w:val="Footnote"/>
        </w:rPr>
        <w:t>, Memorandum Opinion and Order on Reconsideration, 14 FCC Rcd 10030, 10085-10088, paras. 98-107 (1999).</w:t>
      </w:r>
    </w:p>
  </w:footnote>
  <w:footnote w:id="521">
    <w:p w14:paraId="5854D2CE" w14:textId="77777777" w:rsidR="00434A8B" w:rsidRPr="00C2088B" w:rsidRDefault="00434A8B" w:rsidP="00C2088B">
      <w:pPr>
        <w:pStyle w:val="FootnoteText"/>
      </w:pPr>
      <w:r w:rsidRPr="00C2088B">
        <w:rPr>
          <w:rStyle w:val="FootnoteReference"/>
          <w:sz w:val="20"/>
        </w:rPr>
        <w:footnoteRef/>
      </w:r>
      <w:r w:rsidRPr="00C2088B">
        <w:t xml:space="preserve"> </w:t>
      </w:r>
      <w:r w:rsidRPr="00C2088B">
        <w:rPr>
          <w:rStyle w:val="Footnote"/>
          <w:i/>
        </w:rPr>
        <w:t>Paging Second Report and Order</w:t>
      </w:r>
      <w:r w:rsidRPr="00C2088B">
        <w:rPr>
          <w:rStyle w:val="Footnote"/>
        </w:rPr>
        <w:t>, 12 FCC Rcd at 2811, para. 179.</w:t>
      </w:r>
    </w:p>
  </w:footnote>
  <w:footnote w:id="522">
    <w:p w14:paraId="49280A2B" w14:textId="77777777" w:rsidR="00434A8B" w:rsidRPr="00C2088B" w:rsidRDefault="00434A8B" w:rsidP="00C2088B">
      <w:pPr>
        <w:pStyle w:val="FootnoteText"/>
      </w:pPr>
      <w:r w:rsidRPr="00C2088B">
        <w:rPr>
          <w:rStyle w:val="FootnoteReference"/>
          <w:sz w:val="20"/>
        </w:rPr>
        <w:footnoteRef/>
      </w:r>
      <w:r w:rsidRPr="00C2088B">
        <w:t xml:space="preserve"> </w:t>
      </w:r>
      <w:r w:rsidRPr="00C2088B">
        <w:rPr>
          <w:rStyle w:val="Footnote"/>
          <w:i/>
        </w:rPr>
        <w:t xml:space="preserve">See </w:t>
      </w:r>
      <w:r w:rsidRPr="00C2088B">
        <w:rPr>
          <w:rStyle w:val="Footnote"/>
        </w:rPr>
        <w:t>Letter from Aida Alvarez, Administrator, SBA, to Amy Zoslov, Chief, Auctions and Industry Analysis Division, Wireless Telecommunications Bureau , Federal Communications Commission (Dec. 2, 1998) (</w:t>
      </w:r>
      <w:r w:rsidRPr="00C2088B">
        <w:rPr>
          <w:rStyle w:val="Footnote"/>
          <w:i/>
        </w:rPr>
        <w:t>Alvarez Letter 1998</w:t>
      </w:r>
      <w:r w:rsidRPr="00C2088B">
        <w:rPr>
          <w:rStyle w:val="Footnote"/>
        </w:rPr>
        <w:t>).</w:t>
      </w:r>
    </w:p>
  </w:footnote>
  <w:footnote w:id="523">
    <w:p w14:paraId="201AEB97" w14:textId="77777777" w:rsidR="00434A8B" w:rsidRPr="00C2088B" w:rsidRDefault="00434A8B" w:rsidP="00C2088B">
      <w:pPr>
        <w:pStyle w:val="FootnoteText"/>
      </w:pPr>
      <w:r w:rsidRPr="00C2088B">
        <w:rPr>
          <w:rStyle w:val="FootnoteReference"/>
          <w:sz w:val="20"/>
        </w:rPr>
        <w:footnoteRef/>
      </w:r>
      <w:r w:rsidRPr="00C2088B">
        <w:t xml:space="preserve"> </w:t>
      </w:r>
      <w:r w:rsidRPr="00C2088B">
        <w:rPr>
          <w:rStyle w:val="Footnote"/>
          <w:i/>
        </w:rPr>
        <w:t>See</w:t>
      </w:r>
      <w:r w:rsidRPr="00C2088B">
        <w:rPr>
          <w:rStyle w:val="Footnote"/>
        </w:rPr>
        <w:t xml:space="preserve"> </w:t>
      </w:r>
      <w:r w:rsidRPr="00C2088B">
        <w:rPr>
          <w:rStyle w:val="Footnote"/>
          <w:i/>
        </w:rPr>
        <w:t>929 and 931 MHz Paging Auction Closes</w:t>
      </w:r>
      <w:r w:rsidRPr="00C2088B">
        <w:rPr>
          <w:rStyle w:val="Footnote"/>
        </w:rPr>
        <w:t>, Public Notice, 15 FCC Rcd 4858 (Wireless Telecomm. Bur. rel. Mar. 6, 2000).</w:t>
      </w:r>
    </w:p>
  </w:footnote>
  <w:footnote w:id="524">
    <w:p w14:paraId="43CCBCC6" w14:textId="77777777" w:rsidR="00434A8B" w:rsidRPr="00C2088B" w:rsidRDefault="00434A8B" w:rsidP="00C2088B">
      <w:pPr>
        <w:pStyle w:val="FootnoteText"/>
      </w:pPr>
      <w:r w:rsidRPr="00C2088B">
        <w:rPr>
          <w:rStyle w:val="FootnoteReference"/>
          <w:sz w:val="20"/>
        </w:rPr>
        <w:footnoteRef/>
      </w:r>
      <w:r w:rsidRPr="00C2088B">
        <w:t xml:space="preserve"> </w:t>
      </w:r>
      <w:r w:rsidRPr="00C2088B">
        <w:rPr>
          <w:rStyle w:val="Footnote"/>
          <w:i/>
        </w:rPr>
        <w:t>See</w:t>
      </w:r>
      <w:r w:rsidRPr="00C2088B">
        <w:rPr>
          <w:rStyle w:val="Footnote"/>
        </w:rPr>
        <w:t xml:space="preserve"> </w:t>
      </w:r>
      <w:r w:rsidRPr="00C2088B">
        <w:rPr>
          <w:rStyle w:val="Footnote"/>
          <w:i/>
        </w:rPr>
        <w:t xml:space="preserve">id. </w:t>
      </w:r>
      <w:r w:rsidRPr="00C2088B">
        <w:rPr>
          <w:rStyle w:val="Footnote"/>
        </w:rPr>
        <w:t>at 4866, Attachment A.</w:t>
      </w:r>
    </w:p>
  </w:footnote>
  <w:footnote w:id="525">
    <w:p w14:paraId="2072C542" w14:textId="77777777" w:rsidR="00434A8B" w:rsidRPr="00C2088B" w:rsidRDefault="00434A8B" w:rsidP="00C2088B">
      <w:pPr>
        <w:pStyle w:val="FootnoteText"/>
      </w:pPr>
      <w:r w:rsidRPr="00C2088B">
        <w:rPr>
          <w:rStyle w:val="FootnoteReference"/>
          <w:sz w:val="20"/>
        </w:rPr>
        <w:footnoteRef/>
      </w:r>
      <w:r w:rsidRPr="00C2088B">
        <w:t xml:space="preserve"> </w:t>
      </w:r>
      <w:r w:rsidRPr="00C2088B">
        <w:rPr>
          <w:rStyle w:val="Footnote"/>
          <w:i/>
        </w:rPr>
        <w:t>See</w:t>
      </w:r>
      <w:r w:rsidRPr="00C2088B">
        <w:rPr>
          <w:rStyle w:val="Footnote"/>
        </w:rPr>
        <w:t xml:space="preserve"> </w:t>
      </w:r>
      <w:r w:rsidRPr="00C2088B">
        <w:rPr>
          <w:rStyle w:val="Footnote"/>
          <w:i/>
        </w:rPr>
        <w:t>Lower and Upper Paging Band Auction Closes</w:t>
      </w:r>
      <w:r w:rsidRPr="00C2088B">
        <w:rPr>
          <w:rStyle w:val="Footnote"/>
        </w:rPr>
        <w:t>, Public Notice, 16 FCC Rcd 21821 (Wireless Telecomm. Bur. rel. Dec.11, 2001).</w:t>
      </w:r>
    </w:p>
  </w:footnote>
  <w:footnote w:id="526">
    <w:p w14:paraId="6E0639D5" w14:textId="77777777" w:rsidR="00434A8B" w:rsidRPr="00C2088B" w:rsidRDefault="00434A8B" w:rsidP="00C2088B">
      <w:pPr>
        <w:pStyle w:val="FootnoteText"/>
      </w:pPr>
      <w:r w:rsidRPr="00C2088B">
        <w:rPr>
          <w:rStyle w:val="FootnoteReference"/>
          <w:sz w:val="20"/>
        </w:rPr>
        <w:footnoteRef/>
      </w:r>
      <w:r w:rsidRPr="00C2088B">
        <w:t xml:space="preserve"> </w:t>
      </w:r>
      <w:r w:rsidRPr="00C2088B">
        <w:rPr>
          <w:rStyle w:val="Footnote"/>
          <w:i/>
        </w:rPr>
        <w:t>See</w:t>
      </w:r>
      <w:r w:rsidRPr="00C2088B">
        <w:rPr>
          <w:rStyle w:val="Footnote"/>
        </w:rPr>
        <w:t xml:space="preserve"> Lower and Upper Paging Bands Auction Closes, Public Notice, 18 FCC Rcd 11154 (Wireless Telecomm. Bur. rel. May 30, 2003).  The current number of small or very small business entities that hold wireless licenses may differ significantly from the number of such entities that won in spectrum auctions due to assignments and transfers of licenses in the secondary market over time.  In addition, some of the same small business entities may have won licenses in more than one auction.</w:t>
      </w:r>
    </w:p>
  </w:footnote>
  <w:footnote w:id="527">
    <w:p w14:paraId="7FE59DCE" w14:textId="77777777" w:rsidR="00434A8B" w:rsidRPr="00C2088B" w:rsidRDefault="00434A8B" w:rsidP="00C2088B">
      <w:pPr>
        <w:pStyle w:val="FootnoteText"/>
      </w:pPr>
      <w:r w:rsidRPr="00C2088B">
        <w:rPr>
          <w:rStyle w:val="FootnoteReference"/>
          <w:sz w:val="20"/>
        </w:rPr>
        <w:footnoteRef/>
      </w:r>
      <w:r w:rsidRPr="00C2088B">
        <w:t xml:space="preserve"> </w:t>
      </w:r>
      <w:r w:rsidRPr="00C2088B">
        <w:rPr>
          <w:rStyle w:val="Footnote"/>
          <w:i/>
        </w:rPr>
        <w:t xml:space="preserve">2010 Trends Report </w:t>
      </w:r>
      <w:r w:rsidRPr="00C2088B">
        <w:rPr>
          <w:rStyle w:val="Footnote"/>
        </w:rPr>
        <w:t>at Table 5.3, page 5-5.</w:t>
      </w:r>
    </w:p>
  </w:footnote>
  <w:footnote w:id="528">
    <w:p w14:paraId="26E3EA96" w14:textId="77777777" w:rsidR="00434A8B" w:rsidRPr="00C2088B" w:rsidRDefault="00434A8B" w:rsidP="00C2088B">
      <w:pPr>
        <w:pStyle w:val="FootnoteText"/>
      </w:pPr>
      <w:r w:rsidRPr="00C2088B">
        <w:rPr>
          <w:rStyle w:val="FootnoteReference"/>
          <w:sz w:val="20"/>
        </w:rPr>
        <w:footnoteRef/>
      </w:r>
      <w:r w:rsidRPr="00C2088B">
        <w:t xml:space="preserve"> </w:t>
      </w:r>
      <w:r w:rsidRPr="00C2088B">
        <w:rPr>
          <w:rStyle w:val="Footnote"/>
          <w:i/>
        </w:rPr>
        <w:t>Id</w:t>
      </w:r>
      <w:r w:rsidRPr="00C2088B">
        <w:rPr>
          <w:rStyle w:val="Footnote"/>
        </w:rPr>
        <w:t>.</w:t>
      </w:r>
    </w:p>
  </w:footnote>
  <w:footnote w:id="529">
    <w:p w14:paraId="10AB54FC" w14:textId="72C0E72A" w:rsidR="00434A8B" w:rsidRPr="00C2088B" w:rsidRDefault="00434A8B" w:rsidP="00C2088B">
      <w:pPr>
        <w:pStyle w:val="FootnoteText"/>
      </w:pPr>
      <w:r w:rsidRPr="00C2088B">
        <w:rPr>
          <w:rStyle w:val="FootnoteReference"/>
          <w:sz w:val="20"/>
        </w:rPr>
        <w:footnoteRef/>
      </w:r>
      <w:r w:rsidRPr="00C2088B">
        <w:t xml:space="preserve"> U.S. Census Bureau, 2012 NAICS Definitions, 517110 Wired Telecommunications Carriers, </w:t>
      </w:r>
      <w:r w:rsidRPr="00C2088B">
        <w:rPr>
          <w:i/>
        </w:rPr>
        <w:t xml:space="preserve">available at </w:t>
      </w:r>
      <w:hyperlink r:id="rId115" w:history="1">
        <w:r w:rsidRPr="00C2088B">
          <w:rPr>
            <w:rStyle w:val="Hyperlink"/>
          </w:rPr>
          <w:t>http://www.census.gov/cgi-bin/sssd/naics/naicsrch?code=517110&amp;search=2012</w:t>
        </w:r>
      </w:hyperlink>
      <w:r w:rsidRPr="00C2088B">
        <w:t xml:space="preserve"> (last visited July 15, 2013).</w:t>
      </w:r>
    </w:p>
  </w:footnote>
  <w:footnote w:id="530">
    <w:p w14:paraId="17E80EE2" w14:textId="77777777" w:rsidR="00434A8B" w:rsidRPr="00C2088B" w:rsidRDefault="00434A8B" w:rsidP="00C2088B">
      <w:pPr>
        <w:pStyle w:val="FootnoteText"/>
      </w:pPr>
      <w:r w:rsidRPr="00C2088B">
        <w:rPr>
          <w:rStyle w:val="FootnoteReference"/>
          <w:sz w:val="20"/>
        </w:rPr>
        <w:footnoteRef/>
      </w:r>
      <w:r w:rsidRPr="00C2088B">
        <w:t xml:space="preserve"> 13 C.F.R. § 121.201; NAICS code 517110 (updated for inflation in 2008).</w:t>
      </w:r>
    </w:p>
  </w:footnote>
  <w:footnote w:id="531">
    <w:p w14:paraId="3C8FA495" w14:textId="77777777" w:rsidR="00434A8B" w:rsidRPr="00C2088B" w:rsidRDefault="00434A8B" w:rsidP="00C2088B">
      <w:pPr>
        <w:pStyle w:val="FootnoteText"/>
      </w:pPr>
      <w:r w:rsidRPr="00C2088B">
        <w:rPr>
          <w:rStyle w:val="FootnoteReference"/>
          <w:sz w:val="20"/>
        </w:rPr>
        <w:footnoteRef/>
      </w:r>
      <w:r w:rsidRPr="00C2088B">
        <w:t xml:space="preserve"> U.S. Census Bureau, 2012 NAICS Definitions, 517919 All Other Telecommunications, </w:t>
      </w:r>
      <w:r w:rsidRPr="00C2088B">
        <w:rPr>
          <w:i/>
        </w:rPr>
        <w:t>available at</w:t>
      </w:r>
      <w:r w:rsidRPr="00C2088B">
        <w:t xml:space="preserve"> http://www.census.gov/cgi-bin/sssd/naics/naicsrch?code=517919&amp;search=2012 (last visited July 15, 2013).</w:t>
      </w:r>
    </w:p>
  </w:footnote>
  <w:footnote w:id="532">
    <w:p w14:paraId="6DA9AF9C" w14:textId="77777777" w:rsidR="00434A8B" w:rsidRPr="00C2088B" w:rsidRDefault="00434A8B" w:rsidP="00C2088B">
      <w:pPr>
        <w:pStyle w:val="FootnoteText"/>
      </w:pPr>
      <w:r w:rsidRPr="00C2088B">
        <w:rPr>
          <w:rStyle w:val="FootnoteReference"/>
          <w:sz w:val="20"/>
        </w:rPr>
        <w:footnoteRef/>
      </w:r>
      <w:r w:rsidRPr="00C2088B">
        <w:t xml:space="preserve"> 13 C.F.R. § 121.201; NAICS code 517919 (updated for inflation in 2008).</w:t>
      </w:r>
    </w:p>
  </w:footnote>
  <w:footnote w:id="533">
    <w:p w14:paraId="21C2D874" w14:textId="77777777" w:rsidR="00434A8B" w:rsidRPr="00C2088B" w:rsidRDefault="00434A8B" w:rsidP="00C2088B">
      <w:pPr>
        <w:pStyle w:val="FootnoteText"/>
      </w:pPr>
      <w:r w:rsidRPr="00C2088B">
        <w:rPr>
          <w:rStyle w:val="FootnoteReference"/>
          <w:sz w:val="20"/>
        </w:rPr>
        <w:footnoteRef/>
      </w:r>
      <w:r w:rsidRPr="00C2088B">
        <w:t xml:space="preserve">  U.S. Census Bureau, 2002 NAICS Definitions, 518111 Internet Service Providers, </w:t>
      </w:r>
      <w:r w:rsidRPr="00C2088B">
        <w:rPr>
          <w:i/>
        </w:rPr>
        <w:t xml:space="preserve">available at </w:t>
      </w:r>
      <w:r w:rsidRPr="00C2088B">
        <w:t xml:space="preserve"> http://www.census.gov/cgi-bin/sssd/naics/naicsrch?code=518111&amp;search=2002 (last visited July 15, 2013).</w:t>
      </w:r>
    </w:p>
  </w:footnote>
  <w:footnote w:id="534">
    <w:p w14:paraId="4AF69974" w14:textId="77777777" w:rsidR="00434A8B" w:rsidRPr="00C2088B" w:rsidRDefault="00434A8B" w:rsidP="00C2088B">
      <w:pPr>
        <w:pStyle w:val="FootnoteText"/>
      </w:pPr>
      <w:r w:rsidRPr="00C2088B">
        <w:rPr>
          <w:rStyle w:val="FootnoteReference"/>
          <w:sz w:val="20"/>
        </w:rPr>
        <w:footnoteRef/>
      </w:r>
      <w:r w:rsidRPr="00C2088B">
        <w:t xml:space="preserve"> U.S. Census Bureau, 2002 Economic Census, Subject Series:  Information, Establishment and Firm Size (Including Legal Form of Organization), Table 4, pages 117-59, NAICS code 518111 (issued Nov. 2005).</w:t>
      </w:r>
    </w:p>
  </w:footnote>
  <w:footnote w:id="535">
    <w:p w14:paraId="7169E3A2" w14:textId="77777777" w:rsidR="00434A8B" w:rsidRPr="00C2088B" w:rsidRDefault="00434A8B" w:rsidP="00C2088B">
      <w:pPr>
        <w:pStyle w:val="FootnoteText"/>
      </w:pPr>
      <w:r w:rsidRPr="00C2088B">
        <w:rPr>
          <w:rStyle w:val="FootnoteReference"/>
          <w:sz w:val="20"/>
        </w:rPr>
        <w:footnoteRef/>
      </w:r>
      <w:r w:rsidRPr="00C2088B">
        <w:t xml:space="preserve"> </w:t>
      </w:r>
      <w:r w:rsidRPr="00C2088B">
        <w:rPr>
          <w:i/>
        </w:rPr>
        <w:t xml:space="preserve">Id. </w:t>
      </w:r>
      <w:r w:rsidRPr="00C2088B">
        <w:t>An additional 45 firms had receipts of $25 million or more.</w:t>
      </w:r>
    </w:p>
  </w:footnote>
  <w:footnote w:id="536">
    <w:p w14:paraId="064EBEA8" w14:textId="77777777" w:rsidR="00434A8B" w:rsidRPr="00C2088B" w:rsidRDefault="00434A8B" w:rsidP="00C2088B">
      <w:pPr>
        <w:pStyle w:val="FootnoteText"/>
      </w:pPr>
      <w:r w:rsidRPr="00C2088B">
        <w:rPr>
          <w:rStyle w:val="FootnoteReference"/>
          <w:sz w:val="20"/>
        </w:rPr>
        <w:footnoteRef/>
      </w:r>
      <w:r w:rsidRPr="00C2088B">
        <w:t xml:space="preserve">  U.S. Department of Commerce, Census Bureau, 2002 NAICS Definitions, </w:t>
      </w:r>
      <w:r w:rsidRPr="00C2088B">
        <w:rPr>
          <w:bCs/>
        </w:rPr>
        <w:t xml:space="preserve">334210 Telephone Apparatus Manufacturing, </w:t>
      </w:r>
      <w:r w:rsidRPr="00C2088B">
        <w:rPr>
          <w:bCs/>
          <w:i/>
        </w:rPr>
        <w:t>available at</w:t>
      </w:r>
      <w:r w:rsidRPr="00C2088B">
        <w:rPr>
          <w:i/>
        </w:rPr>
        <w:t xml:space="preserve"> </w:t>
      </w:r>
      <w:r w:rsidRPr="00C2088B">
        <w:rPr>
          <w:bCs/>
        </w:rPr>
        <w:t xml:space="preserve">http://www.census.gov/cgi-bin/sssd/naics/naicsrch?code=334210&amp;search=2002 </w:t>
      </w:r>
      <w:r w:rsidRPr="00C2088B">
        <w:t>(last visited July 15, 2013)</w:t>
      </w:r>
      <w:r w:rsidRPr="00C2088B">
        <w:rPr>
          <w:bCs/>
        </w:rPr>
        <w:t>.</w:t>
      </w:r>
    </w:p>
  </w:footnote>
  <w:footnote w:id="537">
    <w:p w14:paraId="15F4EFCD" w14:textId="77777777" w:rsidR="00434A8B" w:rsidRPr="00C2088B" w:rsidRDefault="00434A8B" w:rsidP="00C2088B">
      <w:pPr>
        <w:pStyle w:val="FootnoteText"/>
      </w:pPr>
      <w:r w:rsidRPr="00C2088B">
        <w:rPr>
          <w:rStyle w:val="FootnoteReference"/>
          <w:sz w:val="20"/>
        </w:rPr>
        <w:footnoteRef/>
      </w:r>
      <w:r w:rsidRPr="00C2088B">
        <w:t xml:space="preserve"> </w:t>
      </w:r>
      <w:r w:rsidRPr="00C2088B">
        <w:rPr>
          <w:lang w:val="fr-FR"/>
        </w:rPr>
        <w:t>13 C.F.R. § 121.201, NAICS code 334210.</w:t>
      </w:r>
    </w:p>
  </w:footnote>
  <w:footnote w:id="538">
    <w:p w14:paraId="70A04ADC" w14:textId="640533EA" w:rsidR="00434A8B" w:rsidRPr="00C2088B" w:rsidRDefault="00434A8B" w:rsidP="00C2088B">
      <w:pPr>
        <w:pStyle w:val="FootnoteText"/>
      </w:pPr>
      <w:r w:rsidRPr="00C2088B">
        <w:rPr>
          <w:rStyle w:val="FootnoteReference"/>
          <w:sz w:val="20"/>
        </w:rPr>
        <w:footnoteRef/>
      </w:r>
      <w:r w:rsidRPr="00C2088B">
        <w:t xml:space="preserve"> U.S. Census Bureau, American FactFinder, 2002 Economic Census, Industry Series, Industry Statistics by Employment Size, NAICS code 334210 (rel. May 26, 2005); </w:t>
      </w:r>
      <w:r w:rsidRPr="00C2088B">
        <w:rPr>
          <w:i/>
        </w:rPr>
        <w:t xml:space="preserve">available at </w:t>
      </w:r>
      <w:hyperlink r:id="rId116" w:history="1">
        <w:r w:rsidRPr="00C2088B">
          <w:rPr>
            <w:rStyle w:val="Hyperlink"/>
          </w:rPr>
          <w:t>http://factfinder2.census.gov</w:t>
        </w:r>
      </w:hyperlink>
      <w:r w:rsidRPr="00C2088B">
        <w:t xml:space="preserve"> (2002 Economic Census).  The number of </w:t>
      </w:r>
      <w:r>
        <w:t>“</w:t>
      </w:r>
      <w:r w:rsidRPr="00C2088B">
        <w:t>establishments</w:t>
      </w:r>
      <w:r>
        <w:t>”</w:t>
      </w:r>
      <w:r w:rsidRPr="00C2088B">
        <w:t xml:space="preserve"> is a less helpful indicator of small business prevalence in this context than would be the number of </w:t>
      </w:r>
      <w:r>
        <w:t>“</w:t>
      </w:r>
      <w:r w:rsidRPr="00C2088B">
        <w:t>firms</w:t>
      </w:r>
      <w:r>
        <w:t>”</w:t>
      </w:r>
      <w:r w:rsidRPr="00C2088B">
        <w:t xml:space="preserve"> or </w:t>
      </w:r>
      <w:r>
        <w:t>“</w:t>
      </w:r>
      <w:r w:rsidRPr="00C2088B">
        <w:t>companies,</w:t>
      </w:r>
      <w:r>
        <w:t>”</w:t>
      </w:r>
      <w:r w:rsidRPr="00C2088B">
        <w:t xml:space="preserve"> because the latter take into account the concept of common ownership or control.  Any single physical location for an entity is an establishment, even though that location may be owned by a different establishment.  Thus, the numbers given may reflect inflated numbers of businesses in this category, including the numbers of small businesses.  In this category, the Census breaks-out data for firms or companies only to give the total number of such entities for 2002, which was 450.</w:t>
      </w:r>
    </w:p>
  </w:footnote>
  <w:footnote w:id="539">
    <w:p w14:paraId="5064CD63" w14:textId="77777777" w:rsidR="00434A8B" w:rsidRPr="00C2088B" w:rsidRDefault="00434A8B" w:rsidP="00C2088B">
      <w:pPr>
        <w:pStyle w:val="FootnoteText"/>
      </w:pPr>
      <w:r w:rsidRPr="00C2088B">
        <w:rPr>
          <w:rStyle w:val="FootnoteReference"/>
          <w:sz w:val="20"/>
        </w:rPr>
        <w:footnoteRef/>
      </w:r>
      <w:r w:rsidRPr="00C2088B">
        <w:t xml:space="preserve"> </w:t>
      </w:r>
      <w:r w:rsidRPr="00C2088B">
        <w:rPr>
          <w:i/>
        </w:rPr>
        <w:t>Id</w:t>
      </w:r>
      <w:r w:rsidRPr="00C2088B">
        <w:t>.  An additional four establishments had employment of 2,500 or more.</w:t>
      </w:r>
    </w:p>
  </w:footnote>
  <w:footnote w:id="540">
    <w:p w14:paraId="4628255B" w14:textId="14EE13B1" w:rsidR="00434A8B" w:rsidRPr="00C2088B" w:rsidRDefault="00434A8B" w:rsidP="00C2088B">
      <w:pPr>
        <w:pStyle w:val="FootnoteText"/>
      </w:pPr>
      <w:r w:rsidRPr="00C2088B">
        <w:rPr>
          <w:rStyle w:val="FootnoteReference"/>
          <w:sz w:val="20"/>
        </w:rPr>
        <w:footnoteRef/>
      </w:r>
      <w:r w:rsidRPr="00C2088B">
        <w:t xml:space="preserve">  U.S. Census Bureau, 2007 NAICS Definitions, </w:t>
      </w:r>
      <w:r>
        <w:t>“</w:t>
      </w:r>
      <w:r w:rsidRPr="00C2088B">
        <w:rPr>
          <w:bCs/>
        </w:rPr>
        <w:t>334220 Radio and Television Broadcasting and Wireless Communications Equipment Manufacturing,</w:t>
      </w:r>
      <w:r>
        <w:rPr>
          <w:bCs/>
        </w:rPr>
        <w:t>”</w:t>
      </w:r>
      <w:r w:rsidRPr="00C2088B">
        <w:rPr>
          <w:bCs/>
        </w:rPr>
        <w:t xml:space="preserve"> http://www.census.gov/cgi-bin/sssd/naics/naicsrch?code=334220&amp;search=2007 </w:t>
      </w:r>
      <w:r w:rsidRPr="00C2088B">
        <w:t>(last visited July 15, 2013)</w:t>
      </w:r>
      <w:r w:rsidRPr="00C2088B">
        <w:rPr>
          <w:bCs/>
        </w:rPr>
        <w:t>.</w:t>
      </w:r>
    </w:p>
  </w:footnote>
  <w:footnote w:id="541">
    <w:p w14:paraId="0D2DFE76" w14:textId="77777777" w:rsidR="00434A8B" w:rsidRPr="00C2088B" w:rsidRDefault="00434A8B" w:rsidP="00C2088B">
      <w:pPr>
        <w:pStyle w:val="FootnoteText"/>
      </w:pPr>
      <w:r w:rsidRPr="00C2088B">
        <w:rPr>
          <w:rStyle w:val="FootnoteReference"/>
          <w:sz w:val="20"/>
        </w:rPr>
        <w:footnoteRef/>
      </w:r>
      <w:r w:rsidRPr="00C2088B">
        <w:t xml:space="preserve"> </w:t>
      </w:r>
      <w:r w:rsidRPr="00C2088B">
        <w:rPr>
          <w:lang w:val="fr-FR"/>
        </w:rPr>
        <w:t>13 C.F.R. § 121.201, NAICS code 334220.</w:t>
      </w:r>
    </w:p>
  </w:footnote>
  <w:footnote w:id="542">
    <w:p w14:paraId="3887A5A5" w14:textId="77777777" w:rsidR="00434A8B" w:rsidRPr="00C2088B" w:rsidRDefault="00434A8B" w:rsidP="00C2088B">
      <w:pPr>
        <w:pStyle w:val="FootnoteText"/>
      </w:pPr>
      <w:r w:rsidRPr="00C2088B">
        <w:rPr>
          <w:rStyle w:val="FootnoteReference"/>
          <w:sz w:val="20"/>
        </w:rPr>
        <w:footnoteRef/>
      </w:r>
      <w:r w:rsidRPr="00C2088B">
        <w:t xml:space="preserve"> 2002 Economic Census, NAICS code 334220.  In this category, the Census breaks-out data for firms or companies only to give the total number of such entities for 2002, which was 929.</w:t>
      </w:r>
    </w:p>
  </w:footnote>
  <w:footnote w:id="543">
    <w:p w14:paraId="46EA8E4C" w14:textId="77777777" w:rsidR="00434A8B" w:rsidRPr="00C2088B" w:rsidRDefault="00434A8B" w:rsidP="00C2088B">
      <w:pPr>
        <w:pStyle w:val="FootnoteText"/>
      </w:pPr>
      <w:r w:rsidRPr="00C2088B">
        <w:rPr>
          <w:rStyle w:val="FootnoteReference"/>
          <w:sz w:val="20"/>
        </w:rPr>
        <w:footnoteRef/>
      </w:r>
      <w:r w:rsidRPr="00C2088B">
        <w:t xml:space="preserve"> </w:t>
      </w:r>
      <w:r w:rsidRPr="00C2088B">
        <w:rPr>
          <w:i/>
        </w:rPr>
        <w:t>Id</w:t>
      </w:r>
      <w:r w:rsidRPr="00C2088B">
        <w:t>.  An additional 18 establishments had employment of 1,000 or more.</w:t>
      </w:r>
    </w:p>
  </w:footnote>
  <w:footnote w:id="544">
    <w:p w14:paraId="2F61CDE8" w14:textId="77777777" w:rsidR="00434A8B" w:rsidRPr="00C2088B" w:rsidRDefault="00434A8B" w:rsidP="00C2088B">
      <w:pPr>
        <w:pStyle w:val="FootnoteText"/>
      </w:pPr>
      <w:r w:rsidRPr="00C2088B">
        <w:rPr>
          <w:rStyle w:val="FootnoteReference"/>
          <w:sz w:val="20"/>
        </w:rPr>
        <w:footnoteRef/>
      </w:r>
      <w:r w:rsidRPr="00C2088B">
        <w:t xml:space="preserve">  U.S. Census Bureau, 2007 NAICS Definitions, </w:t>
      </w:r>
      <w:r w:rsidRPr="00C2088B">
        <w:rPr>
          <w:bCs/>
        </w:rPr>
        <w:t xml:space="preserve">334290 Other Communications Equipment Manufacturing, </w:t>
      </w:r>
      <w:r w:rsidRPr="00C2088B">
        <w:rPr>
          <w:bCs/>
          <w:i/>
        </w:rPr>
        <w:t xml:space="preserve">available at </w:t>
      </w:r>
      <w:r w:rsidRPr="00C2088B">
        <w:rPr>
          <w:bCs/>
        </w:rPr>
        <w:t>http://www.census.gov/cgi-bin/sssd/naics/naicsrch?code=334290&amp;search=2007.</w:t>
      </w:r>
    </w:p>
  </w:footnote>
  <w:footnote w:id="545">
    <w:p w14:paraId="5624FE05" w14:textId="77777777" w:rsidR="00434A8B" w:rsidRPr="00C2088B" w:rsidRDefault="00434A8B" w:rsidP="00C2088B">
      <w:pPr>
        <w:pStyle w:val="FootnoteText"/>
      </w:pPr>
      <w:r w:rsidRPr="00C2088B">
        <w:rPr>
          <w:rStyle w:val="FootnoteReference"/>
          <w:sz w:val="20"/>
        </w:rPr>
        <w:footnoteRef/>
      </w:r>
      <w:r w:rsidRPr="00C2088B">
        <w:t xml:space="preserve"> </w:t>
      </w:r>
      <w:r w:rsidRPr="00C2088B">
        <w:rPr>
          <w:lang w:val="fr-FR"/>
        </w:rPr>
        <w:t>13 C.F.R. § 121.201, NAICS code 334290.</w:t>
      </w:r>
    </w:p>
  </w:footnote>
  <w:footnote w:id="546">
    <w:p w14:paraId="6431DD41" w14:textId="77777777" w:rsidR="00434A8B" w:rsidRPr="00C2088B" w:rsidRDefault="00434A8B" w:rsidP="00C2088B">
      <w:pPr>
        <w:pStyle w:val="FootnoteText"/>
      </w:pPr>
      <w:r w:rsidRPr="00C2088B">
        <w:rPr>
          <w:rStyle w:val="FootnoteReference"/>
          <w:sz w:val="20"/>
        </w:rPr>
        <w:footnoteRef/>
      </w:r>
      <w:r w:rsidRPr="00C2088B">
        <w:t xml:space="preserve"> 2002 Economic Census, NAICS code 334290.  In this category, the Census breaks-out data for firms or companies only to give the total number of such entities for 2002, which was 471.</w:t>
      </w:r>
    </w:p>
  </w:footnote>
  <w:footnote w:id="547">
    <w:p w14:paraId="680205D7" w14:textId="77777777" w:rsidR="00434A8B" w:rsidRPr="00C2088B" w:rsidRDefault="00434A8B" w:rsidP="00C2088B">
      <w:pPr>
        <w:pStyle w:val="FootnoteText"/>
      </w:pPr>
      <w:r w:rsidRPr="00C2088B">
        <w:rPr>
          <w:rStyle w:val="FootnoteReference"/>
          <w:sz w:val="20"/>
        </w:rPr>
        <w:footnoteRef/>
      </w:r>
      <w:r w:rsidRPr="00C2088B">
        <w:t xml:space="preserve"> </w:t>
      </w:r>
      <w:r w:rsidRPr="00C2088B">
        <w:rPr>
          <w:i/>
        </w:rPr>
        <w:t>Id</w:t>
      </w:r>
      <w:r w:rsidRPr="00C2088B">
        <w:t>.  An additional 3 establishments had employment of 1,000 or more.</w:t>
      </w:r>
    </w:p>
  </w:footnote>
  <w:footnote w:id="548">
    <w:p w14:paraId="30A6F348" w14:textId="77777777" w:rsidR="00434A8B" w:rsidRPr="00C2088B" w:rsidRDefault="00434A8B" w:rsidP="00C2088B">
      <w:pPr>
        <w:pStyle w:val="FootnoteText"/>
      </w:pPr>
      <w:r w:rsidRPr="00C2088B">
        <w:rPr>
          <w:rStyle w:val="FootnoteReference"/>
          <w:sz w:val="20"/>
        </w:rPr>
        <w:footnoteRef/>
      </w:r>
      <w:r w:rsidRPr="00C2088B">
        <w:t xml:space="preserve"> 5 U.S.C. § 603(c)(1) – (c)(4).</w:t>
      </w:r>
    </w:p>
  </w:footnote>
  <w:footnote w:id="549">
    <w:p w14:paraId="76A23479" w14:textId="77777777" w:rsidR="00434A8B" w:rsidRPr="00C2088B" w:rsidRDefault="00434A8B" w:rsidP="00C2088B">
      <w:pPr>
        <w:pStyle w:val="FootnoteText"/>
      </w:pPr>
      <w:r w:rsidRPr="00C2088B">
        <w:rPr>
          <w:rStyle w:val="FootnoteReference"/>
          <w:sz w:val="20"/>
        </w:rPr>
        <w:footnoteRef/>
      </w:r>
      <w:r w:rsidRPr="00C2088B">
        <w:t xml:space="preserve"> </w:t>
      </w:r>
      <w:r w:rsidRPr="00C2088B">
        <w:rPr>
          <w:i/>
        </w:rPr>
        <w:t>Federal-State Joint Board on Universal Service</w:t>
      </w:r>
      <w:r w:rsidRPr="00C2088B">
        <w:t>, CC Docket No. 96-45, Report and Order, 12 FCC Rcd 8776 (1997).</w:t>
      </w:r>
    </w:p>
  </w:footnote>
  <w:footnote w:id="550">
    <w:p w14:paraId="47C3F108" w14:textId="77777777" w:rsidR="00434A8B" w:rsidRPr="00C2088B" w:rsidRDefault="00434A8B" w:rsidP="00C2088B">
      <w:pPr>
        <w:pStyle w:val="FootnoteText"/>
      </w:pPr>
      <w:r w:rsidRPr="00C2088B">
        <w:rPr>
          <w:rStyle w:val="FootnoteReference"/>
          <w:sz w:val="20"/>
        </w:rPr>
        <w:footnoteRef/>
      </w:r>
      <w:r w:rsidRPr="00C2088B">
        <w:t xml:space="preserve"> </w:t>
      </w:r>
      <w:r w:rsidRPr="00C2088B">
        <w:rPr>
          <w:i/>
        </w:rPr>
        <w:t>See</w:t>
      </w:r>
      <w:r w:rsidRPr="00C2088B">
        <w:t xml:space="preserve"> U.S. Department of Education, Institute of Education Sciences, Internet Access in U.S. Public Schools and Classrooms: 1994–2005, at 4–5 (2006), </w:t>
      </w:r>
      <w:r w:rsidRPr="00C2088B">
        <w:rPr>
          <w:i/>
        </w:rPr>
        <w:t>available at</w:t>
      </w:r>
      <w:r w:rsidRPr="00C2088B">
        <w:t xml:space="preserve"> http://go.usa.gov/jWpH.</w:t>
      </w:r>
    </w:p>
  </w:footnote>
  <w:footnote w:id="551">
    <w:p w14:paraId="4302891D" w14:textId="77777777" w:rsidR="00434A8B" w:rsidRPr="00C2088B" w:rsidRDefault="00434A8B" w:rsidP="00C2088B">
      <w:pPr>
        <w:pStyle w:val="FootnoteText"/>
      </w:pPr>
      <w:r w:rsidRPr="00C2088B">
        <w:rPr>
          <w:rStyle w:val="FootnoteReference"/>
          <w:sz w:val="20"/>
        </w:rPr>
        <w:footnoteRef/>
      </w:r>
      <w:r w:rsidRPr="00C2088B">
        <w:t xml:space="preserve"> FCC, National Broadband Plan at 256 (2010), </w:t>
      </w:r>
      <w:r w:rsidRPr="00C2088B">
        <w:rPr>
          <w:i/>
        </w:rPr>
        <w:t>available at</w:t>
      </w:r>
      <w:r w:rsidRPr="00C2088B">
        <w:t xml:space="preserve"> http://go.usa.gov/jWpV</w:t>
      </w:r>
      <w:r w:rsidRPr="00C2088B">
        <w:rPr>
          <w:rStyle w:val="Hyperlink"/>
        </w:rPr>
        <w:t>.</w:t>
      </w:r>
    </w:p>
  </w:footnote>
  <w:footnote w:id="552">
    <w:p w14:paraId="5352E2C5" w14:textId="2B7DDC56" w:rsidR="00434A8B" w:rsidRPr="00C2088B" w:rsidRDefault="00434A8B" w:rsidP="00C2088B">
      <w:pPr>
        <w:spacing w:after="120"/>
        <w:rPr>
          <w:sz w:val="20"/>
        </w:rPr>
      </w:pPr>
      <w:r w:rsidRPr="00C2088B">
        <w:rPr>
          <w:rStyle w:val="FootnoteReference"/>
          <w:sz w:val="20"/>
        </w:rPr>
        <w:footnoteRef/>
      </w:r>
      <w:r w:rsidRPr="00C2088B">
        <w:rPr>
          <w:sz w:val="20"/>
        </w:rPr>
        <w:t xml:space="preserve"> </w:t>
      </w:r>
      <w:r w:rsidRPr="00C2088B">
        <w:rPr>
          <w:i/>
          <w:sz w:val="20"/>
        </w:rPr>
        <w:t xml:space="preserve">See </w:t>
      </w:r>
      <w:r w:rsidRPr="00C2088B">
        <w:rPr>
          <w:sz w:val="20"/>
        </w:rPr>
        <w:t xml:space="preserve">Remarks of Commissioner Ajit Pai, </w:t>
      </w:r>
      <w:r>
        <w:rPr>
          <w:sz w:val="20"/>
        </w:rPr>
        <w:t>“</w:t>
      </w:r>
      <w:r w:rsidRPr="00C2088B">
        <w:rPr>
          <w:sz w:val="20"/>
        </w:rPr>
        <w:t>Connecting the American Classroom: A Student-Centered E-Rate Program,</w:t>
      </w:r>
      <w:r>
        <w:rPr>
          <w:sz w:val="20"/>
        </w:rPr>
        <w:t>”</w:t>
      </w:r>
      <w:r w:rsidRPr="00C2088B">
        <w:rPr>
          <w:sz w:val="20"/>
        </w:rPr>
        <w:t xml:space="preserve"> American Enterprise Institute (July 16, 2013), </w:t>
      </w:r>
      <w:r w:rsidRPr="00C2088B">
        <w:rPr>
          <w:i/>
          <w:sz w:val="20"/>
        </w:rPr>
        <w:t xml:space="preserve">available at </w:t>
      </w:r>
      <w:r w:rsidRPr="00C2088B">
        <w:rPr>
          <w:sz w:val="20"/>
        </w:rPr>
        <w:t>http://go.usa.gov/jbD3.</w:t>
      </w:r>
    </w:p>
  </w:footnote>
  <w:footnote w:id="553">
    <w:p w14:paraId="2DD2731D" w14:textId="77777777" w:rsidR="00434A8B" w:rsidRPr="00C2088B" w:rsidRDefault="00434A8B" w:rsidP="00C2088B">
      <w:pPr>
        <w:pStyle w:val="FootnoteText"/>
      </w:pPr>
      <w:r w:rsidRPr="00C2088B">
        <w:rPr>
          <w:rStyle w:val="FootnoteReference"/>
          <w:sz w:val="20"/>
        </w:rPr>
        <w:footnoteRef/>
      </w:r>
      <w:r w:rsidRPr="00C2088B">
        <w:t xml:space="preserve"> 47 U.S.C. § 254(b)(6).</w:t>
      </w:r>
    </w:p>
  </w:footnote>
  <w:footnote w:id="554">
    <w:p w14:paraId="7D96E750" w14:textId="77777777" w:rsidR="00434A8B" w:rsidRPr="00561C65" w:rsidRDefault="00434A8B" w:rsidP="00354B60">
      <w:pPr>
        <w:pStyle w:val="FootnoteText"/>
      </w:pPr>
      <w:r w:rsidRPr="001C0762">
        <w:rPr>
          <w:rStyle w:val="FootnoteReference"/>
        </w:rPr>
        <w:footnoteRef/>
      </w:r>
      <w:r w:rsidRPr="001C0762">
        <w:t xml:space="preserve"> </w:t>
      </w:r>
      <w:r w:rsidRPr="001C0762">
        <w:rPr>
          <w:i/>
        </w:rPr>
        <w:t>Compare</w:t>
      </w:r>
      <w:r w:rsidRPr="001C0762">
        <w:t xml:space="preserve"> </w:t>
      </w:r>
      <w:r w:rsidRPr="001C0762">
        <w:rPr>
          <w:i/>
        </w:rPr>
        <w:t>Proposed First Quarter 2009 Universal Service Contribution Factor</w:t>
      </w:r>
      <w:r w:rsidRPr="001C0762">
        <w:t xml:space="preserve">, CC Docket No. 96-45, Public Notice, DA 08-2706, </w:t>
      </w:r>
      <w:r w:rsidRPr="00561C65">
        <w:rPr>
          <w:i/>
        </w:rPr>
        <w:t>with</w:t>
      </w:r>
      <w:r w:rsidRPr="00561C65">
        <w:t xml:space="preserve"> </w:t>
      </w:r>
      <w:r w:rsidRPr="00561C65">
        <w:rPr>
          <w:i/>
        </w:rPr>
        <w:t>Proposed Third Quarter 2013 Universal Service Contribution Factor</w:t>
      </w:r>
      <w:r w:rsidRPr="00561C65">
        <w:t>, CC Docket No. 96-45, Public Notice, DA 13-1361 (OMD 2013).</w:t>
      </w:r>
    </w:p>
  </w:footnote>
  <w:footnote w:id="555">
    <w:p w14:paraId="2134E8B7" w14:textId="78B2D372" w:rsidR="00434A8B" w:rsidRDefault="00434A8B" w:rsidP="00354B60">
      <w:pPr>
        <w:pStyle w:val="FootnoteText"/>
      </w:pPr>
      <w:r>
        <w:rPr>
          <w:rStyle w:val="FootnoteReference"/>
        </w:rPr>
        <w:footnoteRef/>
      </w:r>
      <w:r>
        <w:t xml:space="preserve"> Remarks of President John F. Kennedy, “Moon Speech,” Rice University (Sept. 12, 1962), </w:t>
      </w:r>
      <w:r>
        <w:rPr>
          <w:i/>
        </w:rPr>
        <w:t>available at</w:t>
      </w:r>
      <w:r>
        <w:t xml:space="preserve"> </w:t>
      </w:r>
      <w:r w:rsidRPr="0099483B">
        <w:t>http://go.usa.gov/jWpj</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A0434A" w14:textId="77777777" w:rsidR="009A79DA" w:rsidRDefault="009A79D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CD585A" w14:textId="02049EB2" w:rsidR="00434A8B" w:rsidRDefault="00434A8B">
    <w:pPr>
      <w:pStyle w:val="Header"/>
      <w:pBdr>
        <w:bottom w:val="single" w:sz="12" w:space="1" w:color="auto"/>
      </w:pBdr>
      <w:rPr>
        <w:b w:val="0"/>
      </w:rPr>
    </w:pPr>
    <w:r>
      <w:rPr>
        <w:noProof/>
      </w:rPr>
      <mc:AlternateContent>
        <mc:Choice Requires="wps">
          <w:drawing>
            <wp:anchor distT="0" distB="0" distL="114300" distR="114300" simplePos="0" relativeHeight="251661824" behindDoc="1" locked="0" layoutInCell="0" allowOverlap="1" wp14:anchorId="33463CF6" wp14:editId="289D74BF">
              <wp:simplePos x="0" y="0"/>
              <wp:positionH relativeFrom="margin">
                <wp:posOffset>28575</wp:posOffset>
              </wp:positionH>
              <wp:positionV relativeFrom="paragraph">
                <wp:posOffset>176530</wp:posOffset>
              </wp:positionV>
              <wp:extent cx="5943600" cy="12065"/>
              <wp:effectExtent l="0" t="0" r="0" b="698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ffectLst/>
                      <a:extLst>
                        <a:ext uri="{91240B29-F687-4F45-9708-019B960494DF}">
                          <a14:hiddenLine xmlns:a14="http://schemas.microsoft.com/office/drawing/2010/main" w="635">
                            <a:solidFill>
                              <a:srgbClr val="000000"/>
                            </a:solidFill>
                            <a:miter lim="800000"/>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2.25pt;margin-top:13.9pt;width:468pt;height:.95pt;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" o:allowincell="f" fillcolor="black" stroked="f" strokeweight=".05pt">
              <v:shadow color="black" opacity="49150f" offset=".74833mm,.74833mm"/>
              <w10:wrap anchorx="margin"/>
            </v:rect>
          </w:pict>
        </mc:Fallback>
      </mc:AlternateContent>
    </w:r>
    <w:r>
      <w:tab/>
      <w:t>Federal Communications Commission</w:t>
    </w:r>
    <w:r>
      <w:tab/>
      <w:t>FCC 13-</w:t>
    </w:r>
    <w:r w:rsidR="00F20B24">
      <w:t>100</w:t>
    </w:r>
  </w:p>
  <w:p w14:paraId="39C351FB" w14:textId="77777777" w:rsidR="00434A8B" w:rsidRPr="00CA1368" w:rsidRDefault="00434A8B" w:rsidP="00CA1368">
    <w:pPr>
      <w:tabs>
        <w:tab w:val="left" w:pos="-720"/>
      </w:tabs>
      <w:suppressAutoHyphens/>
      <w:spacing w:line="19" w:lineRule="exact"/>
      <w:rPr>
        <w:spacing w:val="-2"/>
      </w:rPr>
    </w:pPr>
  </w:p>
  <w:p w14:paraId="152CE97F" w14:textId="77777777" w:rsidR="00434A8B" w:rsidRDefault="00434A8B"/>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53BC1F" w14:textId="211A25C1" w:rsidR="00434A8B" w:rsidRDefault="00434A8B">
    <w:pPr>
      <w:pStyle w:val="Header"/>
      <w:pBdr>
        <w:bottom w:val="single" w:sz="12" w:space="1" w:color="auto"/>
      </w:pBdr>
      <w:rPr>
        <w:b w:val="0"/>
      </w:rPr>
    </w:pPr>
    <w:r>
      <w:tab/>
      <w:t>Federal Communications Commission</w:t>
    </w:r>
    <w:r>
      <w:tab/>
    </w:r>
    <w:r>
      <w:rPr>
        <w:spacing w:val="-2"/>
      </w:rPr>
      <w:t>FCC 13-</w:t>
    </w:r>
    <w:r w:rsidR="00F20B24">
      <w:rPr>
        <w:spacing w:val="-2"/>
      </w:rPr>
      <w:t>100</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8CC6EC" w14:textId="77777777" w:rsidR="00434A8B" w:rsidRDefault="00434A8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FEA633F"/>
    <w:multiLevelType w:val="hybridMultilevel"/>
    <w:tmpl w:val="F4F781DC"/>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FFFFFF1D"/>
    <w:multiLevelType w:val="multilevel"/>
    <w:tmpl w:val="14B83B0E"/>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
    <w:nsid w:val="00557339"/>
    <w:multiLevelType w:val="hybridMultilevel"/>
    <w:tmpl w:val="4BCC24F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15545F4"/>
    <w:multiLevelType w:val="hybridMultilevel"/>
    <w:tmpl w:val="E8CA2A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2052DD4"/>
    <w:multiLevelType w:val="hybridMultilevel"/>
    <w:tmpl w:val="C944C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31E35A6"/>
    <w:multiLevelType w:val="hybridMultilevel"/>
    <w:tmpl w:val="F32A5338"/>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04D76407"/>
    <w:multiLevelType w:val="hybridMultilevel"/>
    <w:tmpl w:val="C47C6B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060D5BA8"/>
    <w:multiLevelType w:val="hybridMultilevel"/>
    <w:tmpl w:val="2848C9CE"/>
    <w:lvl w:ilvl="0" w:tplc="04090015">
      <w:start w:val="1"/>
      <w:numFmt w:val="upp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8">
    <w:nsid w:val="068C68FF"/>
    <w:multiLevelType w:val="hybridMultilevel"/>
    <w:tmpl w:val="9628EF5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9">
    <w:nsid w:val="06D0177D"/>
    <w:multiLevelType w:val="hybridMultilevel"/>
    <w:tmpl w:val="A7502BE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07160CFB"/>
    <w:multiLevelType w:val="hybridMultilevel"/>
    <w:tmpl w:val="47CE1E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84B453C"/>
    <w:multiLevelType w:val="singleLevel"/>
    <w:tmpl w:val="40A8E97A"/>
    <w:lvl w:ilvl="0">
      <w:start w:val="1"/>
      <w:numFmt w:val="decimal"/>
      <w:lvlText w:val="%1."/>
      <w:lvlJc w:val="left"/>
      <w:pPr>
        <w:tabs>
          <w:tab w:val="num" w:pos="1080"/>
        </w:tabs>
        <w:ind w:left="0" w:firstLine="720"/>
      </w:pPr>
    </w:lvl>
  </w:abstractNum>
  <w:abstractNum w:abstractNumId="12">
    <w:nsid w:val="0A0D35A1"/>
    <w:multiLevelType w:val="hybridMultilevel"/>
    <w:tmpl w:val="2DBAB4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B41639E"/>
    <w:multiLevelType w:val="hybridMultilevel"/>
    <w:tmpl w:val="BD7E069E"/>
    <w:lvl w:ilvl="0" w:tplc="04090001">
      <w:start w:val="1"/>
      <w:numFmt w:val="bullet"/>
      <w:lvlText w:val=""/>
      <w:lvlJc w:val="left"/>
      <w:pPr>
        <w:tabs>
          <w:tab w:val="num" w:pos="5400"/>
        </w:tabs>
        <w:ind w:left="5400" w:hanging="360"/>
      </w:pPr>
      <w:rPr>
        <w:rFonts w:ascii="Symbol" w:hAnsi="Symbol" w:hint="default"/>
      </w:rPr>
    </w:lvl>
    <w:lvl w:ilvl="1" w:tplc="04090003">
      <w:start w:val="1"/>
      <w:numFmt w:val="bullet"/>
      <w:lvlText w:val="o"/>
      <w:lvlJc w:val="left"/>
      <w:pPr>
        <w:tabs>
          <w:tab w:val="num" w:pos="6120"/>
        </w:tabs>
        <w:ind w:left="6120" w:hanging="360"/>
      </w:pPr>
      <w:rPr>
        <w:rFonts w:ascii="Courier New" w:hAnsi="Courier New" w:hint="default"/>
      </w:rPr>
    </w:lvl>
    <w:lvl w:ilvl="2" w:tplc="04090005">
      <w:start w:val="1"/>
      <w:numFmt w:val="bullet"/>
      <w:lvlText w:val=""/>
      <w:lvlJc w:val="left"/>
      <w:pPr>
        <w:tabs>
          <w:tab w:val="num" w:pos="6840"/>
        </w:tabs>
        <w:ind w:left="6840" w:hanging="360"/>
      </w:pPr>
      <w:rPr>
        <w:rFonts w:ascii="Wingdings" w:hAnsi="Wingdings" w:hint="default"/>
      </w:rPr>
    </w:lvl>
    <w:lvl w:ilvl="3" w:tplc="04090001" w:tentative="1">
      <w:start w:val="1"/>
      <w:numFmt w:val="bullet"/>
      <w:lvlText w:val=""/>
      <w:lvlJc w:val="left"/>
      <w:pPr>
        <w:tabs>
          <w:tab w:val="num" w:pos="7560"/>
        </w:tabs>
        <w:ind w:left="7560" w:hanging="360"/>
      </w:pPr>
      <w:rPr>
        <w:rFonts w:ascii="Symbol" w:hAnsi="Symbol" w:hint="default"/>
      </w:rPr>
    </w:lvl>
    <w:lvl w:ilvl="4" w:tplc="04090003" w:tentative="1">
      <w:start w:val="1"/>
      <w:numFmt w:val="bullet"/>
      <w:lvlText w:val="o"/>
      <w:lvlJc w:val="left"/>
      <w:pPr>
        <w:tabs>
          <w:tab w:val="num" w:pos="8280"/>
        </w:tabs>
        <w:ind w:left="8280" w:hanging="360"/>
      </w:pPr>
      <w:rPr>
        <w:rFonts w:ascii="Courier New" w:hAnsi="Courier New" w:hint="default"/>
      </w:rPr>
    </w:lvl>
    <w:lvl w:ilvl="5" w:tplc="04090005" w:tentative="1">
      <w:start w:val="1"/>
      <w:numFmt w:val="bullet"/>
      <w:lvlText w:val=""/>
      <w:lvlJc w:val="left"/>
      <w:pPr>
        <w:tabs>
          <w:tab w:val="num" w:pos="9000"/>
        </w:tabs>
        <w:ind w:left="9000" w:hanging="360"/>
      </w:pPr>
      <w:rPr>
        <w:rFonts w:ascii="Wingdings" w:hAnsi="Wingdings" w:hint="default"/>
      </w:rPr>
    </w:lvl>
    <w:lvl w:ilvl="6" w:tplc="04090001" w:tentative="1">
      <w:start w:val="1"/>
      <w:numFmt w:val="bullet"/>
      <w:lvlText w:val=""/>
      <w:lvlJc w:val="left"/>
      <w:pPr>
        <w:tabs>
          <w:tab w:val="num" w:pos="9720"/>
        </w:tabs>
        <w:ind w:left="9720" w:hanging="360"/>
      </w:pPr>
      <w:rPr>
        <w:rFonts w:ascii="Symbol" w:hAnsi="Symbol" w:hint="default"/>
      </w:rPr>
    </w:lvl>
    <w:lvl w:ilvl="7" w:tplc="04090003" w:tentative="1">
      <w:start w:val="1"/>
      <w:numFmt w:val="bullet"/>
      <w:lvlText w:val="o"/>
      <w:lvlJc w:val="left"/>
      <w:pPr>
        <w:tabs>
          <w:tab w:val="num" w:pos="10440"/>
        </w:tabs>
        <w:ind w:left="10440" w:hanging="360"/>
      </w:pPr>
      <w:rPr>
        <w:rFonts w:ascii="Courier New" w:hAnsi="Courier New" w:hint="default"/>
      </w:rPr>
    </w:lvl>
    <w:lvl w:ilvl="8" w:tplc="04090005" w:tentative="1">
      <w:start w:val="1"/>
      <w:numFmt w:val="bullet"/>
      <w:lvlText w:val=""/>
      <w:lvlJc w:val="left"/>
      <w:pPr>
        <w:tabs>
          <w:tab w:val="num" w:pos="11160"/>
        </w:tabs>
        <w:ind w:left="11160" w:hanging="360"/>
      </w:pPr>
      <w:rPr>
        <w:rFonts w:ascii="Wingdings" w:hAnsi="Wingdings" w:hint="default"/>
      </w:rPr>
    </w:lvl>
  </w:abstractNum>
  <w:abstractNum w:abstractNumId="14">
    <w:nsid w:val="0F671235"/>
    <w:multiLevelType w:val="hybridMultilevel"/>
    <w:tmpl w:val="6BFC259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10C45DC2"/>
    <w:multiLevelType w:val="hybridMultilevel"/>
    <w:tmpl w:val="3F0612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129801F2"/>
    <w:multiLevelType w:val="hybridMultilevel"/>
    <w:tmpl w:val="8AA8E672"/>
    <w:lvl w:ilvl="0" w:tplc="E420260A">
      <w:start w:val="1"/>
      <w:numFmt w:val="decimal"/>
      <w:lvlText w:val="%1."/>
      <w:lvlJc w:val="left"/>
      <w:pPr>
        <w:tabs>
          <w:tab w:val="num" w:pos="720"/>
        </w:tabs>
        <w:ind w:left="720" w:hanging="360"/>
      </w:pPr>
      <w:rPr>
        <w:rFonts w:cs="Times New Roman"/>
      </w:rPr>
    </w:lvl>
    <w:lvl w:ilvl="1" w:tplc="35904AA4" w:tentative="1">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17">
    <w:nsid w:val="1441408A"/>
    <w:multiLevelType w:val="hybridMultilevel"/>
    <w:tmpl w:val="5B3218F6"/>
    <w:lvl w:ilvl="0" w:tplc="04090001">
      <w:start w:val="1"/>
      <w:numFmt w:val="bullet"/>
      <w:lvlText w:val=""/>
      <w:lvlJc w:val="left"/>
      <w:pPr>
        <w:tabs>
          <w:tab w:val="num" w:pos="720"/>
        </w:tabs>
        <w:ind w:left="720" w:hanging="360"/>
      </w:pPr>
      <w:rPr>
        <w:rFonts w:ascii="Symbol" w:hAnsi="Symbol" w:hint="default"/>
      </w:rPr>
    </w:lvl>
    <w:lvl w:ilvl="1" w:tplc="F4CE0268">
      <w:start w:val="1"/>
      <w:numFmt w:val="bullet"/>
      <w:lvlText w:val=""/>
      <w:lvlJc w:val="left"/>
      <w:pPr>
        <w:tabs>
          <w:tab w:val="num" w:pos="1152"/>
        </w:tabs>
        <w:ind w:left="108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19B73E82"/>
    <w:multiLevelType w:val="hybridMultilevel"/>
    <w:tmpl w:val="977E37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1A113300"/>
    <w:multiLevelType w:val="hybridMultilevel"/>
    <w:tmpl w:val="73503834"/>
    <w:lvl w:ilvl="0" w:tplc="F4CE0268">
      <w:start w:val="1"/>
      <w:numFmt w:val="bullet"/>
      <w:lvlText w:val=""/>
      <w:lvlJc w:val="left"/>
      <w:pPr>
        <w:tabs>
          <w:tab w:val="num" w:pos="72"/>
        </w:tabs>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1AD80B09"/>
    <w:multiLevelType w:val="hybridMultilevel"/>
    <w:tmpl w:val="9F446A32"/>
    <w:lvl w:ilvl="0" w:tplc="2416E248">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1B874597"/>
    <w:multiLevelType w:val="hybridMultilevel"/>
    <w:tmpl w:val="A2AAC7C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1C69284F"/>
    <w:multiLevelType w:val="hybridMultilevel"/>
    <w:tmpl w:val="BAD62110"/>
    <w:lvl w:ilvl="0" w:tplc="04090011">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3">
    <w:nsid w:val="1D1B4B30"/>
    <w:multiLevelType w:val="multilevel"/>
    <w:tmpl w:val="04090027"/>
    <w:lvl w:ilvl="0">
      <w:start w:val="1"/>
      <w:numFmt w:val="upperRoman"/>
      <w:lvlText w:val="%1."/>
      <w:lvlJc w:val="left"/>
      <w:rPr>
        <w:rFonts w:cs="Times New Roman"/>
      </w:rPr>
    </w:lvl>
    <w:lvl w:ilvl="1">
      <w:start w:val="1"/>
      <w:numFmt w:val="upperLetter"/>
      <w:lvlText w:val="%2."/>
      <w:lvlJc w:val="left"/>
      <w:pPr>
        <w:ind w:left="720"/>
      </w:pPr>
      <w:rPr>
        <w:rFonts w:cs="Times New Roman"/>
      </w:rPr>
    </w:lvl>
    <w:lvl w:ilvl="2">
      <w:start w:val="1"/>
      <w:numFmt w:val="decimal"/>
      <w:lvlText w:val="%3."/>
      <w:lvlJc w:val="left"/>
      <w:pPr>
        <w:ind w:left="1440"/>
      </w:pPr>
      <w:rPr>
        <w:rFonts w:cs="Times New Roman"/>
      </w:rPr>
    </w:lvl>
    <w:lvl w:ilvl="3">
      <w:start w:val="1"/>
      <w:numFmt w:val="lowerLetter"/>
      <w:lvlText w:val="%4)"/>
      <w:lvlJc w:val="left"/>
      <w:pPr>
        <w:ind w:left="2160"/>
      </w:pPr>
      <w:rPr>
        <w:rFonts w:cs="Times New Roman"/>
      </w:rPr>
    </w:lvl>
    <w:lvl w:ilvl="4">
      <w:start w:val="1"/>
      <w:numFmt w:val="decimal"/>
      <w:lvlText w:val="(%5)"/>
      <w:lvlJc w:val="left"/>
      <w:pPr>
        <w:ind w:left="2880"/>
      </w:pPr>
      <w:rPr>
        <w:rFonts w:cs="Times New Roman"/>
      </w:rPr>
    </w:lvl>
    <w:lvl w:ilvl="5">
      <w:start w:val="1"/>
      <w:numFmt w:val="lowerLetter"/>
      <w:lvlText w:val="(%6)"/>
      <w:lvlJc w:val="left"/>
      <w:pPr>
        <w:ind w:left="3600"/>
      </w:pPr>
      <w:rPr>
        <w:rFonts w:cs="Times New Roman"/>
      </w:rPr>
    </w:lvl>
    <w:lvl w:ilvl="6">
      <w:start w:val="1"/>
      <w:numFmt w:val="lowerRoman"/>
      <w:lvlText w:val="(%7)"/>
      <w:lvlJc w:val="left"/>
      <w:pPr>
        <w:ind w:left="4320"/>
      </w:pPr>
      <w:rPr>
        <w:rFonts w:cs="Times New Roman"/>
      </w:rPr>
    </w:lvl>
    <w:lvl w:ilvl="7">
      <w:start w:val="1"/>
      <w:numFmt w:val="lowerLetter"/>
      <w:lvlText w:val="(%8)"/>
      <w:lvlJc w:val="left"/>
      <w:pPr>
        <w:ind w:left="5040"/>
      </w:pPr>
      <w:rPr>
        <w:rFonts w:cs="Times New Roman"/>
      </w:rPr>
    </w:lvl>
    <w:lvl w:ilvl="8">
      <w:start w:val="1"/>
      <w:numFmt w:val="lowerRoman"/>
      <w:lvlText w:val="(%9)"/>
      <w:lvlJc w:val="left"/>
      <w:pPr>
        <w:ind w:left="5760"/>
      </w:pPr>
      <w:rPr>
        <w:rFonts w:cs="Times New Roman"/>
      </w:rPr>
    </w:lvl>
  </w:abstractNum>
  <w:abstractNum w:abstractNumId="24">
    <w:nsid w:val="21D220BA"/>
    <w:multiLevelType w:val="hybridMultilevel"/>
    <w:tmpl w:val="83DC1E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221820F0"/>
    <w:multiLevelType w:val="hybridMultilevel"/>
    <w:tmpl w:val="997EF9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2381375D"/>
    <w:multiLevelType w:val="hybridMultilevel"/>
    <w:tmpl w:val="46C42910"/>
    <w:lvl w:ilvl="0" w:tplc="1E90E26A">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7">
    <w:nsid w:val="23F40A0F"/>
    <w:multiLevelType w:val="singleLevel"/>
    <w:tmpl w:val="3244DD0A"/>
    <w:lvl w:ilvl="0">
      <w:start w:val="1"/>
      <w:numFmt w:val="bullet"/>
      <w:pStyle w:val="Bullet"/>
      <w:lvlText w:val=""/>
      <w:lvlJc w:val="left"/>
      <w:pPr>
        <w:tabs>
          <w:tab w:val="num" w:pos="360"/>
        </w:tabs>
        <w:ind w:left="360" w:hanging="360"/>
      </w:pPr>
      <w:rPr>
        <w:rFonts w:ascii="Symbol" w:hAnsi="Symbol" w:hint="default"/>
      </w:rPr>
    </w:lvl>
  </w:abstractNum>
  <w:abstractNum w:abstractNumId="28">
    <w:nsid w:val="24226AF9"/>
    <w:multiLevelType w:val="hybridMultilevel"/>
    <w:tmpl w:val="C984740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248246F3"/>
    <w:multiLevelType w:val="singleLevel"/>
    <w:tmpl w:val="B1F45678"/>
    <w:lvl w:ilvl="0">
      <w:start w:val="1"/>
      <w:numFmt w:val="decimal"/>
      <w:lvlText w:val="%1."/>
      <w:lvlJc w:val="left"/>
      <w:pPr>
        <w:tabs>
          <w:tab w:val="num" w:pos="1080"/>
        </w:tabs>
        <w:ind w:left="0" w:firstLine="720"/>
      </w:pPr>
    </w:lvl>
  </w:abstractNum>
  <w:abstractNum w:abstractNumId="30">
    <w:nsid w:val="249D4249"/>
    <w:multiLevelType w:val="hybridMultilevel"/>
    <w:tmpl w:val="377CE932"/>
    <w:lvl w:ilvl="0" w:tplc="F4CE0268">
      <w:start w:val="1"/>
      <w:numFmt w:val="bullet"/>
      <w:lvlText w:val=""/>
      <w:lvlJc w:val="left"/>
      <w:pPr>
        <w:tabs>
          <w:tab w:val="num" w:pos="72"/>
        </w:tabs>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24BD2479"/>
    <w:multiLevelType w:val="hybridMultilevel"/>
    <w:tmpl w:val="5BC02C0A"/>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267460FE"/>
    <w:multiLevelType w:val="hybridMultilevel"/>
    <w:tmpl w:val="6F2671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34">
    <w:nsid w:val="294C09FE"/>
    <w:multiLevelType w:val="hybridMultilevel"/>
    <w:tmpl w:val="F02A29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29B65B9E"/>
    <w:multiLevelType w:val="hybridMultilevel"/>
    <w:tmpl w:val="1BCEFDF0"/>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36">
    <w:nsid w:val="2AB647D3"/>
    <w:multiLevelType w:val="hybridMultilevel"/>
    <w:tmpl w:val="5C7EB41A"/>
    <w:lvl w:ilvl="0" w:tplc="04090007">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2CC81F69"/>
    <w:multiLevelType w:val="hybridMultilevel"/>
    <w:tmpl w:val="520885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30696735"/>
    <w:multiLevelType w:val="hybridMultilevel"/>
    <w:tmpl w:val="6C8A5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322863CC"/>
    <w:multiLevelType w:val="hybridMultilevel"/>
    <w:tmpl w:val="C77A1D5A"/>
    <w:lvl w:ilvl="0" w:tplc="F4CE0268">
      <w:start w:val="1"/>
      <w:numFmt w:val="bullet"/>
      <w:lvlText w:val=""/>
      <w:lvlJc w:val="left"/>
      <w:pPr>
        <w:tabs>
          <w:tab w:val="num" w:pos="72"/>
        </w:tabs>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328129A6"/>
    <w:multiLevelType w:val="hybridMultilevel"/>
    <w:tmpl w:val="8880F9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33311EBC"/>
    <w:multiLevelType w:val="hybridMultilevel"/>
    <w:tmpl w:val="9BAEFC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nsid w:val="3485143B"/>
    <w:multiLevelType w:val="hybridMultilevel"/>
    <w:tmpl w:val="222C6A0C"/>
    <w:lvl w:ilvl="0" w:tplc="BDD4F9F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357D4CC1"/>
    <w:multiLevelType w:val="hybridMultilevel"/>
    <w:tmpl w:val="4E5CAB5A"/>
    <w:lvl w:ilvl="0" w:tplc="FFFFFFFF">
      <w:start w:val="1"/>
      <w:numFmt w:val="decimal"/>
      <w:lvlText w:val="%1."/>
      <w:lvlJc w:val="left"/>
      <w:pPr>
        <w:tabs>
          <w:tab w:val="num" w:pos="1170"/>
        </w:tabs>
        <w:ind w:left="117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180"/>
        </w:tabs>
        <w:ind w:left="180" w:hanging="180"/>
      </w:pPr>
      <w:rPr>
        <w:rFonts w:cs="Times New Roman"/>
      </w:rPr>
    </w:lvl>
    <w:lvl w:ilvl="3" w:tplc="FFFFFFFF">
      <w:start w:val="2"/>
      <w:numFmt w:val="lowerLetter"/>
      <w:lvlText w:val="(%4)"/>
      <w:lvlJc w:val="left"/>
      <w:pPr>
        <w:tabs>
          <w:tab w:val="num" w:pos="2880"/>
        </w:tabs>
        <w:ind w:left="2880" w:hanging="360"/>
      </w:pPr>
      <w:rPr>
        <w:rFonts w:cs="Times New Roman" w:hint="default"/>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4">
    <w:nsid w:val="36A76B58"/>
    <w:multiLevelType w:val="multilevel"/>
    <w:tmpl w:val="A7502BE4"/>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45">
    <w:nsid w:val="36D83D08"/>
    <w:multiLevelType w:val="multilevel"/>
    <w:tmpl w:val="A12CB3B8"/>
    <w:lvl w:ilvl="0">
      <w:start w:val="1"/>
      <w:numFmt w:val="upperRoman"/>
      <w:suff w:val="nothing"/>
      <w:lvlText w:val="%1.  "/>
      <w:lvlJc w:val="left"/>
      <w:rPr>
        <w:rFonts w:ascii="Times New Roman" w:hAnsi="Times New Roman" w:cs="Times New Roman" w:hint="default"/>
        <w:b/>
        <w:i w:val="0"/>
        <w:sz w:val="22"/>
      </w:rPr>
    </w:lvl>
    <w:lvl w:ilvl="1">
      <w:start w:val="1"/>
      <w:numFmt w:val="upperLetter"/>
      <w:lvlText w:val="%2."/>
      <w:lvlJc w:val="left"/>
      <w:pPr>
        <w:tabs>
          <w:tab w:val="num" w:pos="1080"/>
        </w:tabs>
        <w:ind w:left="720"/>
      </w:pPr>
      <w:rPr>
        <w:rFonts w:cs="Times New Roman" w:hint="default"/>
      </w:rPr>
    </w:lvl>
    <w:lvl w:ilvl="2">
      <w:start w:val="1"/>
      <w:numFmt w:val="decimal"/>
      <w:lvlRestart w:val="0"/>
      <w:pStyle w:val="Numberedparagraphs"/>
      <w:lvlText w:val="%3."/>
      <w:lvlJc w:val="left"/>
      <w:pPr>
        <w:tabs>
          <w:tab w:val="num" w:pos="720"/>
        </w:tabs>
        <w:ind w:firstLine="720"/>
      </w:pPr>
      <w:rPr>
        <w:rFonts w:ascii="Times New Roman" w:hAnsi="Times New Roman" w:cs="Times New Roman" w:hint="default"/>
        <w:b w:val="0"/>
        <w:bCs w:val="0"/>
        <w:i w:val="0"/>
        <w:iCs w:val="0"/>
        <w:caps w:val="0"/>
        <w:smallCaps w:val="0"/>
        <w:strike w:val="0"/>
        <w:dstrike w:val="0"/>
        <w:color w:val="auto"/>
        <w:spacing w:val="-2"/>
        <w:w w:val="100"/>
        <w:kern w:val="28"/>
        <w:position w:val="0"/>
        <w:sz w:val="22"/>
        <w:u w:val="none"/>
        <w:effect w:val="none"/>
      </w:rPr>
    </w:lvl>
    <w:lvl w:ilvl="3">
      <w:start w:val="1"/>
      <w:numFmt w:val="lowerLetter"/>
      <w:lvlText w:val="%4)"/>
      <w:lvlJc w:val="left"/>
      <w:pPr>
        <w:tabs>
          <w:tab w:val="num" w:pos="2520"/>
        </w:tabs>
        <w:ind w:left="21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46">
    <w:nsid w:val="3A0E5E0A"/>
    <w:multiLevelType w:val="hybridMultilevel"/>
    <w:tmpl w:val="D5908E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nsid w:val="3D0F1B3D"/>
    <w:multiLevelType w:val="singleLevel"/>
    <w:tmpl w:val="4DCCE696"/>
    <w:lvl w:ilvl="0">
      <w:start w:val="1"/>
      <w:numFmt w:val="decimal"/>
      <w:lvlText w:val="%1."/>
      <w:lvlJc w:val="left"/>
      <w:pPr>
        <w:tabs>
          <w:tab w:val="num" w:pos="1080"/>
        </w:tabs>
        <w:ind w:firstLine="720"/>
      </w:pPr>
      <w:rPr>
        <w:rFonts w:ascii="Times New Roman" w:hAnsi="Times New Roman" w:cs="Times New Roman" w:hint="default"/>
        <w:b w:val="0"/>
        <w:i w:val="0"/>
        <w:caps w:val="0"/>
        <w:strike w:val="0"/>
        <w:dstrike w:val="0"/>
        <w:vanish w:val="0"/>
        <w:sz w:val="22"/>
        <w:u w:val="none"/>
        <w:vertAlign w:val="baseline"/>
      </w:rPr>
    </w:lvl>
  </w:abstractNum>
  <w:abstractNum w:abstractNumId="48">
    <w:nsid w:val="3D982597"/>
    <w:multiLevelType w:val="hybridMultilevel"/>
    <w:tmpl w:val="7F3A74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nsid w:val="3FA54DD9"/>
    <w:multiLevelType w:val="hybridMultilevel"/>
    <w:tmpl w:val="867CAA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nsid w:val="41AF0CC5"/>
    <w:multiLevelType w:val="hybridMultilevel"/>
    <w:tmpl w:val="89447542"/>
    <w:lvl w:ilvl="0" w:tplc="FFFFFFFF">
      <w:start w:val="1"/>
      <w:numFmt w:val="decimal"/>
      <w:lvlText w:val="(%1)"/>
      <w:lvlJc w:val="left"/>
      <w:pPr>
        <w:ind w:left="1080" w:hanging="360"/>
      </w:pPr>
      <w:rPr>
        <w:rFonts w:cs="Times New Roman" w:hint="default"/>
      </w:rPr>
    </w:lvl>
    <w:lvl w:ilvl="1" w:tplc="FFFFFFFF" w:tentative="1">
      <w:start w:val="1"/>
      <w:numFmt w:val="lowerLetter"/>
      <w:lvlText w:val="%2."/>
      <w:lvlJc w:val="left"/>
      <w:pPr>
        <w:ind w:left="1800" w:hanging="360"/>
      </w:pPr>
      <w:rPr>
        <w:rFonts w:cs="Times New Roman"/>
      </w:rPr>
    </w:lvl>
    <w:lvl w:ilvl="2" w:tplc="FFFFFFFF" w:tentative="1">
      <w:start w:val="1"/>
      <w:numFmt w:val="lowerRoman"/>
      <w:lvlText w:val="%3."/>
      <w:lvlJc w:val="right"/>
      <w:pPr>
        <w:ind w:left="2520" w:hanging="180"/>
      </w:pPr>
      <w:rPr>
        <w:rFonts w:cs="Times New Roman"/>
      </w:rPr>
    </w:lvl>
    <w:lvl w:ilvl="3" w:tplc="FFFFFFFF" w:tentative="1">
      <w:start w:val="1"/>
      <w:numFmt w:val="decimal"/>
      <w:lvlText w:val="%4."/>
      <w:lvlJc w:val="left"/>
      <w:pPr>
        <w:ind w:left="3240" w:hanging="360"/>
      </w:pPr>
      <w:rPr>
        <w:rFonts w:cs="Times New Roman"/>
      </w:rPr>
    </w:lvl>
    <w:lvl w:ilvl="4" w:tplc="FFFFFFFF" w:tentative="1">
      <w:start w:val="1"/>
      <w:numFmt w:val="lowerLetter"/>
      <w:lvlText w:val="%5."/>
      <w:lvlJc w:val="left"/>
      <w:pPr>
        <w:ind w:left="3960" w:hanging="360"/>
      </w:pPr>
      <w:rPr>
        <w:rFonts w:cs="Times New Roman"/>
      </w:rPr>
    </w:lvl>
    <w:lvl w:ilvl="5" w:tplc="FFFFFFFF" w:tentative="1">
      <w:start w:val="1"/>
      <w:numFmt w:val="lowerRoman"/>
      <w:lvlText w:val="%6."/>
      <w:lvlJc w:val="right"/>
      <w:pPr>
        <w:ind w:left="4680" w:hanging="180"/>
      </w:pPr>
      <w:rPr>
        <w:rFonts w:cs="Times New Roman"/>
      </w:rPr>
    </w:lvl>
    <w:lvl w:ilvl="6" w:tplc="FFFFFFFF" w:tentative="1">
      <w:start w:val="1"/>
      <w:numFmt w:val="decimal"/>
      <w:lvlText w:val="%7."/>
      <w:lvlJc w:val="left"/>
      <w:pPr>
        <w:ind w:left="5400" w:hanging="360"/>
      </w:pPr>
      <w:rPr>
        <w:rFonts w:cs="Times New Roman"/>
      </w:rPr>
    </w:lvl>
    <w:lvl w:ilvl="7" w:tplc="FFFFFFFF" w:tentative="1">
      <w:start w:val="1"/>
      <w:numFmt w:val="lowerLetter"/>
      <w:lvlText w:val="%8."/>
      <w:lvlJc w:val="left"/>
      <w:pPr>
        <w:ind w:left="6120" w:hanging="360"/>
      </w:pPr>
      <w:rPr>
        <w:rFonts w:cs="Times New Roman"/>
      </w:rPr>
    </w:lvl>
    <w:lvl w:ilvl="8" w:tplc="FFFFFFFF" w:tentative="1">
      <w:start w:val="1"/>
      <w:numFmt w:val="lowerRoman"/>
      <w:lvlText w:val="%9."/>
      <w:lvlJc w:val="right"/>
      <w:pPr>
        <w:ind w:left="6840" w:hanging="180"/>
      </w:pPr>
      <w:rPr>
        <w:rFonts w:cs="Times New Roman"/>
      </w:rPr>
    </w:lvl>
  </w:abstractNum>
  <w:abstractNum w:abstractNumId="51">
    <w:nsid w:val="41FC270B"/>
    <w:multiLevelType w:val="hybridMultilevel"/>
    <w:tmpl w:val="052602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nsid w:val="4293499D"/>
    <w:multiLevelType w:val="hybridMultilevel"/>
    <w:tmpl w:val="893AFCE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3">
    <w:nsid w:val="43222527"/>
    <w:multiLevelType w:val="hybridMultilevel"/>
    <w:tmpl w:val="5AE0DB74"/>
    <w:lvl w:ilvl="0" w:tplc="04090001">
      <w:start w:val="1"/>
      <w:numFmt w:val="bullet"/>
      <w:lvlText w:val=""/>
      <w:lvlJc w:val="left"/>
      <w:pPr>
        <w:tabs>
          <w:tab w:val="num" w:pos="720"/>
        </w:tabs>
        <w:ind w:left="720" w:hanging="360"/>
      </w:pPr>
      <w:rPr>
        <w:rFonts w:ascii="Symbol" w:hAnsi="Symbol" w:hint="default"/>
      </w:rPr>
    </w:lvl>
    <w:lvl w:ilvl="1" w:tplc="F4CE0268">
      <w:start w:val="1"/>
      <w:numFmt w:val="bullet"/>
      <w:lvlText w:val=""/>
      <w:lvlJc w:val="left"/>
      <w:pPr>
        <w:tabs>
          <w:tab w:val="num" w:pos="1152"/>
        </w:tabs>
        <w:ind w:left="108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nsid w:val="4343170E"/>
    <w:multiLevelType w:val="hybridMultilevel"/>
    <w:tmpl w:val="7622789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nsid w:val="443B3C86"/>
    <w:multiLevelType w:val="hybridMultilevel"/>
    <w:tmpl w:val="4EA0A0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nsid w:val="479E2D85"/>
    <w:multiLevelType w:val="hybridMultilevel"/>
    <w:tmpl w:val="24A41A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nsid w:val="48466C4C"/>
    <w:multiLevelType w:val="hybridMultilevel"/>
    <w:tmpl w:val="D13C6236"/>
    <w:lvl w:ilvl="0" w:tplc="FFFFFFFF">
      <w:start w:val="3"/>
      <w:numFmt w:val="decimal"/>
      <w:lvlText w:val="%1."/>
      <w:lvlJc w:val="left"/>
      <w:pPr>
        <w:tabs>
          <w:tab w:val="num" w:pos="1080"/>
        </w:tabs>
        <w:ind w:left="1080" w:hanging="360"/>
      </w:pPr>
      <w:rPr>
        <w:rFonts w:cs="Times New Roman" w:hint="default"/>
      </w:rPr>
    </w:lvl>
    <w:lvl w:ilvl="1" w:tplc="FFFFFFFF" w:tentative="1">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58">
    <w:nsid w:val="4A1E37DB"/>
    <w:multiLevelType w:val="hybridMultilevel"/>
    <w:tmpl w:val="0B48275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9">
    <w:nsid w:val="4B315DA0"/>
    <w:multiLevelType w:val="hybridMultilevel"/>
    <w:tmpl w:val="24C4D258"/>
    <w:lvl w:ilvl="0" w:tplc="E026C538">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0">
    <w:nsid w:val="4BE71652"/>
    <w:multiLevelType w:val="hybridMultilevel"/>
    <w:tmpl w:val="0AB04786"/>
    <w:lvl w:ilvl="0" w:tplc="0409000F">
      <w:start w:val="1"/>
      <w:numFmt w:val="bullet"/>
      <w:lvlText w:val=""/>
      <w:lvlJc w:val="left"/>
      <w:pPr>
        <w:tabs>
          <w:tab w:val="num" w:pos="720"/>
        </w:tabs>
        <w:ind w:left="72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61">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62">
    <w:nsid w:val="4E3161F8"/>
    <w:multiLevelType w:val="hybridMultilevel"/>
    <w:tmpl w:val="9B189746"/>
    <w:lvl w:ilvl="0" w:tplc="DA86ECD8">
      <w:start w:val="7"/>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3">
    <w:nsid w:val="4E5E2714"/>
    <w:multiLevelType w:val="hybridMultilevel"/>
    <w:tmpl w:val="D7628050"/>
    <w:lvl w:ilvl="0" w:tplc="FFFFFFFF">
      <w:start w:val="1"/>
      <w:numFmt w:val="decimal"/>
      <w:lvlText w:val="%1."/>
      <w:lvlJc w:val="left"/>
      <w:pPr>
        <w:tabs>
          <w:tab w:val="num" w:pos="720"/>
        </w:tabs>
        <w:ind w:left="720"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64">
    <w:nsid w:val="5428411D"/>
    <w:multiLevelType w:val="hybridMultilevel"/>
    <w:tmpl w:val="6A48D3F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3">
      <w:start w:val="1"/>
      <w:numFmt w:val="bullet"/>
      <w:lvlText w:val="o"/>
      <w:lvlJc w:val="left"/>
      <w:pPr>
        <w:tabs>
          <w:tab w:val="num" w:pos="1800"/>
        </w:tabs>
        <w:ind w:left="1800" w:hanging="360"/>
      </w:pPr>
      <w:rPr>
        <w:rFonts w:ascii="Courier New" w:hAnsi="Courier New"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5">
    <w:nsid w:val="546D1515"/>
    <w:multiLevelType w:val="hybridMultilevel"/>
    <w:tmpl w:val="151AC3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nsid w:val="54D0024E"/>
    <w:multiLevelType w:val="hybridMultilevel"/>
    <w:tmpl w:val="47365156"/>
    <w:lvl w:ilvl="0" w:tplc="E5EAD0E0">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7">
    <w:nsid w:val="57DA0740"/>
    <w:multiLevelType w:val="hybridMultilevel"/>
    <w:tmpl w:val="83C6E1F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8">
    <w:nsid w:val="590C6DBC"/>
    <w:multiLevelType w:val="hybridMultilevel"/>
    <w:tmpl w:val="C3B0C28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9">
    <w:nsid w:val="5B244C5E"/>
    <w:multiLevelType w:val="hybridMultilevel"/>
    <w:tmpl w:val="D86420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0">
    <w:nsid w:val="5B2908B7"/>
    <w:multiLevelType w:val="hybridMultilevel"/>
    <w:tmpl w:val="F4B2F08A"/>
    <w:lvl w:ilvl="0" w:tplc="04090011">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1">
    <w:nsid w:val="5B33097B"/>
    <w:multiLevelType w:val="hybridMultilevel"/>
    <w:tmpl w:val="6DF02100"/>
    <w:lvl w:ilvl="0" w:tplc="5240B9A4">
      <w:start w:val="1"/>
      <w:numFmt w:val="bullet"/>
      <w:lvlText w:val=""/>
      <w:lvlJc w:val="left"/>
      <w:pPr>
        <w:tabs>
          <w:tab w:val="num" w:pos="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2">
    <w:nsid w:val="5BEF2B3B"/>
    <w:multiLevelType w:val="hybridMultilevel"/>
    <w:tmpl w:val="6C14D1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3">
    <w:nsid w:val="5C445AE5"/>
    <w:multiLevelType w:val="hybridMultilevel"/>
    <w:tmpl w:val="A0A2EDF6"/>
    <w:lvl w:ilvl="0" w:tplc="04090001">
      <w:start w:val="1"/>
      <w:numFmt w:val="decimal"/>
      <w:lvlText w:val="%1."/>
      <w:lvlJc w:val="left"/>
      <w:pPr>
        <w:tabs>
          <w:tab w:val="num" w:pos="720"/>
        </w:tabs>
        <w:ind w:left="720" w:hanging="360"/>
      </w:pPr>
      <w:rPr>
        <w:rFonts w:cs="Times New Roman"/>
      </w:rPr>
    </w:lvl>
    <w:lvl w:ilvl="1" w:tplc="04090003" w:tentative="1">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74">
    <w:nsid w:val="5C864B2F"/>
    <w:multiLevelType w:val="hybridMultilevel"/>
    <w:tmpl w:val="28AC95AA"/>
    <w:lvl w:ilvl="0" w:tplc="04090001">
      <w:start w:val="1"/>
      <w:numFmt w:val="decimal"/>
      <w:lvlText w:val="%1."/>
      <w:lvlJc w:val="left"/>
      <w:pPr>
        <w:tabs>
          <w:tab w:val="num" w:pos="720"/>
        </w:tabs>
        <w:ind w:left="720" w:hanging="360"/>
      </w:pPr>
      <w:rPr>
        <w:rFonts w:cs="Times New Roman"/>
      </w:rPr>
    </w:lvl>
    <w:lvl w:ilvl="1" w:tplc="04090003" w:tentative="1">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75">
    <w:nsid w:val="5E41234D"/>
    <w:multiLevelType w:val="hybridMultilevel"/>
    <w:tmpl w:val="F5A8E028"/>
    <w:lvl w:ilvl="0" w:tplc="04090015">
      <w:start w:val="1"/>
      <w:numFmt w:val="upp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76">
    <w:nsid w:val="5E7E5611"/>
    <w:multiLevelType w:val="hybridMultilevel"/>
    <w:tmpl w:val="1DA254B8"/>
    <w:lvl w:ilvl="0" w:tplc="7D187272">
      <w:start w:val="2"/>
      <w:numFmt w:val="upp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7">
    <w:nsid w:val="5F60379E"/>
    <w:multiLevelType w:val="hybridMultilevel"/>
    <w:tmpl w:val="EF1EDC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8">
    <w:nsid w:val="61182925"/>
    <w:multiLevelType w:val="singleLevel"/>
    <w:tmpl w:val="D180CED0"/>
    <w:lvl w:ilvl="0">
      <w:start w:val="1"/>
      <w:numFmt w:val="decimal"/>
      <w:pStyle w:val="ParaNum"/>
      <w:lvlText w:val="%1."/>
      <w:lvlJc w:val="left"/>
      <w:pPr>
        <w:tabs>
          <w:tab w:val="num" w:pos="1080"/>
        </w:tabs>
        <w:ind w:left="0" w:firstLine="720"/>
      </w:pPr>
    </w:lvl>
  </w:abstractNum>
  <w:abstractNum w:abstractNumId="79">
    <w:nsid w:val="625638E6"/>
    <w:multiLevelType w:val="hybridMultilevel"/>
    <w:tmpl w:val="27184786"/>
    <w:lvl w:ilvl="0" w:tplc="F4CE0268">
      <w:start w:val="1"/>
      <w:numFmt w:val="bullet"/>
      <w:lvlText w:val=""/>
      <w:lvlJc w:val="left"/>
      <w:pPr>
        <w:tabs>
          <w:tab w:val="num" w:pos="72"/>
        </w:tabs>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0">
    <w:nsid w:val="63A5706A"/>
    <w:multiLevelType w:val="hybridMultilevel"/>
    <w:tmpl w:val="C1FC5B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1">
    <w:nsid w:val="65385A76"/>
    <w:multiLevelType w:val="hybridMultilevel"/>
    <w:tmpl w:val="30A240B2"/>
    <w:lvl w:ilvl="0" w:tplc="0409000F">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82">
    <w:nsid w:val="65A8274D"/>
    <w:multiLevelType w:val="hybridMultilevel"/>
    <w:tmpl w:val="041E635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3">
    <w:nsid w:val="67ED2F51"/>
    <w:multiLevelType w:val="hybridMultilevel"/>
    <w:tmpl w:val="C54A33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4">
    <w:nsid w:val="69BF190B"/>
    <w:multiLevelType w:val="hybridMultilevel"/>
    <w:tmpl w:val="F0F20BE6"/>
    <w:lvl w:ilvl="0" w:tplc="F2868330">
      <w:start w:val="1"/>
      <w:numFmt w:val="upperRoman"/>
      <w:lvlText w:val="%1."/>
      <w:lvlJc w:val="left"/>
      <w:pPr>
        <w:ind w:left="540" w:hanging="360"/>
      </w:pPr>
      <w:rPr>
        <w:rFonts w:cs="Times New Roman" w:hint="default"/>
      </w:rPr>
    </w:lvl>
    <w:lvl w:ilvl="1" w:tplc="04090019" w:tentative="1">
      <w:start w:val="1"/>
      <w:numFmt w:val="lowerLetter"/>
      <w:lvlText w:val="%2."/>
      <w:lvlJc w:val="left"/>
      <w:pPr>
        <w:ind w:left="1260" w:hanging="360"/>
      </w:pPr>
      <w:rPr>
        <w:rFonts w:cs="Times New Roman"/>
      </w:rPr>
    </w:lvl>
    <w:lvl w:ilvl="2" w:tplc="0409001B" w:tentative="1">
      <w:start w:val="1"/>
      <w:numFmt w:val="lowerRoman"/>
      <w:lvlText w:val="%3."/>
      <w:lvlJc w:val="right"/>
      <w:pPr>
        <w:ind w:left="1980" w:hanging="180"/>
      </w:pPr>
      <w:rPr>
        <w:rFonts w:cs="Times New Roman"/>
      </w:rPr>
    </w:lvl>
    <w:lvl w:ilvl="3" w:tplc="0409000F" w:tentative="1">
      <w:start w:val="1"/>
      <w:numFmt w:val="decimal"/>
      <w:lvlText w:val="%4."/>
      <w:lvlJc w:val="left"/>
      <w:pPr>
        <w:ind w:left="2700" w:hanging="360"/>
      </w:pPr>
      <w:rPr>
        <w:rFonts w:cs="Times New Roman"/>
      </w:rPr>
    </w:lvl>
    <w:lvl w:ilvl="4" w:tplc="04090019" w:tentative="1">
      <w:start w:val="1"/>
      <w:numFmt w:val="lowerLetter"/>
      <w:lvlText w:val="%5."/>
      <w:lvlJc w:val="left"/>
      <w:pPr>
        <w:ind w:left="3420" w:hanging="360"/>
      </w:pPr>
      <w:rPr>
        <w:rFonts w:cs="Times New Roman"/>
      </w:rPr>
    </w:lvl>
    <w:lvl w:ilvl="5" w:tplc="0409001B" w:tentative="1">
      <w:start w:val="1"/>
      <w:numFmt w:val="lowerRoman"/>
      <w:lvlText w:val="%6."/>
      <w:lvlJc w:val="right"/>
      <w:pPr>
        <w:ind w:left="4140" w:hanging="180"/>
      </w:pPr>
      <w:rPr>
        <w:rFonts w:cs="Times New Roman"/>
      </w:rPr>
    </w:lvl>
    <w:lvl w:ilvl="6" w:tplc="0409000F" w:tentative="1">
      <w:start w:val="1"/>
      <w:numFmt w:val="decimal"/>
      <w:lvlText w:val="%7."/>
      <w:lvlJc w:val="left"/>
      <w:pPr>
        <w:ind w:left="4860" w:hanging="360"/>
      </w:pPr>
      <w:rPr>
        <w:rFonts w:cs="Times New Roman"/>
      </w:rPr>
    </w:lvl>
    <w:lvl w:ilvl="7" w:tplc="04090019" w:tentative="1">
      <w:start w:val="1"/>
      <w:numFmt w:val="lowerLetter"/>
      <w:lvlText w:val="%8."/>
      <w:lvlJc w:val="left"/>
      <w:pPr>
        <w:ind w:left="5580" w:hanging="360"/>
      </w:pPr>
      <w:rPr>
        <w:rFonts w:cs="Times New Roman"/>
      </w:rPr>
    </w:lvl>
    <w:lvl w:ilvl="8" w:tplc="0409001B" w:tentative="1">
      <w:start w:val="1"/>
      <w:numFmt w:val="lowerRoman"/>
      <w:lvlText w:val="%9."/>
      <w:lvlJc w:val="right"/>
      <w:pPr>
        <w:ind w:left="6300" w:hanging="180"/>
      </w:pPr>
      <w:rPr>
        <w:rFonts w:cs="Times New Roman"/>
      </w:rPr>
    </w:lvl>
  </w:abstractNum>
  <w:abstractNum w:abstractNumId="85">
    <w:nsid w:val="6A673BE0"/>
    <w:multiLevelType w:val="hybridMultilevel"/>
    <w:tmpl w:val="6E5A0D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6">
    <w:nsid w:val="6D0114ED"/>
    <w:multiLevelType w:val="hybridMultilevel"/>
    <w:tmpl w:val="110E98C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7">
    <w:nsid w:val="6D680488"/>
    <w:multiLevelType w:val="hybridMultilevel"/>
    <w:tmpl w:val="9BCED396"/>
    <w:lvl w:ilvl="0" w:tplc="0409000F">
      <w:start w:val="1"/>
      <w:numFmt w:val="bullet"/>
      <w:lvlText w:val=""/>
      <w:lvlJc w:val="left"/>
      <w:pPr>
        <w:tabs>
          <w:tab w:val="num" w:pos="720"/>
        </w:tabs>
        <w:ind w:left="72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88">
    <w:nsid w:val="6DF3495F"/>
    <w:multiLevelType w:val="hybridMultilevel"/>
    <w:tmpl w:val="2982A7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9">
    <w:nsid w:val="6E521A21"/>
    <w:multiLevelType w:val="hybridMultilevel"/>
    <w:tmpl w:val="A97688D4"/>
    <w:lvl w:ilvl="0" w:tplc="334C759E">
      <w:start w:val="6"/>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90">
    <w:nsid w:val="71B758E5"/>
    <w:multiLevelType w:val="hybridMultilevel"/>
    <w:tmpl w:val="07E085C0"/>
    <w:lvl w:ilvl="0" w:tplc="5240B9A4">
      <w:start w:val="1"/>
      <w:numFmt w:val="bullet"/>
      <w:lvlText w:val=""/>
      <w:lvlJc w:val="left"/>
      <w:pPr>
        <w:tabs>
          <w:tab w:val="num" w:pos="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1">
    <w:nsid w:val="72D5225B"/>
    <w:multiLevelType w:val="hybridMultilevel"/>
    <w:tmpl w:val="792611C8"/>
    <w:lvl w:ilvl="0" w:tplc="83CEDFC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2">
    <w:nsid w:val="73C81382"/>
    <w:multiLevelType w:val="hybridMultilevel"/>
    <w:tmpl w:val="E63C41A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3">
    <w:nsid w:val="750924E9"/>
    <w:multiLevelType w:val="hybridMultilevel"/>
    <w:tmpl w:val="4ECC53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4">
    <w:nsid w:val="758F490E"/>
    <w:multiLevelType w:val="hybridMultilevel"/>
    <w:tmpl w:val="C4882F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5">
    <w:nsid w:val="7789066A"/>
    <w:multiLevelType w:val="hybridMultilevel"/>
    <w:tmpl w:val="3F96DE9A"/>
    <w:lvl w:ilvl="0" w:tplc="04090001">
      <w:start w:val="16"/>
      <w:numFmt w:val="bullet"/>
      <w:lvlText w:val=""/>
      <w:lvlJc w:val="left"/>
      <w:pPr>
        <w:tabs>
          <w:tab w:val="num" w:pos="720"/>
        </w:tabs>
        <w:ind w:left="720" w:hanging="360"/>
      </w:pPr>
      <w:rPr>
        <w:rFonts w:ascii="Symbol" w:eastAsia="Times New Roman"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6">
    <w:nsid w:val="79905CA8"/>
    <w:multiLevelType w:val="hybridMultilevel"/>
    <w:tmpl w:val="CA06DBC0"/>
    <w:lvl w:ilvl="0" w:tplc="DE1C815A">
      <w:start w:val="1"/>
      <w:numFmt w:val="bullet"/>
      <w:lvlText w:val="o"/>
      <w:lvlJc w:val="left"/>
      <w:pPr>
        <w:tabs>
          <w:tab w:val="num" w:pos="720"/>
        </w:tabs>
        <w:ind w:left="936" w:hanging="288"/>
      </w:pPr>
      <w:rPr>
        <w:rFonts w:ascii="Courier New" w:hAnsi="Courier New" w:hint="default"/>
      </w:rPr>
    </w:lvl>
    <w:lvl w:ilvl="1" w:tplc="04090003">
      <w:start w:val="1"/>
      <w:numFmt w:val="bullet"/>
      <w:lvlText w:val="o"/>
      <w:lvlJc w:val="left"/>
      <w:pPr>
        <w:tabs>
          <w:tab w:val="num" w:pos="1728"/>
        </w:tabs>
        <w:ind w:left="1728" w:hanging="360"/>
      </w:pPr>
      <w:rPr>
        <w:rFonts w:ascii="Courier New" w:hAnsi="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97">
    <w:nsid w:val="79B27B7D"/>
    <w:multiLevelType w:val="hybridMultilevel"/>
    <w:tmpl w:val="57502FFE"/>
    <w:lvl w:ilvl="0" w:tplc="CD12E0D8">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98">
    <w:nsid w:val="7B6C2B6C"/>
    <w:multiLevelType w:val="hybridMultilevel"/>
    <w:tmpl w:val="FC1C5F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9">
    <w:nsid w:val="7F123C76"/>
    <w:multiLevelType w:val="hybridMultilevel"/>
    <w:tmpl w:val="5E682900"/>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num w:numId="1">
    <w:abstractNumId w:val="27"/>
  </w:num>
  <w:num w:numId="2">
    <w:abstractNumId w:val="78"/>
  </w:num>
  <w:num w:numId="3">
    <w:abstractNumId w:val="33"/>
  </w:num>
  <w:num w:numId="4">
    <w:abstractNumId w:val="45"/>
  </w:num>
  <w:num w:numId="5">
    <w:abstractNumId w:val="6"/>
  </w:num>
  <w:num w:numId="6">
    <w:abstractNumId w:val="31"/>
  </w:num>
  <w:num w:numId="7">
    <w:abstractNumId w:val="5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9"/>
  </w:num>
  <w:num w:numId="9">
    <w:abstractNumId w:val="95"/>
  </w:num>
  <w:num w:numId="10">
    <w:abstractNumId w:val="91"/>
  </w:num>
  <w:num w:numId="11">
    <w:abstractNumId w:val="2"/>
  </w:num>
  <w:num w:numId="12">
    <w:abstractNumId w:val="82"/>
  </w:num>
  <w:num w:numId="13">
    <w:abstractNumId w:val="15"/>
  </w:num>
  <w:num w:numId="14">
    <w:abstractNumId w:val="49"/>
  </w:num>
  <w:num w:numId="15">
    <w:abstractNumId w:val="42"/>
  </w:num>
  <w:num w:numId="16">
    <w:abstractNumId w:val="24"/>
  </w:num>
  <w:num w:numId="17">
    <w:abstractNumId w:val="10"/>
  </w:num>
  <w:num w:numId="18">
    <w:abstractNumId w:val="32"/>
  </w:num>
  <w:num w:numId="19">
    <w:abstractNumId w:val="98"/>
  </w:num>
  <w:num w:numId="20">
    <w:abstractNumId w:val="51"/>
  </w:num>
  <w:num w:numId="21">
    <w:abstractNumId w:val="80"/>
  </w:num>
  <w:num w:numId="22">
    <w:abstractNumId w:val="12"/>
  </w:num>
  <w:num w:numId="23">
    <w:abstractNumId w:val="65"/>
  </w:num>
  <w:num w:numId="24">
    <w:abstractNumId w:val="53"/>
  </w:num>
  <w:num w:numId="25">
    <w:abstractNumId w:val="94"/>
  </w:num>
  <w:num w:numId="26">
    <w:abstractNumId w:val="85"/>
  </w:num>
  <w:num w:numId="27">
    <w:abstractNumId w:val="83"/>
  </w:num>
  <w:num w:numId="28">
    <w:abstractNumId w:val="56"/>
  </w:num>
  <w:num w:numId="29">
    <w:abstractNumId w:val="28"/>
  </w:num>
  <w:num w:numId="30">
    <w:abstractNumId w:val="17"/>
  </w:num>
  <w:num w:numId="31">
    <w:abstractNumId w:val="77"/>
  </w:num>
  <w:num w:numId="32">
    <w:abstractNumId w:val="86"/>
  </w:num>
  <w:num w:numId="33">
    <w:abstractNumId w:val="69"/>
  </w:num>
  <w:num w:numId="34">
    <w:abstractNumId w:val="30"/>
  </w:num>
  <w:num w:numId="35">
    <w:abstractNumId w:val="36"/>
  </w:num>
  <w:num w:numId="36">
    <w:abstractNumId w:val="38"/>
  </w:num>
  <w:num w:numId="37">
    <w:abstractNumId w:val="61"/>
  </w:num>
  <w:num w:numId="38">
    <w:abstractNumId w:val="29"/>
  </w:num>
  <w:num w:numId="39">
    <w:abstractNumId w:val="11"/>
  </w:num>
  <w:num w:numId="40">
    <w:abstractNumId w:val="33"/>
    <w:lvlOverride w:ilvl="0">
      <w:startOverride w:val="1"/>
    </w:lvlOverride>
    <w:lvlOverride w:ilvl="1">
      <w:startOverride w:val="5"/>
    </w:lvlOverride>
  </w:num>
  <w:num w:numId="41">
    <w:abstractNumId w:val="33"/>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8"/>
  </w:num>
  <w:num w:numId="43">
    <w:abstractNumId w:val="76"/>
  </w:num>
  <w:num w:numId="44">
    <w:abstractNumId w:val="60"/>
  </w:num>
  <w:num w:numId="45">
    <w:abstractNumId w:val="78"/>
    <w:lvlOverride w:ilvl="0">
      <w:startOverride w:val="1"/>
    </w:lvlOverride>
  </w:num>
  <w:num w:numId="46">
    <w:abstractNumId w:val="73"/>
  </w:num>
  <w:num w:numId="47">
    <w:abstractNumId w:val="66"/>
  </w:num>
  <w:num w:numId="48">
    <w:abstractNumId w:val="14"/>
  </w:num>
  <w:num w:numId="49">
    <w:abstractNumId w:val="63"/>
  </w:num>
  <w:num w:numId="50">
    <w:abstractNumId w:val="57"/>
  </w:num>
  <w:num w:numId="51">
    <w:abstractNumId w:val="22"/>
  </w:num>
  <w:num w:numId="52">
    <w:abstractNumId w:val="62"/>
  </w:num>
  <w:num w:numId="53">
    <w:abstractNumId w:val="43"/>
    <w:lvlOverride w:ilvl="0">
      <w:startOverride w:val="1"/>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74"/>
  </w:num>
  <w:num w:numId="55">
    <w:abstractNumId w:val="16"/>
  </w:num>
  <w:num w:numId="56">
    <w:abstractNumId w:val="35"/>
  </w:num>
  <w:num w:numId="57">
    <w:abstractNumId w:val="87"/>
  </w:num>
  <w:num w:numId="58">
    <w:abstractNumId w:val="21"/>
  </w:num>
  <w:num w:numId="59">
    <w:abstractNumId w:val="5"/>
  </w:num>
  <w:num w:numId="60">
    <w:abstractNumId w:val="8"/>
  </w:num>
  <w:num w:numId="61">
    <w:abstractNumId w:val="99"/>
  </w:num>
  <w:num w:numId="62">
    <w:abstractNumId w:val="26"/>
  </w:num>
  <w:num w:numId="63">
    <w:abstractNumId w:val="13"/>
  </w:num>
  <w:num w:numId="64">
    <w:abstractNumId w:val="0"/>
  </w:num>
  <w:num w:numId="65">
    <w:abstractNumId w:val="59"/>
  </w:num>
  <w:num w:numId="66">
    <w:abstractNumId w:val="46"/>
  </w:num>
  <w:num w:numId="67">
    <w:abstractNumId w:val="81"/>
  </w:num>
  <w:num w:numId="68">
    <w:abstractNumId w:val="67"/>
  </w:num>
  <w:num w:numId="69">
    <w:abstractNumId w:val="68"/>
  </w:num>
  <w:num w:numId="70">
    <w:abstractNumId w:val="50"/>
  </w:num>
  <w:num w:numId="71">
    <w:abstractNumId w:val="71"/>
  </w:num>
  <w:num w:numId="72">
    <w:abstractNumId w:val="90"/>
  </w:num>
  <w:num w:numId="73">
    <w:abstractNumId w:val="41"/>
  </w:num>
  <w:num w:numId="74">
    <w:abstractNumId w:val="84"/>
  </w:num>
  <w:num w:numId="75">
    <w:abstractNumId w:val="18"/>
  </w:num>
  <w:num w:numId="76">
    <w:abstractNumId w:val="93"/>
  </w:num>
  <w:num w:numId="7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47"/>
  </w:num>
  <w:num w:numId="79">
    <w:abstractNumId w:val="96"/>
  </w:num>
  <w:num w:numId="80">
    <w:abstractNumId w:val="97"/>
  </w:num>
  <w:num w:numId="81">
    <w:abstractNumId w:val="23"/>
  </w:num>
  <w:num w:numId="82">
    <w:abstractNumId w:val="75"/>
  </w:num>
  <w:num w:numId="83">
    <w:abstractNumId w:val="7"/>
  </w:num>
  <w:num w:numId="84">
    <w:abstractNumId w:val="1"/>
  </w:num>
  <w:num w:numId="85">
    <w:abstractNumId w:val="20"/>
  </w:num>
  <w:num w:numId="86">
    <w:abstractNumId w:val="33"/>
    <w:lvlOverride w:ilvl="0">
      <w:startOverride w:val="500"/>
    </w:lvlOverride>
  </w:num>
  <w:num w:numId="87">
    <w:abstractNumId w:val="33"/>
    <w:lvlOverride w:ilvl="0">
      <w:startOverride w:val="1"/>
    </w:lvlOverride>
    <w:lvlOverride w:ilvl="1">
      <w:startOverride w:val="1"/>
    </w:lvlOverride>
  </w:num>
  <w:num w:numId="8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52"/>
  </w:num>
  <w:num w:numId="90">
    <w:abstractNumId w:val="78"/>
  </w:num>
  <w:num w:numId="9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78"/>
    <w:lvlOverride w:ilvl="0">
      <w:startOverride w:val="1"/>
    </w:lvlOverride>
  </w:num>
  <w:num w:numId="93">
    <w:abstractNumId w:val="40"/>
  </w:num>
  <w:num w:numId="94">
    <w:abstractNumId w:val="78"/>
    <w:lvlOverride w:ilvl="0">
      <w:startOverride w:val="1"/>
    </w:lvlOverride>
  </w:num>
  <w:num w:numId="95">
    <w:abstractNumId w:val="78"/>
    <w:lvlOverride w:ilvl="0">
      <w:startOverride w:val="1"/>
    </w:lvlOverride>
  </w:num>
  <w:num w:numId="96">
    <w:abstractNumId w:val="78"/>
    <w:lvlOverride w:ilvl="0">
      <w:startOverride w:val="1"/>
    </w:lvlOverride>
  </w:num>
  <w:num w:numId="97">
    <w:abstractNumId w:val="78"/>
  </w:num>
  <w:num w:numId="98">
    <w:abstractNumId w:val="78"/>
  </w:num>
  <w:num w:numId="99">
    <w:abstractNumId w:val="78"/>
  </w:num>
  <w:num w:numId="100">
    <w:abstractNumId w:val="78"/>
    <w:lvlOverride w:ilvl="0">
      <w:startOverride w:val="1"/>
    </w:lvlOverride>
  </w:num>
  <w:num w:numId="101">
    <w:abstractNumId w:val="78"/>
  </w:num>
  <w:num w:numId="102">
    <w:abstractNumId w:val="78"/>
  </w:num>
  <w:num w:numId="103">
    <w:abstractNumId w:val="78"/>
  </w:num>
  <w:num w:numId="104">
    <w:abstractNumId w:val="78"/>
  </w:num>
  <w:num w:numId="105">
    <w:abstractNumId w:val="78"/>
  </w:num>
  <w:num w:numId="106">
    <w:abstractNumId w:val="78"/>
  </w:num>
  <w:num w:numId="107">
    <w:abstractNumId w:val="78"/>
  </w:num>
  <w:num w:numId="108">
    <w:abstractNumId w:val="78"/>
  </w:num>
  <w:num w:numId="109">
    <w:abstractNumId w:val="78"/>
  </w:num>
  <w:num w:numId="110">
    <w:abstractNumId w:val="78"/>
  </w:num>
  <w:num w:numId="111">
    <w:abstractNumId w:val="78"/>
  </w:num>
  <w:num w:numId="112">
    <w:abstractNumId w:val="78"/>
  </w:num>
  <w:num w:numId="113">
    <w:abstractNumId w:val="78"/>
  </w:num>
  <w:num w:numId="114">
    <w:abstractNumId w:val="78"/>
  </w:num>
  <w:num w:numId="115">
    <w:abstractNumId w:val="78"/>
  </w:num>
  <w:num w:numId="116">
    <w:abstractNumId w:val="78"/>
  </w:num>
  <w:num w:numId="117">
    <w:abstractNumId w:val="78"/>
  </w:num>
  <w:num w:numId="118">
    <w:abstractNumId w:val="78"/>
  </w:num>
  <w:num w:numId="119">
    <w:abstractNumId w:val="78"/>
  </w:num>
  <w:num w:numId="120">
    <w:abstractNumId w:val="78"/>
  </w:num>
  <w:num w:numId="121">
    <w:abstractNumId w:val="78"/>
  </w:num>
  <w:num w:numId="122">
    <w:abstractNumId w:val="78"/>
  </w:num>
  <w:num w:numId="123">
    <w:abstractNumId w:val="78"/>
  </w:num>
  <w:num w:numId="124">
    <w:abstractNumId w:val="78"/>
  </w:num>
  <w:num w:numId="125">
    <w:abstractNumId w:val="78"/>
  </w:num>
  <w:num w:numId="126">
    <w:abstractNumId w:val="78"/>
  </w:num>
  <w:num w:numId="127">
    <w:abstractNumId w:val="78"/>
  </w:num>
  <w:num w:numId="128">
    <w:abstractNumId w:val="78"/>
  </w:num>
  <w:num w:numId="129">
    <w:abstractNumId w:val="78"/>
  </w:num>
  <w:num w:numId="130">
    <w:abstractNumId w:val="78"/>
  </w:num>
  <w:num w:numId="131">
    <w:abstractNumId w:val="78"/>
  </w:num>
  <w:num w:numId="132">
    <w:abstractNumId w:val="78"/>
  </w:num>
  <w:num w:numId="133">
    <w:abstractNumId w:val="78"/>
  </w:num>
  <w:num w:numId="134">
    <w:abstractNumId w:val="78"/>
  </w:num>
  <w:num w:numId="135">
    <w:abstractNumId w:val="78"/>
  </w:num>
  <w:num w:numId="136">
    <w:abstractNumId w:val="78"/>
  </w:num>
  <w:num w:numId="137">
    <w:abstractNumId w:val="78"/>
  </w:num>
  <w:num w:numId="138">
    <w:abstractNumId w:val="78"/>
  </w:num>
  <w:num w:numId="139">
    <w:abstractNumId w:val="78"/>
  </w:num>
  <w:num w:numId="140">
    <w:abstractNumId w:val="78"/>
  </w:num>
  <w:num w:numId="141">
    <w:abstractNumId w:val="78"/>
  </w:num>
  <w:num w:numId="142">
    <w:abstractNumId w:val="78"/>
  </w:num>
  <w:num w:numId="143">
    <w:abstractNumId w:val="78"/>
  </w:num>
  <w:num w:numId="144">
    <w:abstractNumId w:val="78"/>
  </w:num>
  <w:num w:numId="145">
    <w:abstractNumId w:val="78"/>
  </w:num>
  <w:num w:numId="146">
    <w:abstractNumId w:val="78"/>
  </w:num>
  <w:num w:numId="147">
    <w:abstractNumId w:val="78"/>
  </w:num>
  <w:num w:numId="148">
    <w:abstractNumId w:val="78"/>
  </w:num>
  <w:num w:numId="149">
    <w:abstractNumId w:val="78"/>
  </w:num>
  <w:num w:numId="150">
    <w:abstractNumId w:val="78"/>
  </w:num>
  <w:num w:numId="151">
    <w:abstractNumId w:val="78"/>
  </w:num>
  <w:num w:numId="152">
    <w:abstractNumId w:val="78"/>
  </w:num>
  <w:num w:numId="153">
    <w:abstractNumId w:val="78"/>
  </w:num>
  <w:num w:numId="154">
    <w:abstractNumId w:val="78"/>
  </w:num>
  <w:num w:numId="155">
    <w:abstractNumId w:val="78"/>
  </w:num>
  <w:num w:numId="156">
    <w:abstractNumId w:val="78"/>
  </w:num>
  <w:num w:numId="157">
    <w:abstractNumId w:val="78"/>
  </w:num>
  <w:num w:numId="158">
    <w:abstractNumId w:val="78"/>
  </w:num>
  <w:num w:numId="159">
    <w:abstractNumId w:val="78"/>
  </w:num>
  <w:num w:numId="160">
    <w:abstractNumId w:val="78"/>
  </w:num>
  <w:num w:numId="161">
    <w:abstractNumId w:val="78"/>
  </w:num>
  <w:num w:numId="162">
    <w:abstractNumId w:val="78"/>
  </w:num>
  <w:num w:numId="163">
    <w:abstractNumId w:val="78"/>
  </w:num>
  <w:num w:numId="164">
    <w:abstractNumId w:val="78"/>
  </w:num>
  <w:num w:numId="165">
    <w:abstractNumId w:val="78"/>
  </w:num>
  <w:num w:numId="166">
    <w:abstractNumId w:val="78"/>
  </w:num>
  <w:num w:numId="167">
    <w:abstractNumId w:val="78"/>
  </w:num>
  <w:num w:numId="168">
    <w:abstractNumId w:val="78"/>
  </w:num>
  <w:num w:numId="169">
    <w:abstractNumId w:val="78"/>
  </w:num>
  <w:num w:numId="170">
    <w:abstractNumId w:val="78"/>
  </w:num>
  <w:num w:numId="171">
    <w:abstractNumId w:val="78"/>
  </w:num>
  <w:num w:numId="172">
    <w:abstractNumId w:val="78"/>
  </w:num>
  <w:num w:numId="173">
    <w:abstractNumId w:val="78"/>
  </w:num>
  <w:num w:numId="174">
    <w:abstractNumId w:val="78"/>
  </w:num>
  <w:num w:numId="175">
    <w:abstractNumId w:val="78"/>
  </w:num>
  <w:num w:numId="176">
    <w:abstractNumId w:val="78"/>
  </w:num>
  <w:num w:numId="177">
    <w:abstractNumId w:val="78"/>
  </w:num>
  <w:num w:numId="178">
    <w:abstractNumId w:val="78"/>
  </w:num>
  <w:num w:numId="179">
    <w:abstractNumId w:val="78"/>
  </w:num>
  <w:num w:numId="180">
    <w:abstractNumId w:val="78"/>
  </w:num>
  <w:num w:numId="181">
    <w:abstractNumId w:val="78"/>
  </w:num>
  <w:num w:numId="182">
    <w:abstractNumId w:val="78"/>
  </w:num>
  <w:num w:numId="183">
    <w:abstractNumId w:val="78"/>
  </w:num>
  <w:num w:numId="184">
    <w:abstractNumId w:val="78"/>
  </w:num>
  <w:num w:numId="185">
    <w:abstractNumId w:val="78"/>
  </w:num>
  <w:num w:numId="186">
    <w:abstractNumId w:val="78"/>
  </w:num>
  <w:num w:numId="187">
    <w:abstractNumId w:val="78"/>
  </w:num>
  <w:num w:numId="188">
    <w:abstractNumId w:val="78"/>
  </w:num>
  <w:num w:numId="189">
    <w:abstractNumId w:val="78"/>
  </w:num>
  <w:num w:numId="190">
    <w:abstractNumId w:val="78"/>
  </w:num>
  <w:num w:numId="191">
    <w:abstractNumId w:val="78"/>
  </w:num>
  <w:num w:numId="192">
    <w:abstractNumId w:val="78"/>
  </w:num>
  <w:num w:numId="193">
    <w:abstractNumId w:val="78"/>
  </w:num>
  <w:num w:numId="194">
    <w:abstractNumId w:val="78"/>
  </w:num>
  <w:num w:numId="195">
    <w:abstractNumId w:val="78"/>
  </w:num>
  <w:num w:numId="196">
    <w:abstractNumId w:val="48"/>
  </w:num>
  <w:num w:numId="197">
    <w:abstractNumId w:val="34"/>
  </w:num>
  <w:num w:numId="198">
    <w:abstractNumId w:val="72"/>
  </w:num>
  <w:num w:numId="199">
    <w:abstractNumId w:val="3"/>
  </w:num>
  <w:num w:numId="200">
    <w:abstractNumId w:val="88"/>
  </w:num>
  <w:num w:numId="201">
    <w:abstractNumId w:val="37"/>
  </w:num>
  <w:num w:numId="202">
    <w:abstractNumId w:val="54"/>
  </w:num>
  <w:num w:numId="203">
    <w:abstractNumId w:val="25"/>
  </w:num>
  <w:num w:numId="204">
    <w:abstractNumId w:val="92"/>
  </w:num>
  <w:num w:numId="205">
    <w:abstractNumId w:val="9"/>
  </w:num>
  <w:num w:numId="206">
    <w:abstractNumId w:val="19"/>
  </w:num>
  <w:num w:numId="207">
    <w:abstractNumId w:val="79"/>
  </w:num>
  <w:num w:numId="208">
    <w:abstractNumId w:val="44"/>
  </w:num>
  <w:num w:numId="209">
    <w:abstractNumId w:val="64"/>
  </w:num>
  <w:num w:numId="210">
    <w:abstractNumId w:val="39"/>
  </w:num>
  <w:num w:numId="211">
    <w:abstractNumId w:val="55"/>
  </w:num>
  <w:num w:numId="212">
    <w:abstractNumId w:val="4"/>
  </w:num>
  <w:num w:numId="213">
    <w:abstractNumId w:val="70"/>
  </w:num>
  <w:numIdMacAtCleanup w:val="2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bordersDoNotSurroundHeader/>
  <w:bordersDoNotSurroundFooter/>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2E97"/>
    <w:rsid w:val="00000999"/>
    <w:rsid w:val="00002488"/>
    <w:rsid w:val="000029A2"/>
    <w:rsid w:val="00002FD1"/>
    <w:rsid w:val="00003E62"/>
    <w:rsid w:val="00006511"/>
    <w:rsid w:val="0000706E"/>
    <w:rsid w:val="0000750C"/>
    <w:rsid w:val="00010756"/>
    <w:rsid w:val="000124CB"/>
    <w:rsid w:val="00013DCC"/>
    <w:rsid w:val="000144E0"/>
    <w:rsid w:val="00014B7E"/>
    <w:rsid w:val="00014C14"/>
    <w:rsid w:val="0001502B"/>
    <w:rsid w:val="0001610C"/>
    <w:rsid w:val="000174BA"/>
    <w:rsid w:val="0001786B"/>
    <w:rsid w:val="00021BFD"/>
    <w:rsid w:val="00022064"/>
    <w:rsid w:val="000221BC"/>
    <w:rsid w:val="000222CF"/>
    <w:rsid w:val="0002289C"/>
    <w:rsid w:val="0002338F"/>
    <w:rsid w:val="00023680"/>
    <w:rsid w:val="00024A0C"/>
    <w:rsid w:val="00025B7C"/>
    <w:rsid w:val="000264CB"/>
    <w:rsid w:val="0002673D"/>
    <w:rsid w:val="00026B2E"/>
    <w:rsid w:val="00026F48"/>
    <w:rsid w:val="00030D34"/>
    <w:rsid w:val="0003107C"/>
    <w:rsid w:val="00031871"/>
    <w:rsid w:val="00031BAA"/>
    <w:rsid w:val="00031BED"/>
    <w:rsid w:val="000328C9"/>
    <w:rsid w:val="00033AFD"/>
    <w:rsid w:val="00033DCF"/>
    <w:rsid w:val="0003459E"/>
    <w:rsid w:val="00036039"/>
    <w:rsid w:val="000364E4"/>
    <w:rsid w:val="00036CC9"/>
    <w:rsid w:val="000377D0"/>
    <w:rsid w:val="00037ACF"/>
    <w:rsid w:val="00037F90"/>
    <w:rsid w:val="000408F0"/>
    <w:rsid w:val="00042465"/>
    <w:rsid w:val="00043263"/>
    <w:rsid w:val="00043AE0"/>
    <w:rsid w:val="00044005"/>
    <w:rsid w:val="00044DBB"/>
    <w:rsid w:val="000451EF"/>
    <w:rsid w:val="00045357"/>
    <w:rsid w:val="0004588B"/>
    <w:rsid w:val="000469AD"/>
    <w:rsid w:val="0004709E"/>
    <w:rsid w:val="00047507"/>
    <w:rsid w:val="00047D03"/>
    <w:rsid w:val="00050827"/>
    <w:rsid w:val="000534BE"/>
    <w:rsid w:val="00053A62"/>
    <w:rsid w:val="00053B8E"/>
    <w:rsid w:val="00053C6B"/>
    <w:rsid w:val="0005462F"/>
    <w:rsid w:val="00055022"/>
    <w:rsid w:val="00056479"/>
    <w:rsid w:val="00056DF3"/>
    <w:rsid w:val="0006093B"/>
    <w:rsid w:val="00061977"/>
    <w:rsid w:val="00061C77"/>
    <w:rsid w:val="00061D4F"/>
    <w:rsid w:val="0006206A"/>
    <w:rsid w:val="000627C7"/>
    <w:rsid w:val="00063AE3"/>
    <w:rsid w:val="00063FD5"/>
    <w:rsid w:val="00065A2C"/>
    <w:rsid w:val="00066996"/>
    <w:rsid w:val="000703CC"/>
    <w:rsid w:val="000713EC"/>
    <w:rsid w:val="000716EB"/>
    <w:rsid w:val="00071EC5"/>
    <w:rsid w:val="000720A3"/>
    <w:rsid w:val="00075704"/>
    <w:rsid w:val="00076376"/>
    <w:rsid w:val="000777BF"/>
    <w:rsid w:val="000813B8"/>
    <w:rsid w:val="00081E93"/>
    <w:rsid w:val="000851ED"/>
    <w:rsid w:val="00085BAB"/>
    <w:rsid w:val="00087056"/>
    <w:rsid w:val="000875BF"/>
    <w:rsid w:val="00087E74"/>
    <w:rsid w:val="000908CC"/>
    <w:rsid w:val="00090AC8"/>
    <w:rsid w:val="00090FAF"/>
    <w:rsid w:val="00090FCB"/>
    <w:rsid w:val="000917E7"/>
    <w:rsid w:val="00091835"/>
    <w:rsid w:val="00092059"/>
    <w:rsid w:val="0009236C"/>
    <w:rsid w:val="00093A13"/>
    <w:rsid w:val="00093C35"/>
    <w:rsid w:val="00094355"/>
    <w:rsid w:val="00095726"/>
    <w:rsid w:val="00095F80"/>
    <w:rsid w:val="00096D8C"/>
    <w:rsid w:val="000A0548"/>
    <w:rsid w:val="000A0CF1"/>
    <w:rsid w:val="000A189B"/>
    <w:rsid w:val="000A208C"/>
    <w:rsid w:val="000A2FE4"/>
    <w:rsid w:val="000A33D8"/>
    <w:rsid w:val="000A4491"/>
    <w:rsid w:val="000A5BE4"/>
    <w:rsid w:val="000A70A8"/>
    <w:rsid w:val="000B0346"/>
    <w:rsid w:val="000B0494"/>
    <w:rsid w:val="000B0A01"/>
    <w:rsid w:val="000B138E"/>
    <w:rsid w:val="000B282B"/>
    <w:rsid w:val="000B387B"/>
    <w:rsid w:val="000B3A2E"/>
    <w:rsid w:val="000B431B"/>
    <w:rsid w:val="000B6294"/>
    <w:rsid w:val="000B70C9"/>
    <w:rsid w:val="000C0B65"/>
    <w:rsid w:val="000C1764"/>
    <w:rsid w:val="000C1F85"/>
    <w:rsid w:val="000C2C05"/>
    <w:rsid w:val="000C3284"/>
    <w:rsid w:val="000C397C"/>
    <w:rsid w:val="000C55C3"/>
    <w:rsid w:val="000C5D06"/>
    <w:rsid w:val="000D0A33"/>
    <w:rsid w:val="000D0CFF"/>
    <w:rsid w:val="000D0F75"/>
    <w:rsid w:val="000D1599"/>
    <w:rsid w:val="000D1E5A"/>
    <w:rsid w:val="000D258F"/>
    <w:rsid w:val="000D3059"/>
    <w:rsid w:val="000D5039"/>
    <w:rsid w:val="000D52D6"/>
    <w:rsid w:val="000D5F97"/>
    <w:rsid w:val="000D65B9"/>
    <w:rsid w:val="000D6D9E"/>
    <w:rsid w:val="000D74BA"/>
    <w:rsid w:val="000D7794"/>
    <w:rsid w:val="000E0DA5"/>
    <w:rsid w:val="000E18D8"/>
    <w:rsid w:val="000E2441"/>
    <w:rsid w:val="000E2DFC"/>
    <w:rsid w:val="000E31D1"/>
    <w:rsid w:val="000E3D42"/>
    <w:rsid w:val="000E4DF2"/>
    <w:rsid w:val="000E4ECA"/>
    <w:rsid w:val="000E55E4"/>
    <w:rsid w:val="000E7620"/>
    <w:rsid w:val="000F08DD"/>
    <w:rsid w:val="000F0BAB"/>
    <w:rsid w:val="000F353E"/>
    <w:rsid w:val="000F372E"/>
    <w:rsid w:val="000F4872"/>
    <w:rsid w:val="000F4994"/>
    <w:rsid w:val="000F4BE2"/>
    <w:rsid w:val="000F4FA8"/>
    <w:rsid w:val="000F5B9D"/>
    <w:rsid w:val="000F6776"/>
    <w:rsid w:val="000F6F56"/>
    <w:rsid w:val="000F7310"/>
    <w:rsid w:val="00100E3B"/>
    <w:rsid w:val="00102E6D"/>
    <w:rsid w:val="001033E7"/>
    <w:rsid w:val="00103633"/>
    <w:rsid w:val="00104952"/>
    <w:rsid w:val="00104B5C"/>
    <w:rsid w:val="00106701"/>
    <w:rsid w:val="00106F66"/>
    <w:rsid w:val="00107BA5"/>
    <w:rsid w:val="001101BC"/>
    <w:rsid w:val="001109B4"/>
    <w:rsid w:val="00110D29"/>
    <w:rsid w:val="0011148A"/>
    <w:rsid w:val="001114FF"/>
    <w:rsid w:val="00111D00"/>
    <w:rsid w:val="00112600"/>
    <w:rsid w:val="00112767"/>
    <w:rsid w:val="00113993"/>
    <w:rsid w:val="001169C1"/>
    <w:rsid w:val="00116AC9"/>
    <w:rsid w:val="00121BAF"/>
    <w:rsid w:val="00121DAC"/>
    <w:rsid w:val="00122BD5"/>
    <w:rsid w:val="00122EE3"/>
    <w:rsid w:val="0012353E"/>
    <w:rsid w:val="0012425D"/>
    <w:rsid w:val="0012474F"/>
    <w:rsid w:val="001249CC"/>
    <w:rsid w:val="00124B65"/>
    <w:rsid w:val="00125DDE"/>
    <w:rsid w:val="0012607F"/>
    <w:rsid w:val="00126553"/>
    <w:rsid w:val="00126FD2"/>
    <w:rsid w:val="001271B3"/>
    <w:rsid w:val="0012733C"/>
    <w:rsid w:val="001275DC"/>
    <w:rsid w:val="00131DD1"/>
    <w:rsid w:val="001336C7"/>
    <w:rsid w:val="001342CD"/>
    <w:rsid w:val="00135172"/>
    <w:rsid w:val="00135337"/>
    <w:rsid w:val="00135FEB"/>
    <w:rsid w:val="001363BB"/>
    <w:rsid w:val="001364BD"/>
    <w:rsid w:val="001367CB"/>
    <w:rsid w:val="00136EEE"/>
    <w:rsid w:val="001409BF"/>
    <w:rsid w:val="001409D7"/>
    <w:rsid w:val="001427FE"/>
    <w:rsid w:val="00142CC8"/>
    <w:rsid w:val="00144852"/>
    <w:rsid w:val="00144B4A"/>
    <w:rsid w:val="00144DE0"/>
    <w:rsid w:val="00146679"/>
    <w:rsid w:val="00146F08"/>
    <w:rsid w:val="0014730F"/>
    <w:rsid w:val="00151569"/>
    <w:rsid w:val="00152266"/>
    <w:rsid w:val="0015318F"/>
    <w:rsid w:val="001554B1"/>
    <w:rsid w:val="0015666D"/>
    <w:rsid w:val="00156DA1"/>
    <w:rsid w:val="001576D2"/>
    <w:rsid w:val="00160730"/>
    <w:rsid w:val="0016220E"/>
    <w:rsid w:val="0016256D"/>
    <w:rsid w:val="00162795"/>
    <w:rsid w:val="00165897"/>
    <w:rsid w:val="0016601F"/>
    <w:rsid w:val="0016642C"/>
    <w:rsid w:val="00167823"/>
    <w:rsid w:val="001679CB"/>
    <w:rsid w:val="00167B67"/>
    <w:rsid w:val="001702C2"/>
    <w:rsid w:val="00170651"/>
    <w:rsid w:val="001706E1"/>
    <w:rsid w:val="0017211E"/>
    <w:rsid w:val="00173536"/>
    <w:rsid w:val="00173B3D"/>
    <w:rsid w:val="001753AA"/>
    <w:rsid w:val="00176883"/>
    <w:rsid w:val="0017799C"/>
    <w:rsid w:val="00177B37"/>
    <w:rsid w:val="00182108"/>
    <w:rsid w:val="00182905"/>
    <w:rsid w:val="0018395C"/>
    <w:rsid w:val="00184B58"/>
    <w:rsid w:val="00184C74"/>
    <w:rsid w:val="0018612F"/>
    <w:rsid w:val="00186868"/>
    <w:rsid w:val="00186CE4"/>
    <w:rsid w:val="00190577"/>
    <w:rsid w:val="00191201"/>
    <w:rsid w:val="0019136A"/>
    <w:rsid w:val="00191448"/>
    <w:rsid w:val="00195446"/>
    <w:rsid w:val="00196DED"/>
    <w:rsid w:val="001974D5"/>
    <w:rsid w:val="001975A2"/>
    <w:rsid w:val="00197C23"/>
    <w:rsid w:val="001A02AB"/>
    <w:rsid w:val="001A0E79"/>
    <w:rsid w:val="001A0F48"/>
    <w:rsid w:val="001A2187"/>
    <w:rsid w:val="001A24F8"/>
    <w:rsid w:val="001A3090"/>
    <w:rsid w:val="001A31B2"/>
    <w:rsid w:val="001A3DD9"/>
    <w:rsid w:val="001A4061"/>
    <w:rsid w:val="001A4A05"/>
    <w:rsid w:val="001A5546"/>
    <w:rsid w:val="001A5640"/>
    <w:rsid w:val="001A58C6"/>
    <w:rsid w:val="001A6572"/>
    <w:rsid w:val="001B0F5F"/>
    <w:rsid w:val="001B2E82"/>
    <w:rsid w:val="001B38D8"/>
    <w:rsid w:val="001B405D"/>
    <w:rsid w:val="001B5EF0"/>
    <w:rsid w:val="001B5EF5"/>
    <w:rsid w:val="001B6319"/>
    <w:rsid w:val="001B6402"/>
    <w:rsid w:val="001B6A1B"/>
    <w:rsid w:val="001B7A7B"/>
    <w:rsid w:val="001C1096"/>
    <w:rsid w:val="001C1AA9"/>
    <w:rsid w:val="001C2DD4"/>
    <w:rsid w:val="001C5207"/>
    <w:rsid w:val="001C6BD4"/>
    <w:rsid w:val="001C7351"/>
    <w:rsid w:val="001C7822"/>
    <w:rsid w:val="001D15D3"/>
    <w:rsid w:val="001D1A96"/>
    <w:rsid w:val="001D1FB9"/>
    <w:rsid w:val="001D41A3"/>
    <w:rsid w:val="001D5EAD"/>
    <w:rsid w:val="001D66DC"/>
    <w:rsid w:val="001D6A45"/>
    <w:rsid w:val="001D6BAC"/>
    <w:rsid w:val="001D6BCF"/>
    <w:rsid w:val="001D748C"/>
    <w:rsid w:val="001D79C8"/>
    <w:rsid w:val="001E01CA"/>
    <w:rsid w:val="001E0411"/>
    <w:rsid w:val="001E128A"/>
    <w:rsid w:val="001E4E99"/>
    <w:rsid w:val="001E7D0A"/>
    <w:rsid w:val="001F02D0"/>
    <w:rsid w:val="001F0D29"/>
    <w:rsid w:val="001F16F3"/>
    <w:rsid w:val="001F2E0E"/>
    <w:rsid w:val="001F3D8D"/>
    <w:rsid w:val="001F40DB"/>
    <w:rsid w:val="001F4F9D"/>
    <w:rsid w:val="001F6926"/>
    <w:rsid w:val="0020067D"/>
    <w:rsid w:val="0020091F"/>
    <w:rsid w:val="00201DCA"/>
    <w:rsid w:val="00203334"/>
    <w:rsid w:val="00204381"/>
    <w:rsid w:val="00205144"/>
    <w:rsid w:val="00205403"/>
    <w:rsid w:val="00206D81"/>
    <w:rsid w:val="00210A18"/>
    <w:rsid w:val="00212028"/>
    <w:rsid w:val="00212F16"/>
    <w:rsid w:val="00214CEF"/>
    <w:rsid w:val="00214FC8"/>
    <w:rsid w:val="00215F68"/>
    <w:rsid w:val="00216175"/>
    <w:rsid w:val="0021689C"/>
    <w:rsid w:val="002169FA"/>
    <w:rsid w:val="0021796F"/>
    <w:rsid w:val="00217E26"/>
    <w:rsid w:val="00217ED6"/>
    <w:rsid w:val="00220A36"/>
    <w:rsid w:val="0022279C"/>
    <w:rsid w:val="00222EA5"/>
    <w:rsid w:val="00222EF7"/>
    <w:rsid w:val="00223AAA"/>
    <w:rsid w:val="00224E45"/>
    <w:rsid w:val="00227056"/>
    <w:rsid w:val="00227507"/>
    <w:rsid w:val="002278D9"/>
    <w:rsid w:val="00227E74"/>
    <w:rsid w:val="0023046D"/>
    <w:rsid w:val="00231798"/>
    <w:rsid w:val="00231CD5"/>
    <w:rsid w:val="002324AB"/>
    <w:rsid w:val="00232D86"/>
    <w:rsid w:val="0023404A"/>
    <w:rsid w:val="00234D0D"/>
    <w:rsid w:val="00235F5A"/>
    <w:rsid w:val="00236200"/>
    <w:rsid w:val="002401E8"/>
    <w:rsid w:val="0024070B"/>
    <w:rsid w:val="00240AE5"/>
    <w:rsid w:val="00240D0C"/>
    <w:rsid w:val="00241447"/>
    <w:rsid w:val="00241E90"/>
    <w:rsid w:val="00242179"/>
    <w:rsid w:val="00244735"/>
    <w:rsid w:val="00245C95"/>
    <w:rsid w:val="00246D97"/>
    <w:rsid w:val="00247E8F"/>
    <w:rsid w:val="002512A5"/>
    <w:rsid w:val="00251607"/>
    <w:rsid w:val="0025309B"/>
    <w:rsid w:val="002530BF"/>
    <w:rsid w:val="00253800"/>
    <w:rsid w:val="002540E0"/>
    <w:rsid w:val="00254366"/>
    <w:rsid w:val="00261228"/>
    <w:rsid w:val="002618CC"/>
    <w:rsid w:val="002620A5"/>
    <w:rsid w:val="0026221A"/>
    <w:rsid w:val="0026280F"/>
    <w:rsid w:val="0026325B"/>
    <w:rsid w:val="00263B21"/>
    <w:rsid w:val="00264562"/>
    <w:rsid w:val="00264ACD"/>
    <w:rsid w:val="00265EF7"/>
    <w:rsid w:val="002662A7"/>
    <w:rsid w:val="002662F6"/>
    <w:rsid w:val="00266BFB"/>
    <w:rsid w:val="00267E69"/>
    <w:rsid w:val="00270211"/>
    <w:rsid w:val="0027510E"/>
    <w:rsid w:val="002804B5"/>
    <w:rsid w:val="00281043"/>
    <w:rsid w:val="0028177A"/>
    <w:rsid w:val="00282589"/>
    <w:rsid w:val="00282BFB"/>
    <w:rsid w:val="00282F61"/>
    <w:rsid w:val="002832AB"/>
    <w:rsid w:val="00283597"/>
    <w:rsid w:val="00284947"/>
    <w:rsid w:val="00285017"/>
    <w:rsid w:val="002853DC"/>
    <w:rsid w:val="00285594"/>
    <w:rsid w:val="002906DB"/>
    <w:rsid w:val="002910AB"/>
    <w:rsid w:val="0029110E"/>
    <w:rsid w:val="00291D79"/>
    <w:rsid w:val="00291F81"/>
    <w:rsid w:val="00292321"/>
    <w:rsid w:val="00294463"/>
    <w:rsid w:val="0029626B"/>
    <w:rsid w:val="00296957"/>
    <w:rsid w:val="00296C5F"/>
    <w:rsid w:val="0029738E"/>
    <w:rsid w:val="00297CAB"/>
    <w:rsid w:val="00297EC5"/>
    <w:rsid w:val="002A02A4"/>
    <w:rsid w:val="002A0823"/>
    <w:rsid w:val="002A23A9"/>
    <w:rsid w:val="002A23FC"/>
    <w:rsid w:val="002A2D2E"/>
    <w:rsid w:val="002A3C08"/>
    <w:rsid w:val="002A3F35"/>
    <w:rsid w:val="002A4654"/>
    <w:rsid w:val="002A5125"/>
    <w:rsid w:val="002A6889"/>
    <w:rsid w:val="002B00ED"/>
    <w:rsid w:val="002B07D3"/>
    <w:rsid w:val="002B1CF7"/>
    <w:rsid w:val="002B605E"/>
    <w:rsid w:val="002B7D6B"/>
    <w:rsid w:val="002B7E8A"/>
    <w:rsid w:val="002C104B"/>
    <w:rsid w:val="002C15D8"/>
    <w:rsid w:val="002C2700"/>
    <w:rsid w:val="002C27CC"/>
    <w:rsid w:val="002C3684"/>
    <w:rsid w:val="002C5337"/>
    <w:rsid w:val="002C53B3"/>
    <w:rsid w:val="002C55CA"/>
    <w:rsid w:val="002C6BE9"/>
    <w:rsid w:val="002C7034"/>
    <w:rsid w:val="002C75FA"/>
    <w:rsid w:val="002D2992"/>
    <w:rsid w:val="002D29F2"/>
    <w:rsid w:val="002D3293"/>
    <w:rsid w:val="002D3A8E"/>
    <w:rsid w:val="002D43D2"/>
    <w:rsid w:val="002D59A5"/>
    <w:rsid w:val="002D6B41"/>
    <w:rsid w:val="002D7446"/>
    <w:rsid w:val="002D7933"/>
    <w:rsid w:val="002E0605"/>
    <w:rsid w:val="002E13A2"/>
    <w:rsid w:val="002E1BBE"/>
    <w:rsid w:val="002E1F32"/>
    <w:rsid w:val="002E4226"/>
    <w:rsid w:val="002E45B1"/>
    <w:rsid w:val="002E4B58"/>
    <w:rsid w:val="002E68CC"/>
    <w:rsid w:val="002E746E"/>
    <w:rsid w:val="002E747D"/>
    <w:rsid w:val="002E7AA5"/>
    <w:rsid w:val="002E7B39"/>
    <w:rsid w:val="002F0378"/>
    <w:rsid w:val="002F0A4A"/>
    <w:rsid w:val="002F1C98"/>
    <w:rsid w:val="002F1F87"/>
    <w:rsid w:val="002F27F3"/>
    <w:rsid w:val="002F34FB"/>
    <w:rsid w:val="002F3879"/>
    <w:rsid w:val="002F3B0E"/>
    <w:rsid w:val="002F3FCC"/>
    <w:rsid w:val="002F4333"/>
    <w:rsid w:val="002F514F"/>
    <w:rsid w:val="002F58A1"/>
    <w:rsid w:val="002F7254"/>
    <w:rsid w:val="002F7425"/>
    <w:rsid w:val="00300FD6"/>
    <w:rsid w:val="00302032"/>
    <w:rsid w:val="00302F40"/>
    <w:rsid w:val="00303891"/>
    <w:rsid w:val="00303B70"/>
    <w:rsid w:val="003044E3"/>
    <w:rsid w:val="0030545A"/>
    <w:rsid w:val="0030598C"/>
    <w:rsid w:val="00305C3F"/>
    <w:rsid w:val="003060B3"/>
    <w:rsid w:val="0030653F"/>
    <w:rsid w:val="003065A2"/>
    <w:rsid w:val="00306DEA"/>
    <w:rsid w:val="003073B3"/>
    <w:rsid w:val="00310B18"/>
    <w:rsid w:val="00311B37"/>
    <w:rsid w:val="0031457E"/>
    <w:rsid w:val="00314864"/>
    <w:rsid w:val="00315401"/>
    <w:rsid w:val="003157FC"/>
    <w:rsid w:val="00315E11"/>
    <w:rsid w:val="00320469"/>
    <w:rsid w:val="00321BF0"/>
    <w:rsid w:val="00323994"/>
    <w:rsid w:val="00325405"/>
    <w:rsid w:val="00325774"/>
    <w:rsid w:val="003278FC"/>
    <w:rsid w:val="00327A54"/>
    <w:rsid w:val="00330566"/>
    <w:rsid w:val="00331878"/>
    <w:rsid w:val="00332EEA"/>
    <w:rsid w:val="00335078"/>
    <w:rsid w:val="00335AD3"/>
    <w:rsid w:val="00335DAC"/>
    <w:rsid w:val="00335F8A"/>
    <w:rsid w:val="00336E06"/>
    <w:rsid w:val="00341C2F"/>
    <w:rsid w:val="003421C1"/>
    <w:rsid w:val="00342A77"/>
    <w:rsid w:val="00343749"/>
    <w:rsid w:val="00343F25"/>
    <w:rsid w:val="003445A5"/>
    <w:rsid w:val="00344EA1"/>
    <w:rsid w:val="00345AAF"/>
    <w:rsid w:val="0034701D"/>
    <w:rsid w:val="00347E0C"/>
    <w:rsid w:val="00347EE7"/>
    <w:rsid w:val="003509DA"/>
    <w:rsid w:val="00351149"/>
    <w:rsid w:val="00351475"/>
    <w:rsid w:val="0035166F"/>
    <w:rsid w:val="0035207C"/>
    <w:rsid w:val="003522BC"/>
    <w:rsid w:val="00352362"/>
    <w:rsid w:val="00352649"/>
    <w:rsid w:val="0035375B"/>
    <w:rsid w:val="00353D1A"/>
    <w:rsid w:val="00354A1F"/>
    <w:rsid w:val="00354B60"/>
    <w:rsid w:val="003556F3"/>
    <w:rsid w:val="003566E6"/>
    <w:rsid w:val="0035753F"/>
    <w:rsid w:val="00357869"/>
    <w:rsid w:val="003578F1"/>
    <w:rsid w:val="003607A2"/>
    <w:rsid w:val="00361192"/>
    <w:rsid w:val="00361CBD"/>
    <w:rsid w:val="003622CC"/>
    <w:rsid w:val="00362D4D"/>
    <w:rsid w:val="00365783"/>
    <w:rsid w:val="00365AF7"/>
    <w:rsid w:val="00365D67"/>
    <w:rsid w:val="0036678A"/>
    <w:rsid w:val="0036764B"/>
    <w:rsid w:val="00367A13"/>
    <w:rsid w:val="00367CD1"/>
    <w:rsid w:val="00370080"/>
    <w:rsid w:val="0037069F"/>
    <w:rsid w:val="00370D36"/>
    <w:rsid w:val="0037170C"/>
    <w:rsid w:val="00371DB8"/>
    <w:rsid w:val="003722ED"/>
    <w:rsid w:val="00372DAB"/>
    <w:rsid w:val="00373174"/>
    <w:rsid w:val="00373176"/>
    <w:rsid w:val="003737B6"/>
    <w:rsid w:val="00373A89"/>
    <w:rsid w:val="00373E0C"/>
    <w:rsid w:val="00376AF0"/>
    <w:rsid w:val="0037799F"/>
    <w:rsid w:val="003779BF"/>
    <w:rsid w:val="00380492"/>
    <w:rsid w:val="00380EFA"/>
    <w:rsid w:val="00382A00"/>
    <w:rsid w:val="0038310D"/>
    <w:rsid w:val="0038557C"/>
    <w:rsid w:val="003901A0"/>
    <w:rsid w:val="003901C9"/>
    <w:rsid w:val="003917B4"/>
    <w:rsid w:val="00391852"/>
    <w:rsid w:val="00392F45"/>
    <w:rsid w:val="0039376E"/>
    <w:rsid w:val="0039389B"/>
    <w:rsid w:val="00394E5D"/>
    <w:rsid w:val="00396528"/>
    <w:rsid w:val="003A05F5"/>
    <w:rsid w:val="003A07CF"/>
    <w:rsid w:val="003A1186"/>
    <w:rsid w:val="003A1E2E"/>
    <w:rsid w:val="003A358F"/>
    <w:rsid w:val="003A39BC"/>
    <w:rsid w:val="003A4993"/>
    <w:rsid w:val="003A642F"/>
    <w:rsid w:val="003A695F"/>
    <w:rsid w:val="003B04DA"/>
    <w:rsid w:val="003B0550"/>
    <w:rsid w:val="003B06B6"/>
    <w:rsid w:val="003B22A4"/>
    <w:rsid w:val="003B257B"/>
    <w:rsid w:val="003B4137"/>
    <w:rsid w:val="003B5316"/>
    <w:rsid w:val="003B5401"/>
    <w:rsid w:val="003B5A50"/>
    <w:rsid w:val="003B5E76"/>
    <w:rsid w:val="003B5E9F"/>
    <w:rsid w:val="003B5F11"/>
    <w:rsid w:val="003B694F"/>
    <w:rsid w:val="003B7EB7"/>
    <w:rsid w:val="003C07F1"/>
    <w:rsid w:val="003C0C14"/>
    <w:rsid w:val="003C0CBD"/>
    <w:rsid w:val="003C1652"/>
    <w:rsid w:val="003C22B1"/>
    <w:rsid w:val="003C2950"/>
    <w:rsid w:val="003C3E64"/>
    <w:rsid w:val="003C4861"/>
    <w:rsid w:val="003C4948"/>
    <w:rsid w:val="003C495B"/>
    <w:rsid w:val="003C4E15"/>
    <w:rsid w:val="003C505E"/>
    <w:rsid w:val="003C5DB2"/>
    <w:rsid w:val="003C60F3"/>
    <w:rsid w:val="003C6873"/>
    <w:rsid w:val="003C75CD"/>
    <w:rsid w:val="003C7FE2"/>
    <w:rsid w:val="003D0802"/>
    <w:rsid w:val="003D0CB2"/>
    <w:rsid w:val="003D0E51"/>
    <w:rsid w:val="003D2B4B"/>
    <w:rsid w:val="003D2C84"/>
    <w:rsid w:val="003D3D2F"/>
    <w:rsid w:val="003D3F56"/>
    <w:rsid w:val="003D49B0"/>
    <w:rsid w:val="003D4CE2"/>
    <w:rsid w:val="003D5731"/>
    <w:rsid w:val="003D73FB"/>
    <w:rsid w:val="003E0CB2"/>
    <w:rsid w:val="003E2EAF"/>
    <w:rsid w:val="003E31E6"/>
    <w:rsid w:val="003E3245"/>
    <w:rsid w:val="003E33B8"/>
    <w:rsid w:val="003E4041"/>
    <w:rsid w:val="003E50AF"/>
    <w:rsid w:val="003E5587"/>
    <w:rsid w:val="003E6EC4"/>
    <w:rsid w:val="003E7A1B"/>
    <w:rsid w:val="003F0046"/>
    <w:rsid w:val="003F171C"/>
    <w:rsid w:val="003F2167"/>
    <w:rsid w:val="003F2EE0"/>
    <w:rsid w:val="003F30CC"/>
    <w:rsid w:val="003F33FE"/>
    <w:rsid w:val="003F435D"/>
    <w:rsid w:val="003F4A7E"/>
    <w:rsid w:val="003F4B3B"/>
    <w:rsid w:val="003F4E11"/>
    <w:rsid w:val="003F4E29"/>
    <w:rsid w:val="003F5725"/>
    <w:rsid w:val="003F5E1C"/>
    <w:rsid w:val="003F5FC1"/>
    <w:rsid w:val="004025CF"/>
    <w:rsid w:val="004029EC"/>
    <w:rsid w:val="00402F75"/>
    <w:rsid w:val="004053E9"/>
    <w:rsid w:val="004059B7"/>
    <w:rsid w:val="004062D4"/>
    <w:rsid w:val="0040657A"/>
    <w:rsid w:val="004074F4"/>
    <w:rsid w:val="004075F1"/>
    <w:rsid w:val="00410606"/>
    <w:rsid w:val="00410B88"/>
    <w:rsid w:val="00410BF3"/>
    <w:rsid w:val="004118B5"/>
    <w:rsid w:val="004126D1"/>
    <w:rsid w:val="00412FC5"/>
    <w:rsid w:val="00413063"/>
    <w:rsid w:val="0041356B"/>
    <w:rsid w:val="00413657"/>
    <w:rsid w:val="00414693"/>
    <w:rsid w:val="00414DF2"/>
    <w:rsid w:val="0041525C"/>
    <w:rsid w:val="0041596D"/>
    <w:rsid w:val="00415A5A"/>
    <w:rsid w:val="0041630B"/>
    <w:rsid w:val="0042048B"/>
    <w:rsid w:val="00420AD0"/>
    <w:rsid w:val="00420C01"/>
    <w:rsid w:val="0042202E"/>
    <w:rsid w:val="00422276"/>
    <w:rsid w:val="00422A99"/>
    <w:rsid w:val="004242F1"/>
    <w:rsid w:val="00424348"/>
    <w:rsid w:val="00425A33"/>
    <w:rsid w:val="00426688"/>
    <w:rsid w:val="0043297B"/>
    <w:rsid w:val="0043388B"/>
    <w:rsid w:val="00433945"/>
    <w:rsid w:val="00433F58"/>
    <w:rsid w:val="00434A8B"/>
    <w:rsid w:val="004374AC"/>
    <w:rsid w:val="00437B59"/>
    <w:rsid w:val="004408F8"/>
    <w:rsid w:val="004409B8"/>
    <w:rsid w:val="0044161B"/>
    <w:rsid w:val="00444818"/>
    <w:rsid w:val="00445A00"/>
    <w:rsid w:val="00445F3E"/>
    <w:rsid w:val="00447E88"/>
    <w:rsid w:val="004502A9"/>
    <w:rsid w:val="00451B0F"/>
    <w:rsid w:val="00452571"/>
    <w:rsid w:val="00452796"/>
    <w:rsid w:val="004534E0"/>
    <w:rsid w:val="00454BFE"/>
    <w:rsid w:val="00457A2B"/>
    <w:rsid w:val="00460955"/>
    <w:rsid w:val="00460F1D"/>
    <w:rsid w:val="00461924"/>
    <w:rsid w:val="00461AC9"/>
    <w:rsid w:val="00461E1D"/>
    <w:rsid w:val="00462090"/>
    <w:rsid w:val="00462F90"/>
    <w:rsid w:val="0046398E"/>
    <w:rsid w:val="00464B21"/>
    <w:rsid w:val="004651C4"/>
    <w:rsid w:val="00465AC9"/>
    <w:rsid w:val="00466ED3"/>
    <w:rsid w:val="004671A1"/>
    <w:rsid w:val="0046741A"/>
    <w:rsid w:val="00467975"/>
    <w:rsid w:val="004679D9"/>
    <w:rsid w:val="00467E1C"/>
    <w:rsid w:val="004702B3"/>
    <w:rsid w:val="00471443"/>
    <w:rsid w:val="00471B10"/>
    <w:rsid w:val="00474244"/>
    <w:rsid w:val="00474B67"/>
    <w:rsid w:val="0047540C"/>
    <w:rsid w:val="00475CE5"/>
    <w:rsid w:val="0047695D"/>
    <w:rsid w:val="004769C9"/>
    <w:rsid w:val="0048025B"/>
    <w:rsid w:val="00480B72"/>
    <w:rsid w:val="00480B91"/>
    <w:rsid w:val="00483C5B"/>
    <w:rsid w:val="00483DAA"/>
    <w:rsid w:val="0048445A"/>
    <w:rsid w:val="00485DAC"/>
    <w:rsid w:val="00487108"/>
    <w:rsid w:val="00487937"/>
    <w:rsid w:val="00490B7A"/>
    <w:rsid w:val="00490FCE"/>
    <w:rsid w:val="00491388"/>
    <w:rsid w:val="004915F8"/>
    <w:rsid w:val="004918AF"/>
    <w:rsid w:val="004930D0"/>
    <w:rsid w:val="0049317D"/>
    <w:rsid w:val="004931AD"/>
    <w:rsid w:val="004938D8"/>
    <w:rsid w:val="004940C4"/>
    <w:rsid w:val="0049415B"/>
    <w:rsid w:val="004959D4"/>
    <w:rsid w:val="0049684F"/>
    <w:rsid w:val="00497B5C"/>
    <w:rsid w:val="00497FC1"/>
    <w:rsid w:val="004A002B"/>
    <w:rsid w:val="004A03AA"/>
    <w:rsid w:val="004A29C6"/>
    <w:rsid w:val="004A321E"/>
    <w:rsid w:val="004A3AEC"/>
    <w:rsid w:val="004A3E02"/>
    <w:rsid w:val="004A4D1B"/>
    <w:rsid w:val="004A70B0"/>
    <w:rsid w:val="004B050F"/>
    <w:rsid w:val="004B106D"/>
    <w:rsid w:val="004B12A9"/>
    <w:rsid w:val="004B1467"/>
    <w:rsid w:val="004B2670"/>
    <w:rsid w:val="004B42DC"/>
    <w:rsid w:val="004B4E48"/>
    <w:rsid w:val="004B5AEA"/>
    <w:rsid w:val="004B5DF8"/>
    <w:rsid w:val="004B5FBE"/>
    <w:rsid w:val="004B62B0"/>
    <w:rsid w:val="004B6BFC"/>
    <w:rsid w:val="004B711C"/>
    <w:rsid w:val="004B768B"/>
    <w:rsid w:val="004B7A6C"/>
    <w:rsid w:val="004C0067"/>
    <w:rsid w:val="004C0B56"/>
    <w:rsid w:val="004C24F1"/>
    <w:rsid w:val="004C2EE3"/>
    <w:rsid w:val="004C32B2"/>
    <w:rsid w:val="004C3938"/>
    <w:rsid w:val="004C4F9D"/>
    <w:rsid w:val="004C6904"/>
    <w:rsid w:val="004C6B7A"/>
    <w:rsid w:val="004C6BD3"/>
    <w:rsid w:val="004C6BED"/>
    <w:rsid w:val="004D1121"/>
    <w:rsid w:val="004D1B40"/>
    <w:rsid w:val="004D3055"/>
    <w:rsid w:val="004D4895"/>
    <w:rsid w:val="004D5FA9"/>
    <w:rsid w:val="004E0483"/>
    <w:rsid w:val="004E0ABF"/>
    <w:rsid w:val="004E2D50"/>
    <w:rsid w:val="004E41F9"/>
    <w:rsid w:val="004E43B9"/>
    <w:rsid w:val="004E489F"/>
    <w:rsid w:val="004E4A22"/>
    <w:rsid w:val="004E4D31"/>
    <w:rsid w:val="004E4DC6"/>
    <w:rsid w:val="004E53B6"/>
    <w:rsid w:val="004E5606"/>
    <w:rsid w:val="004E73D3"/>
    <w:rsid w:val="004F1AB9"/>
    <w:rsid w:val="004F2024"/>
    <w:rsid w:val="004F30CE"/>
    <w:rsid w:val="004F322C"/>
    <w:rsid w:val="004F35AE"/>
    <w:rsid w:val="004F3C19"/>
    <w:rsid w:val="004F45AD"/>
    <w:rsid w:val="004F52DA"/>
    <w:rsid w:val="004F568A"/>
    <w:rsid w:val="004F594B"/>
    <w:rsid w:val="004F7AF6"/>
    <w:rsid w:val="00500DAE"/>
    <w:rsid w:val="00501A7D"/>
    <w:rsid w:val="00506B73"/>
    <w:rsid w:val="00506D39"/>
    <w:rsid w:val="005074D3"/>
    <w:rsid w:val="00510855"/>
    <w:rsid w:val="00511534"/>
    <w:rsid w:val="00511968"/>
    <w:rsid w:val="005121A0"/>
    <w:rsid w:val="00512CF6"/>
    <w:rsid w:val="00513328"/>
    <w:rsid w:val="005138FD"/>
    <w:rsid w:val="0051408B"/>
    <w:rsid w:val="00516608"/>
    <w:rsid w:val="0051686E"/>
    <w:rsid w:val="0051773F"/>
    <w:rsid w:val="00520D37"/>
    <w:rsid w:val="00521F3C"/>
    <w:rsid w:val="00522C99"/>
    <w:rsid w:val="00524AC0"/>
    <w:rsid w:val="00525302"/>
    <w:rsid w:val="0052542C"/>
    <w:rsid w:val="00530AC3"/>
    <w:rsid w:val="00531267"/>
    <w:rsid w:val="00531567"/>
    <w:rsid w:val="00532923"/>
    <w:rsid w:val="00532D8D"/>
    <w:rsid w:val="0053353A"/>
    <w:rsid w:val="00535812"/>
    <w:rsid w:val="00536CD5"/>
    <w:rsid w:val="00537564"/>
    <w:rsid w:val="00541482"/>
    <w:rsid w:val="005434C0"/>
    <w:rsid w:val="00543A8C"/>
    <w:rsid w:val="00544B6A"/>
    <w:rsid w:val="0054557B"/>
    <w:rsid w:val="00545699"/>
    <w:rsid w:val="00546841"/>
    <w:rsid w:val="0054779F"/>
    <w:rsid w:val="0055065E"/>
    <w:rsid w:val="005518B5"/>
    <w:rsid w:val="00552069"/>
    <w:rsid w:val="005521F8"/>
    <w:rsid w:val="00552329"/>
    <w:rsid w:val="00552B41"/>
    <w:rsid w:val="005534A2"/>
    <w:rsid w:val="0055394E"/>
    <w:rsid w:val="00553C81"/>
    <w:rsid w:val="00553D96"/>
    <w:rsid w:val="0055614C"/>
    <w:rsid w:val="005574C3"/>
    <w:rsid w:val="00557E8E"/>
    <w:rsid w:val="00561C98"/>
    <w:rsid w:val="00563814"/>
    <w:rsid w:val="00563CD6"/>
    <w:rsid w:val="00565857"/>
    <w:rsid w:val="00565BC6"/>
    <w:rsid w:val="00566598"/>
    <w:rsid w:val="00567F70"/>
    <w:rsid w:val="005741DE"/>
    <w:rsid w:val="00574A2F"/>
    <w:rsid w:val="00574A33"/>
    <w:rsid w:val="00576339"/>
    <w:rsid w:val="00580470"/>
    <w:rsid w:val="00580D95"/>
    <w:rsid w:val="005814BB"/>
    <w:rsid w:val="00581EEB"/>
    <w:rsid w:val="00582AE5"/>
    <w:rsid w:val="00582F8C"/>
    <w:rsid w:val="00585016"/>
    <w:rsid w:val="00585B13"/>
    <w:rsid w:val="00586C6A"/>
    <w:rsid w:val="00587F4C"/>
    <w:rsid w:val="00587FC5"/>
    <w:rsid w:val="00590A2E"/>
    <w:rsid w:val="00591ED2"/>
    <w:rsid w:val="005929E4"/>
    <w:rsid w:val="00593614"/>
    <w:rsid w:val="00593657"/>
    <w:rsid w:val="005957F5"/>
    <w:rsid w:val="0059647A"/>
    <w:rsid w:val="00596A57"/>
    <w:rsid w:val="0059709D"/>
    <w:rsid w:val="0059735C"/>
    <w:rsid w:val="00597445"/>
    <w:rsid w:val="005977C7"/>
    <w:rsid w:val="005977E7"/>
    <w:rsid w:val="00597A58"/>
    <w:rsid w:val="005A2F83"/>
    <w:rsid w:val="005A3507"/>
    <w:rsid w:val="005A3757"/>
    <w:rsid w:val="005A4362"/>
    <w:rsid w:val="005A5535"/>
    <w:rsid w:val="005A5562"/>
    <w:rsid w:val="005A5E18"/>
    <w:rsid w:val="005A5F71"/>
    <w:rsid w:val="005A784A"/>
    <w:rsid w:val="005B0CB6"/>
    <w:rsid w:val="005B1353"/>
    <w:rsid w:val="005B1679"/>
    <w:rsid w:val="005B3ACE"/>
    <w:rsid w:val="005B4E0F"/>
    <w:rsid w:val="005B59D9"/>
    <w:rsid w:val="005B79D9"/>
    <w:rsid w:val="005C0238"/>
    <w:rsid w:val="005C0814"/>
    <w:rsid w:val="005C28B3"/>
    <w:rsid w:val="005C2BEF"/>
    <w:rsid w:val="005C2C96"/>
    <w:rsid w:val="005C31DA"/>
    <w:rsid w:val="005C48E0"/>
    <w:rsid w:val="005C5BD8"/>
    <w:rsid w:val="005C78B5"/>
    <w:rsid w:val="005D065E"/>
    <w:rsid w:val="005D0E02"/>
    <w:rsid w:val="005D2380"/>
    <w:rsid w:val="005D26F1"/>
    <w:rsid w:val="005D29EE"/>
    <w:rsid w:val="005D337C"/>
    <w:rsid w:val="005D347D"/>
    <w:rsid w:val="005D3E97"/>
    <w:rsid w:val="005D3EFD"/>
    <w:rsid w:val="005D5047"/>
    <w:rsid w:val="005D572B"/>
    <w:rsid w:val="005D63AB"/>
    <w:rsid w:val="005D669C"/>
    <w:rsid w:val="005E01A1"/>
    <w:rsid w:val="005E01CC"/>
    <w:rsid w:val="005E0BF1"/>
    <w:rsid w:val="005E1739"/>
    <w:rsid w:val="005E1C0E"/>
    <w:rsid w:val="005E1D6C"/>
    <w:rsid w:val="005E1E16"/>
    <w:rsid w:val="005E385F"/>
    <w:rsid w:val="005E57E7"/>
    <w:rsid w:val="005E693D"/>
    <w:rsid w:val="005E6D4E"/>
    <w:rsid w:val="005E75C4"/>
    <w:rsid w:val="005F0F24"/>
    <w:rsid w:val="005F2CE3"/>
    <w:rsid w:val="005F3037"/>
    <w:rsid w:val="005F38C6"/>
    <w:rsid w:val="005F4653"/>
    <w:rsid w:val="005F59A4"/>
    <w:rsid w:val="005F5A49"/>
    <w:rsid w:val="005F6B0A"/>
    <w:rsid w:val="00600D45"/>
    <w:rsid w:val="006014E0"/>
    <w:rsid w:val="00602106"/>
    <w:rsid w:val="00603149"/>
    <w:rsid w:val="0060327E"/>
    <w:rsid w:val="00603452"/>
    <w:rsid w:val="00603A63"/>
    <w:rsid w:val="00607263"/>
    <w:rsid w:val="00607B36"/>
    <w:rsid w:val="00607BA5"/>
    <w:rsid w:val="00607E54"/>
    <w:rsid w:val="00611BC3"/>
    <w:rsid w:val="00612411"/>
    <w:rsid w:val="006125B7"/>
    <w:rsid w:val="00612C85"/>
    <w:rsid w:val="006153B9"/>
    <w:rsid w:val="00616DDA"/>
    <w:rsid w:val="00617024"/>
    <w:rsid w:val="0061777E"/>
    <w:rsid w:val="00617FA0"/>
    <w:rsid w:val="00620897"/>
    <w:rsid w:val="00620A8E"/>
    <w:rsid w:val="00622C95"/>
    <w:rsid w:val="0062407B"/>
    <w:rsid w:val="0062477E"/>
    <w:rsid w:val="00625065"/>
    <w:rsid w:val="00625882"/>
    <w:rsid w:val="006265F8"/>
    <w:rsid w:val="00626CD5"/>
    <w:rsid w:val="00626E6A"/>
    <w:rsid w:val="00626EB6"/>
    <w:rsid w:val="006270E6"/>
    <w:rsid w:val="00627C3E"/>
    <w:rsid w:val="00630675"/>
    <w:rsid w:val="00632395"/>
    <w:rsid w:val="00633A6A"/>
    <w:rsid w:val="006349F4"/>
    <w:rsid w:val="00635BCC"/>
    <w:rsid w:val="00636067"/>
    <w:rsid w:val="00637204"/>
    <w:rsid w:val="0063773C"/>
    <w:rsid w:val="006413B1"/>
    <w:rsid w:val="00642321"/>
    <w:rsid w:val="00643BA0"/>
    <w:rsid w:val="00643C89"/>
    <w:rsid w:val="006444D2"/>
    <w:rsid w:val="0064625A"/>
    <w:rsid w:val="00647347"/>
    <w:rsid w:val="00647BFF"/>
    <w:rsid w:val="0065079B"/>
    <w:rsid w:val="0065225B"/>
    <w:rsid w:val="00652311"/>
    <w:rsid w:val="006523CA"/>
    <w:rsid w:val="00653E15"/>
    <w:rsid w:val="00655D03"/>
    <w:rsid w:val="00660E88"/>
    <w:rsid w:val="00661251"/>
    <w:rsid w:val="00661BDF"/>
    <w:rsid w:val="0066280A"/>
    <w:rsid w:val="00663190"/>
    <w:rsid w:val="00663A77"/>
    <w:rsid w:val="006645BF"/>
    <w:rsid w:val="00664E35"/>
    <w:rsid w:val="006654DA"/>
    <w:rsid w:val="00666174"/>
    <w:rsid w:val="00666438"/>
    <w:rsid w:val="00666FA5"/>
    <w:rsid w:val="006705A4"/>
    <w:rsid w:val="00671BB5"/>
    <w:rsid w:val="00671DF2"/>
    <w:rsid w:val="006743F4"/>
    <w:rsid w:val="006750E3"/>
    <w:rsid w:val="006757A8"/>
    <w:rsid w:val="00677542"/>
    <w:rsid w:val="006803D7"/>
    <w:rsid w:val="00681D49"/>
    <w:rsid w:val="00681DFD"/>
    <w:rsid w:val="00683F84"/>
    <w:rsid w:val="006856EB"/>
    <w:rsid w:val="0068619B"/>
    <w:rsid w:val="00687CCF"/>
    <w:rsid w:val="00692336"/>
    <w:rsid w:val="00694047"/>
    <w:rsid w:val="006952BA"/>
    <w:rsid w:val="006953B8"/>
    <w:rsid w:val="0069592F"/>
    <w:rsid w:val="006A0A88"/>
    <w:rsid w:val="006A143D"/>
    <w:rsid w:val="006A409C"/>
    <w:rsid w:val="006A42E3"/>
    <w:rsid w:val="006A4BE4"/>
    <w:rsid w:val="006A5EA5"/>
    <w:rsid w:val="006A6173"/>
    <w:rsid w:val="006A6A81"/>
    <w:rsid w:val="006A6C0C"/>
    <w:rsid w:val="006A6E34"/>
    <w:rsid w:val="006B05DB"/>
    <w:rsid w:val="006B31E8"/>
    <w:rsid w:val="006B37DE"/>
    <w:rsid w:val="006B46A0"/>
    <w:rsid w:val="006B47E4"/>
    <w:rsid w:val="006B5A16"/>
    <w:rsid w:val="006B66CD"/>
    <w:rsid w:val="006B7CC0"/>
    <w:rsid w:val="006C033C"/>
    <w:rsid w:val="006C1737"/>
    <w:rsid w:val="006C3712"/>
    <w:rsid w:val="006C3876"/>
    <w:rsid w:val="006C3A7A"/>
    <w:rsid w:val="006C420F"/>
    <w:rsid w:val="006C43C4"/>
    <w:rsid w:val="006C46DC"/>
    <w:rsid w:val="006C46F7"/>
    <w:rsid w:val="006C4C1E"/>
    <w:rsid w:val="006C683D"/>
    <w:rsid w:val="006C6CC7"/>
    <w:rsid w:val="006C7CBF"/>
    <w:rsid w:val="006D065B"/>
    <w:rsid w:val="006D2778"/>
    <w:rsid w:val="006D2FF2"/>
    <w:rsid w:val="006D37E6"/>
    <w:rsid w:val="006D3FA7"/>
    <w:rsid w:val="006D546F"/>
    <w:rsid w:val="006D5CA4"/>
    <w:rsid w:val="006D7813"/>
    <w:rsid w:val="006E0A71"/>
    <w:rsid w:val="006E293E"/>
    <w:rsid w:val="006E2D94"/>
    <w:rsid w:val="006E4474"/>
    <w:rsid w:val="006E4AFA"/>
    <w:rsid w:val="006E6546"/>
    <w:rsid w:val="006F22BC"/>
    <w:rsid w:val="006F2F04"/>
    <w:rsid w:val="006F2F26"/>
    <w:rsid w:val="006F37A5"/>
    <w:rsid w:val="006F3F05"/>
    <w:rsid w:val="006F4749"/>
    <w:rsid w:val="006F5EBC"/>
    <w:rsid w:val="006F6A0B"/>
    <w:rsid w:val="006F6F53"/>
    <w:rsid w:val="006F7393"/>
    <w:rsid w:val="006F7621"/>
    <w:rsid w:val="006F76F7"/>
    <w:rsid w:val="007012DC"/>
    <w:rsid w:val="00701C09"/>
    <w:rsid w:val="0070224F"/>
    <w:rsid w:val="00702924"/>
    <w:rsid w:val="0070295E"/>
    <w:rsid w:val="00702C4D"/>
    <w:rsid w:val="00704CC1"/>
    <w:rsid w:val="0070554E"/>
    <w:rsid w:val="007065F6"/>
    <w:rsid w:val="00706682"/>
    <w:rsid w:val="0070767E"/>
    <w:rsid w:val="00707C79"/>
    <w:rsid w:val="00710CD8"/>
    <w:rsid w:val="007115F7"/>
    <w:rsid w:val="0071161D"/>
    <w:rsid w:val="00712677"/>
    <w:rsid w:val="00713613"/>
    <w:rsid w:val="00714232"/>
    <w:rsid w:val="00715056"/>
    <w:rsid w:val="007158D9"/>
    <w:rsid w:val="00715A62"/>
    <w:rsid w:val="00715F31"/>
    <w:rsid w:val="00721751"/>
    <w:rsid w:val="00721A16"/>
    <w:rsid w:val="0072222E"/>
    <w:rsid w:val="00722AFB"/>
    <w:rsid w:val="0072352D"/>
    <w:rsid w:val="00725B3E"/>
    <w:rsid w:val="00726D61"/>
    <w:rsid w:val="00727051"/>
    <w:rsid w:val="0072712B"/>
    <w:rsid w:val="007275CE"/>
    <w:rsid w:val="00730264"/>
    <w:rsid w:val="00730D67"/>
    <w:rsid w:val="0073150C"/>
    <w:rsid w:val="00733020"/>
    <w:rsid w:val="00733521"/>
    <w:rsid w:val="00734DF1"/>
    <w:rsid w:val="00734E36"/>
    <w:rsid w:val="007358D3"/>
    <w:rsid w:val="00736ACE"/>
    <w:rsid w:val="00740E3D"/>
    <w:rsid w:val="00741EF7"/>
    <w:rsid w:val="00744878"/>
    <w:rsid w:val="007449CF"/>
    <w:rsid w:val="00744BEC"/>
    <w:rsid w:val="00745F12"/>
    <w:rsid w:val="00746499"/>
    <w:rsid w:val="007475B1"/>
    <w:rsid w:val="00750387"/>
    <w:rsid w:val="007504FF"/>
    <w:rsid w:val="007518E6"/>
    <w:rsid w:val="00751E58"/>
    <w:rsid w:val="00753144"/>
    <w:rsid w:val="00753A48"/>
    <w:rsid w:val="007548EB"/>
    <w:rsid w:val="00755673"/>
    <w:rsid w:val="007556D9"/>
    <w:rsid w:val="00755B35"/>
    <w:rsid w:val="00755F2D"/>
    <w:rsid w:val="00757F33"/>
    <w:rsid w:val="007605F6"/>
    <w:rsid w:val="007616DA"/>
    <w:rsid w:val="00761C95"/>
    <w:rsid w:val="007626A7"/>
    <w:rsid w:val="00762BF9"/>
    <w:rsid w:val="00764A42"/>
    <w:rsid w:val="00764A8F"/>
    <w:rsid w:val="00764D6E"/>
    <w:rsid w:val="00764E98"/>
    <w:rsid w:val="00766EF7"/>
    <w:rsid w:val="00767836"/>
    <w:rsid w:val="00767B1C"/>
    <w:rsid w:val="00767F25"/>
    <w:rsid w:val="00770516"/>
    <w:rsid w:val="00772522"/>
    <w:rsid w:val="0077267D"/>
    <w:rsid w:val="00772CA2"/>
    <w:rsid w:val="0077301D"/>
    <w:rsid w:val="0077377D"/>
    <w:rsid w:val="00774CF9"/>
    <w:rsid w:val="00775CC1"/>
    <w:rsid w:val="00776A33"/>
    <w:rsid w:val="007811B4"/>
    <w:rsid w:val="00781553"/>
    <w:rsid w:val="00783B37"/>
    <w:rsid w:val="00784FFF"/>
    <w:rsid w:val="00785689"/>
    <w:rsid w:val="00785A08"/>
    <w:rsid w:val="007862A6"/>
    <w:rsid w:val="0078697F"/>
    <w:rsid w:val="00786B2E"/>
    <w:rsid w:val="00787CA6"/>
    <w:rsid w:val="00790403"/>
    <w:rsid w:val="0079276A"/>
    <w:rsid w:val="00793E5C"/>
    <w:rsid w:val="00794013"/>
    <w:rsid w:val="00794C20"/>
    <w:rsid w:val="00795EF4"/>
    <w:rsid w:val="00796A85"/>
    <w:rsid w:val="0079754B"/>
    <w:rsid w:val="007A008A"/>
    <w:rsid w:val="007A01AF"/>
    <w:rsid w:val="007A1801"/>
    <w:rsid w:val="007A1E6D"/>
    <w:rsid w:val="007A26DF"/>
    <w:rsid w:val="007A477A"/>
    <w:rsid w:val="007A4BA1"/>
    <w:rsid w:val="007A5590"/>
    <w:rsid w:val="007A6388"/>
    <w:rsid w:val="007A6C15"/>
    <w:rsid w:val="007A7013"/>
    <w:rsid w:val="007A7B3D"/>
    <w:rsid w:val="007B07D3"/>
    <w:rsid w:val="007B1740"/>
    <w:rsid w:val="007B2897"/>
    <w:rsid w:val="007B2C04"/>
    <w:rsid w:val="007B3F33"/>
    <w:rsid w:val="007B74D6"/>
    <w:rsid w:val="007C1FD7"/>
    <w:rsid w:val="007C3823"/>
    <w:rsid w:val="007C43AE"/>
    <w:rsid w:val="007C444F"/>
    <w:rsid w:val="007C4A79"/>
    <w:rsid w:val="007C6A7B"/>
    <w:rsid w:val="007C7665"/>
    <w:rsid w:val="007D1A3F"/>
    <w:rsid w:val="007D1FEF"/>
    <w:rsid w:val="007D20E4"/>
    <w:rsid w:val="007D21E6"/>
    <w:rsid w:val="007D3F5A"/>
    <w:rsid w:val="007D5643"/>
    <w:rsid w:val="007D7073"/>
    <w:rsid w:val="007D72EE"/>
    <w:rsid w:val="007D790D"/>
    <w:rsid w:val="007D7B22"/>
    <w:rsid w:val="007E059D"/>
    <w:rsid w:val="007E08FB"/>
    <w:rsid w:val="007E0C0F"/>
    <w:rsid w:val="007E0FCA"/>
    <w:rsid w:val="007E139B"/>
    <w:rsid w:val="007E223C"/>
    <w:rsid w:val="007E2712"/>
    <w:rsid w:val="007E2776"/>
    <w:rsid w:val="007E2A30"/>
    <w:rsid w:val="007E33D7"/>
    <w:rsid w:val="007E357A"/>
    <w:rsid w:val="007E35DD"/>
    <w:rsid w:val="007E49DD"/>
    <w:rsid w:val="007E53E7"/>
    <w:rsid w:val="007E7689"/>
    <w:rsid w:val="007F05A9"/>
    <w:rsid w:val="007F0C5B"/>
    <w:rsid w:val="007F0EA4"/>
    <w:rsid w:val="007F228D"/>
    <w:rsid w:val="007F2295"/>
    <w:rsid w:val="007F3F1F"/>
    <w:rsid w:val="007F47C3"/>
    <w:rsid w:val="007F743C"/>
    <w:rsid w:val="007F7D96"/>
    <w:rsid w:val="00800157"/>
    <w:rsid w:val="00800241"/>
    <w:rsid w:val="00800293"/>
    <w:rsid w:val="0080086C"/>
    <w:rsid w:val="00800B31"/>
    <w:rsid w:val="00801AF3"/>
    <w:rsid w:val="0080210C"/>
    <w:rsid w:val="008024C5"/>
    <w:rsid w:val="008047BC"/>
    <w:rsid w:val="00804EDF"/>
    <w:rsid w:val="008051C5"/>
    <w:rsid w:val="00805FFD"/>
    <w:rsid w:val="0080750A"/>
    <w:rsid w:val="00807DFE"/>
    <w:rsid w:val="008109C6"/>
    <w:rsid w:val="00810E10"/>
    <w:rsid w:val="00811BB3"/>
    <w:rsid w:val="008127B5"/>
    <w:rsid w:val="00813646"/>
    <w:rsid w:val="008139EC"/>
    <w:rsid w:val="0081490D"/>
    <w:rsid w:val="00816162"/>
    <w:rsid w:val="00822CE0"/>
    <w:rsid w:val="00826095"/>
    <w:rsid w:val="008261C0"/>
    <w:rsid w:val="008265A3"/>
    <w:rsid w:val="008270DD"/>
    <w:rsid w:val="0082776D"/>
    <w:rsid w:val="00827AAD"/>
    <w:rsid w:val="00831882"/>
    <w:rsid w:val="00831CF0"/>
    <w:rsid w:val="008324C1"/>
    <w:rsid w:val="00832E87"/>
    <w:rsid w:val="008339CC"/>
    <w:rsid w:val="0083491F"/>
    <w:rsid w:val="00834F54"/>
    <w:rsid w:val="00835866"/>
    <w:rsid w:val="0083602C"/>
    <w:rsid w:val="00836AC7"/>
    <w:rsid w:val="00836EA2"/>
    <w:rsid w:val="00837052"/>
    <w:rsid w:val="008378BE"/>
    <w:rsid w:val="00840AF8"/>
    <w:rsid w:val="00840BEB"/>
    <w:rsid w:val="00841AB1"/>
    <w:rsid w:val="00842A9B"/>
    <w:rsid w:val="00843277"/>
    <w:rsid w:val="00844504"/>
    <w:rsid w:val="008445A1"/>
    <w:rsid w:val="0084538A"/>
    <w:rsid w:val="008459B7"/>
    <w:rsid w:val="00845B24"/>
    <w:rsid w:val="00846D49"/>
    <w:rsid w:val="008472A7"/>
    <w:rsid w:val="008502B8"/>
    <w:rsid w:val="00850A5A"/>
    <w:rsid w:val="00850FAC"/>
    <w:rsid w:val="00851AB9"/>
    <w:rsid w:val="008531E5"/>
    <w:rsid w:val="00853B61"/>
    <w:rsid w:val="0085497F"/>
    <w:rsid w:val="00854CFF"/>
    <w:rsid w:val="00856B63"/>
    <w:rsid w:val="008577AF"/>
    <w:rsid w:val="008624F3"/>
    <w:rsid w:val="00862A38"/>
    <w:rsid w:val="00863DE7"/>
    <w:rsid w:val="00864E32"/>
    <w:rsid w:val="00865153"/>
    <w:rsid w:val="00865F05"/>
    <w:rsid w:val="00866145"/>
    <w:rsid w:val="008662B2"/>
    <w:rsid w:val="00866F52"/>
    <w:rsid w:val="00867E32"/>
    <w:rsid w:val="00870163"/>
    <w:rsid w:val="00870531"/>
    <w:rsid w:val="00870622"/>
    <w:rsid w:val="008707E2"/>
    <w:rsid w:val="00870A07"/>
    <w:rsid w:val="00872208"/>
    <w:rsid w:val="008742DA"/>
    <w:rsid w:val="008757DD"/>
    <w:rsid w:val="00876C39"/>
    <w:rsid w:val="00877E1C"/>
    <w:rsid w:val="008805B7"/>
    <w:rsid w:val="0088111A"/>
    <w:rsid w:val="00881288"/>
    <w:rsid w:val="0088312D"/>
    <w:rsid w:val="00883DA1"/>
    <w:rsid w:val="00884C87"/>
    <w:rsid w:val="00887289"/>
    <w:rsid w:val="00887344"/>
    <w:rsid w:val="0089036B"/>
    <w:rsid w:val="008917E3"/>
    <w:rsid w:val="008918CA"/>
    <w:rsid w:val="00892925"/>
    <w:rsid w:val="0089432A"/>
    <w:rsid w:val="00896421"/>
    <w:rsid w:val="00897425"/>
    <w:rsid w:val="00897471"/>
    <w:rsid w:val="008A0349"/>
    <w:rsid w:val="008A0D6E"/>
    <w:rsid w:val="008A2470"/>
    <w:rsid w:val="008A387A"/>
    <w:rsid w:val="008A429B"/>
    <w:rsid w:val="008A5231"/>
    <w:rsid w:val="008A6123"/>
    <w:rsid w:val="008A74B7"/>
    <w:rsid w:val="008B089B"/>
    <w:rsid w:val="008B1A31"/>
    <w:rsid w:val="008B1ECB"/>
    <w:rsid w:val="008B2086"/>
    <w:rsid w:val="008B253D"/>
    <w:rsid w:val="008B26A2"/>
    <w:rsid w:val="008B4049"/>
    <w:rsid w:val="008B480D"/>
    <w:rsid w:val="008B687A"/>
    <w:rsid w:val="008B7F95"/>
    <w:rsid w:val="008C1247"/>
    <w:rsid w:val="008C19A7"/>
    <w:rsid w:val="008C21D1"/>
    <w:rsid w:val="008C2565"/>
    <w:rsid w:val="008C3FEA"/>
    <w:rsid w:val="008C588D"/>
    <w:rsid w:val="008C74B4"/>
    <w:rsid w:val="008D01BF"/>
    <w:rsid w:val="008D1238"/>
    <w:rsid w:val="008D251E"/>
    <w:rsid w:val="008D288A"/>
    <w:rsid w:val="008D3181"/>
    <w:rsid w:val="008D322C"/>
    <w:rsid w:val="008D5AAB"/>
    <w:rsid w:val="008D5AAF"/>
    <w:rsid w:val="008D6441"/>
    <w:rsid w:val="008D6743"/>
    <w:rsid w:val="008D7B9F"/>
    <w:rsid w:val="008E0943"/>
    <w:rsid w:val="008E19E2"/>
    <w:rsid w:val="008E1EB6"/>
    <w:rsid w:val="008E24CB"/>
    <w:rsid w:val="008E2908"/>
    <w:rsid w:val="008E2970"/>
    <w:rsid w:val="008E3FC3"/>
    <w:rsid w:val="008E4146"/>
    <w:rsid w:val="008E44CA"/>
    <w:rsid w:val="008E4FCB"/>
    <w:rsid w:val="008E59B5"/>
    <w:rsid w:val="008E6782"/>
    <w:rsid w:val="008E6CA9"/>
    <w:rsid w:val="008E7165"/>
    <w:rsid w:val="008F14D6"/>
    <w:rsid w:val="008F51AF"/>
    <w:rsid w:val="008F60B1"/>
    <w:rsid w:val="008F6571"/>
    <w:rsid w:val="008F6B91"/>
    <w:rsid w:val="008F6F18"/>
    <w:rsid w:val="008F7847"/>
    <w:rsid w:val="008F7EEF"/>
    <w:rsid w:val="00900C20"/>
    <w:rsid w:val="00900C33"/>
    <w:rsid w:val="00900C83"/>
    <w:rsid w:val="0090224A"/>
    <w:rsid w:val="00902AE2"/>
    <w:rsid w:val="00903255"/>
    <w:rsid w:val="00903314"/>
    <w:rsid w:val="00904AFA"/>
    <w:rsid w:val="0090633C"/>
    <w:rsid w:val="009063DC"/>
    <w:rsid w:val="00907826"/>
    <w:rsid w:val="0091094B"/>
    <w:rsid w:val="00910FA6"/>
    <w:rsid w:val="00911E09"/>
    <w:rsid w:val="00912040"/>
    <w:rsid w:val="00912279"/>
    <w:rsid w:val="00915673"/>
    <w:rsid w:val="00916804"/>
    <w:rsid w:val="00916CFB"/>
    <w:rsid w:val="00917011"/>
    <w:rsid w:val="00917348"/>
    <w:rsid w:val="0092086A"/>
    <w:rsid w:val="00921803"/>
    <w:rsid w:val="00921F1A"/>
    <w:rsid w:val="0092338C"/>
    <w:rsid w:val="009241E4"/>
    <w:rsid w:val="00924EA6"/>
    <w:rsid w:val="00924F87"/>
    <w:rsid w:val="0092509C"/>
    <w:rsid w:val="009257D1"/>
    <w:rsid w:val="00925C8D"/>
    <w:rsid w:val="00925E8C"/>
    <w:rsid w:val="00926123"/>
    <w:rsid w:val="00926503"/>
    <w:rsid w:val="009267D7"/>
    <w:rsid w:val="00926BA4"/>
    <w:rsid w:val="00927BED"/>
    <w:rsid w:val="009322E7"/>
    <w:rsid w:val="00935330"/>
    <w:rsid w:val="00940981"/>
    <w:rsid w:val="00940AC7"/>
    <w:rsid w:val="00941049"/>
    <w:rsid w:val="00942C97"/>
    <w:rsid w:val="00942CCE"/>
    <w:rsid w:val="0094357B"/>
    <w:rsid w:val="009436D6"/>
    <w:rsid w:val="00944E7B"/>
    <w:rsid w:val="009450CE"/>
    <w:rsid w:val="009452E5"/>
    <w:rsid w:val="00945619"/>
    <w:rsid w:val="009476CC"/>
    <w:rsid w:val="00947CAE"/>
    <w:rsid w:val="00947F07"/>
    <w:rsid w:val="009511F9"/>
    <w:rsid w:val="00951C5F"/>
    <w:rsid w:val="00952295"/>
    <w:rsid w:val="00952E5E"/>
    <w:rsid w:val="00953183"/>
    <w:rsid w:val="00953B1E"/>
    <w:rsid w:val="009540B7"/>
    <w:rsid w:val="009548CD"/>
    <w:rsid w:val="009550F6"/>
    <w:rsid w:val="00955F13"/>
    <w:rsid w:val="00957380"/>
    <w:rsid w:val="00957484"/>
    <w:rsid w:val="00957E98"/>
    <w:rsid w:val="0096050A"/>
    <w:rsid w:val="00960712"/>
    <w:rsid w:val="00960D85"/>
    <w:rsid w:val="0096525D"/>
    <w:rsid w:val="00965E87"/>
    <w:rsid w:val="00967A32"/>
    <w:rsid w:val="00967FE2"/>
    <w:rsid w:val="00967FE7"/>
    <w:rsid w:val="0097114B"/>
    <w:rsid w:val="009724D7"/>
    <w:rsid w:val="00973B6E"/>
    <w:rsid w:val="00974530"/>
    <w:rsid w:val="0097550A"/>
    <w:rsid w:val="00976809"/>
    <w:rsid w:val="00980737"/>
    <w:rsid w:val="00980C1E"/>
    <w:rsid w:val="00980FDF"/>
    <w:rsid w:val="0098101D"/>
    <w:rsid w:val="0098184D"/>
    <w:rsid w:val="009827F4"/>
    <w:rsid w:val="00982836"/>
    <w:rsid w:val="00984496"/>
    <w:rsid w:val="00984DB2"/>
    <w:rsid w:val="009858FD"/>
    <w:rsid w:val="00990898"/>
    <w:rsid w:val="00991648"/>
    <w:rsid w:val="0099242C"/>
    <w:rsid w:val="00993C88"/>
    <w:rsid w:val="0099439E"/>
    <w:rsid w:val="009948D9"/>
    <w:rsid w:val="00995138"/>
    <w:rsid w:val="00995524"/>
    <w:rsid w:val="009A27EF"/>
    <w:rsid w:val="009A436B"/>
    <w:rsid w:val="009A5770"/>
    <w:rsid w:val="009A5B30"/>
    <w:rsid w:val="009A5E25"/>
    <w:rsid w:val="009A79DA"/>
    <w:rsid w:val="009A7E16"/>
    <w:rsid w:val="009B326F"/>
    <w:rsid w:val="009B35F9"/>
    <w:rsid w:val="009B3A8B"/>
    <w:rsid w:val="009B3C5A"/>
    <w:rsid w:val="009B5BF9"/>
    <w:rsid w:val="009B6159"/>
    <w:rsid w:val="009B7B0A"/>
    <w:rsid w:val="009C171A"/>
    <w:rsid w:val="009C1F67"/>
    <w:rsid w:val="009C2587"/>
    <w:rsid w:val="009C3A40"/>
    <w:rsid w:val="009C4673"/>
    <w:rsid w:val="009C487F"/>
    <w:rsid w:val="009C49D0"/>
    <w:rsid w:val="009C6110"/>
    <w:rsid w:val="009C66E8"/>
    <w:rsid w:val="009D1095"/>
    <w:rsid w:val="009D19BC"/>
    <w:rsid w:val="009D1BBB"/>
    <w:rsid w:val="009D243E"/>
    <w:rsid w:val="009D2E46"/>
    <w:rsid w:val="009D2ED1"/>
    <w:rsid w:val="009D3AEF"/>
    <w:rsid w:val="009D4BBC"/>
    <w:rsid w:val="009D65A6"/>
    <w:rsid w:val="009D6C25"/>
    <w:rsid w:val="009D7530"/>
    <w:rsid w:val="009D7741"/>
    <w:rsid w:val="009E2182"/>
    <w:rsid w:val="009E2650"/>
    <w:rsid w:val="009E2799"/>
    <w:rsid w:val="009E3884"/>
    <w:rsid w:val="009E3900"/>
    <w:rsid w:val="009E3B76"/>
    <w:rsid w:val="009E47F3"/>
    <w:rsid w:val="009E4FC1"/>
    <w:rsid w:val="009E5334"/>
    <w:rsid w:val="009E5E27"/>
    <w:rsid w:val="009E655C"/>
    <w:rsid w:val="009E6B1E"/>
    <w:rsid w:val="009E76AB"/>
    <w:rsid w:val="009F00DF"/>
    <w:rsid w:val="009F01CB"/>
    <w:rsid w:val="009F166D"/>
    <w:rsid w:val="009F2EF5"/>
    <w:rsid w:val="009F6FF4"/>
    <w:rsid w:val="009F723A"/>
    <w:rsid w:val="009F7E4D"/>
    <w:rsid w:val="00A00D36"/>
    <w:rsid w:val="00A01406"/>
    <w:rsid w:val="00A033E0"/>
    <w:rsid w:val="00A0395D"/>
    <w:rsid w:val="00A03AA8"/>
    <w:rsid w:val="00A06548"/>
    <w:rsid w:val="00A06BC3"/>
    <w:rsid w:val="00A10645"/>
    <w:rsid w:val="00A1184F"/>
    <w:rsid w:val="00A11B49"/>
    <w:rsid w:val="00A12340"/>
    <w:rsid w:val="00A1305A"/>
    <w:rsid w:val="00A1306E"/>
    <w:rsid w:val="00A13464"/>
    <w:rsid w:val="00A13924"/>
    <w:rsid w:val="00A13C7A"/>
    <w:rsid w:val="00A14089"/>
    <w:rsid w:val="00A149EE"/>
    <w:rsid w:val="00A14E14"/>
    <w:rsid w:val="00A16BF8"/>
    <w:rsid w:val="00A17603"/>
    <w:rsid w:val="00A17EF6"/>
    <w:rsid w:val="00A20937"/>
    <w:rsid w:val="00A20E3E"/>
    <w:rsid w:val="00A213DD"/>
    <w:rsid w:val="00A22B72"/>
    <w:rsid w:val="00A244D6"/>
    <w:rsid w:val="00A24858"/>
    <w:rsid w:val="00A24C6E"/>
    <w:rsid w:val="00A26399"/>
    <w:rsid w:val="00A26AF9"/>
    <w:rsid w:val="00A26E25"/>
    <w:rsid w:val="00A2733B"/>
    <w:rsid w:val="00A27954"/>
    <w:rsid w:val="00A27FA8"/>
    <w:rsid w:val="00A30BDC"/>
    <w:rsid w:val="00A30F8E"/>
    <w:rsid w:val="00A31E32"/>
    <w:rsid w:val="00A333F8"/>
    <w:rsid w:val="00A335EA"/>
    <w:rsid w:val="00A340FC"/>
    <w:rsid w:val="00A34691"/>
    <w:rsid w:val="00A34AE9"/>
    <w:rsid w:val="00A34C9B"/>
    <w:rsid w:val="00A361E5"/>
    <w:rsid w:val="00A37CB0"/>
    <w:rsid w:val="00A40491"/>
    <w:rsid w:val="00A4055C"/>
    <w:rsid w:val="00A40FFE"/>
    <w:rsid w:val="00A413F4"/>
    <w:rsid w:val="00A425C5"/>
    <w:rsid w:val="00A43B1D"/>
    <w:rsid w:val="00A43BE8"/>
    <w:rsid w:val="00A442B8"/>
    <w:rsid w:val="00A453BB"/>
    <w:rsid w:val="00A45639"/>
    <w:rsid w:val="00A45F4F"/>
    <w:rsid w:val="00A4620B"/>
    <w:rsid w:val="00A4787A"/>
    <w:rsid w:val="00A50E5D"/>
    <w:rsid w:val="00A510DB"/>
    <w:rsid w:val="00A5134A"/>
    <w:rsid w:val="00A519B6"/>
    <w:rsid w:val="00A519CB"/>
    <w:rsid w:val="00A537B2"/>
    <w:rsid w:val="00A54789"/>
    <w:rsid w:val="00A55B63"/>
    <w:rsid w:val="00A600A9"/>
    <w:rsid w:val="00A6019B"/>
    <w:rsid w:val="00A614AB"/>
    <w:rsid w:val="00A616CA"/>
    <w:rsid w:val="00A61A16"/>
    <w:rsid w:val="00A61C3C"/>
    <w:rsid w:val="00A63489"/>
    <w:rsid w:val="00A63869"/>
    <w:rsid w:val="00A64493"/>
    <w:rsid w:val="00A65A52"/>
    <w:rsid w:val="00A65B69"/>
    <w:rsid w:val="00A65DA2"/>
    <w:rsid w:val="00A66C41"/>
    <w:rsid w:val="00A67D0F"/>
    <w:rsid w:val="00A707BB"/>
    <w:rsid w:val="00A70DE2"/>
    <w:rsid w:val="00A73101"/>
    <w:rsid w:val="00A73229"/>
    <w:rsid w:val="00A74F71"/>
    <w:rsid w:val="00A75FA4"/>
    <w:rsid w:val="00A76531"/>
    <w:rsid w:val="00A76552"/>
    <w:rsid w:val="00A772BE"/>
    <w:rsid w:val="00A8067C"/>
    <w:rsid w:val="00A821EF"/>
    <w:rsid w:val="00A8240A"/>
    <w:rsid w:val="00A83AE5"/>
    <w:rsid w:val="00A83F29"/>
    <w:rsid w:val="00A8449F"/>
    <w:rsid w:val="00A84D5D"/>
    <w:rsid w:val="00A85D84"/>
    <w:rsid w:val="00A8637C"/>
    <w:rsid w:val="00A867CB"/>
    <w:rsid w:val="00A87B7D"/>
    <w:rsid w:val="00A90383"/>
    <w:rsid w:val="00A908D1"/>
    <w:rsid w:val="00A911CA"/>
    <w:rsid w:val="00A915DA"/>
    <w:rsid w:val="00A92071"/>
    <w:rsid w:val="00A927AB"/>
    <w:rsid w:val="00A93F8B"/>
    <w:rsid w:val="00A94571"/>
    <w:rsid w:val="00A94CD4"/>
    <w:rsid w:val="00A95A16"/>
    <w:rsid w:val="00A96D7C"/>
    <w:rsid w:val="00A97045"/>
    <w:rsid w:val="00AA02D1"/>
    <w:rsid w:val="00AA1374"/>
    <w:rsid w:val="00AA1FED"/>
    <w:rsid w:val="00AA2B56"/>
    <w:rsid w:val="00AA2F9C"/>
    <w:rsid w:val="00AA375F"/>
    <w:rsid w:val="00AA4E90"/>
    <w:rsid w:val="00AA521B"/>
    <w:rsid w:val="00AA52A8"/>
    <w:rsid w:val="00AA54C6"/>
    <w:rsid w:val="00AA55B7"/>
    <w:rsid w:val="00AA5B9E"/>
    <w:rsid w:val="00AA7882"/>
    <w:rsid w:val="00AB0048"/>
    <w:rsid w:val="00AB1373"/>
    <w:rsid w:val="00AB168E"/>
    <w:rsid w:val="00AB1D35"/>
    <w:rsid w:val="00AB2407"/>
    <w:rsid w:val="00AB45B1"/>
    <w:rsid w:val="00AB53DF"/>
    <w:rsid w:val="00AB6090"/>
    <w:rsid w:val="00AB611C"/>
    <w:rsid w:val="00AB6B80"/>
    <w:rsid w:val="00AB7899"/>
    <w:rsid w:val="00AC1251"/>
    <w:rsid w:val="00AC18DE"/>
    <w:rsid w:val="00AC1E5F"/>
    <w:rsid w:val="00AC5402"/>
    <w:rsid w:val="00AC5A35"/>
    <w:rsid w:val="00AC64AA"/>
    <w:rsid w:val="00AC72CB"/>
    <w:rsid w:val="00AC7FDF"/>
    <w:rsid w:val="00AD07DB"/>
    <w:rsid w:val="00AD12A9"/>
    <w:rsid w:val="00AD2A41"/>
    <w:rsid w:val="00AD4019"/>
    <w:rsid w:val="00AD4257"/>
    <w:rsid w:val="00AD5BBC"/>
    <w:rsid w:val="00AD68B2"/>
    <w:rsid w:val="00AD6AB4"/>
    <w:rsid w:val="00AD711F"/>
    <w:rsid w:val="00AE1163"/>
    <w:rsid w:val="00AE127D"/>
    <w:rsid w:val="00AE2719"/>
    <w:rsid w:val="00AE4BD4"/>
    <w:rsid w:val="00AE5162"/>
    <w:rsid w:val="00AE69D2"/>
    <w:rsid w:val="00AE799A"/>
    <w:rsid w:val="00AF1295"/>
    <w:rsid w:val="00AF1AE2"/>
    <w:rsid w:val="00AF1B01"/>
    <w:rsid w:val="00AF2DAD"/>
    <w:rsid w:val="00AF318C"/>
    <w:rsid w:val="00AF373A"/>
    <w:rsid w:val="00AF4ED4"/>
    <w:rsid w:val="00AF557D"/>
    <w:rsid w:val="00AF79F4"/>
    <w:rsid w:val="00B006E1"/>
    <w:rsid w:val="00B01602"/>
    <w:rsid w:val="00B01E48"/>
    <w:rsid w:val="00B03906"/>
    <w:rsid w:val="00B03CFD"/>
    <w:rsid w:val="00B03D10"/>
    <w:rsid w:val="00B0428D"/>
    <w:rsid w:val="00B043D6"/>
    <w:rsid w:val="00B05A94"/>
    <w:rsid w:val="00B05FE4"/>
    <w:rsid w:val="00B06574"/>
    <w:rsid w:val="00B07E5C"/>
    <w:rsid w:val="00B106CC"/>
    <w:rsid w:val="00B11EEB"/>
    <w:rsid w:val="00B12A21"/>
    <w:rsid w:val="00B13213"/>
    <w:rsid w:val="00B13417"/>
    <w:rsid w:val="00B141D4"/>
    <w:rsid w:val="00B15275"/>
    <w:rsid w:val="00B16924"/>
    <w:rsid w:val="00B2071B"/>
    <w:rsid w:val="00B21318"/>
    <w:rsid w:val="00B22BC7"/>
    <w:rsid w:val="00B23F53"/>
    <w:rsid w:val="00B26C5E"/>
    <w:rsid w:val="00B30AD0"/>
    <w:rsid w:val="00B31B7E"/>
    <w:rsid w:val="00B33DC9"/>
    <w:rsid w:val="00B374E8"/>
    <w:rsid w:val="00B4125B"/>
    <w:rsid w:val="00B412BA"/>
    <w:rsid w:val="00B425E6"/>
    <w:rsid w:val="00B43B2A"/>
    <w:rsid w:val="00B44500"/>
    <w:rsid w:val="00B47770"/>
    <w:rsid w:val="00B508DB"/>
    <w:rsid w:val="00B51865"/>
    <w:rsid w:val="00B51CDB"/>
    <w:rsid w:val="00B55A9F"/>
    <w:rsid w:val="00B55C05"/>
    <w:rsid w:val="00B56C97"/>
    <w:rsid w:val="00B57445"/>
    <w:rsid w:val="00B57B27"/>
    <w:rsid w:val="00B60077"/>
    <w:rsid w:val="00B603D6"/>
    <w:rsid w:val="00B60971"/>
    <w:rsid w:val="00B609EE"/>
    <w:rsid w:val="00B60AE7"/>
    <w:rsid w:val="00B62EFC"/>
    <w:rsid w:val="00B63009"/>
    <w:rsid w:val="00B657F7"/>
    <w:rsid w:val="00B65B03"/>
    <w:rsid w:val="00B66412"/>
    <w:rsid w:val="00B67927"/>
    <w:rsid w:val="00B67BC2"/>
    <w:rsid w:val="00B70455"/>
    <w:rsid w:val="00B710E7"/>
    <w:rsid w:val="00B72042"/>
    <w:rsid w:val="00B72D2A"/>
    <w:rsid w:val="00B73BDD"/>
    <w:rsid w:val="00B751D1"/>
    <w:rsid w:val="00B753FA"/>
    <w:rsid w:val="00B7550B"/>
    <w:rsid w:val="00B76929"/>
    <w:rsid w:val="00B772CB"/>
    <w:rsid w:val="00B77E4E"/>
    <w:rsid w:val="00B80C9A"/>
    <w:rsid w:val="00B811F7"/>
    <w:rsid w:val="00B81A78"/>
    <w:rsid w:val="00B82B8D"/>
    <w:rsid w:val="00B82D6B"/>
    <w:rsid w:val="00B82F89"/>
    <w:rsid w:val="00B84587"/>
    <w:rsid w:val="00B84D9C"/>
    <w:rsid w:val="00B85005"/>
    <w:rsid w:val="00B85D30"/>
    <w:rsid w:val="00B85E68"/>
    <w:rsid w:val="00B87EBF"/>
    <w:rsid w:val="00B904C5"/>
    <w:rsid w:val="00B90576"/>
    <w:rsid w:val="00B90813"/>
    <w:rsid w:val="00B9151E"/>
    <w:rsid w:val="00B915A8"/>
    <w:rsid w:val="00B94371"/>
    <w:rsid w:val="00B9652C"/>
    <w:rsid w:val="00B96A83"/>
    <w:rsid w:val="00B974FB"/>
    <w:rsid w:val="00B97BAC"/>
    <w:rsid w:val="00BA03B7"/>
    <w:rsid w:val="00BA0D30"/>
    <w:rsid w:val="00BA13CC"/>
    <w:rsid w:val="00BA2A80"/>
    <w:rsid w:val="00BA2D7F"/>
    <w:rsid w:val="00BA3FFD"/>
    <w:rsid w:val="00BA429A"/>
    <w:rsid w:val="00BA4BC1"/>
    <w:rsid w:val="00BA5DC6"/>
    <w:rsid w:val="00BA6196"/>
    <w:rsid w:val="00BB01F0"/>
    <w:rsid w:val="00BB1D14"/>
    <w:rsid w:val="00BB386A"/>
    <w:rsid w:val="00BB3A88"/>
    <w:rsid w:val="00BB540A"/>
    <w:rsid w:val="00BB7348"/>
    <w:rsid w:val="00BB7607"/>
    <w:rsid w:val="00BC056C"/>
    <w:rsid w:val="00BC070A"/>
    <w:rsid w:val="00BC0F39"/>
    <w:rsid w:val="00BC1AD2"/>
    <w:rsid w:val="00BC2C65"/>
    <w:rsid w:val="00BC2E08"/>
    <w:rsid w:val="00BC355F"/>
    <w:rsid w:val="00BC5971"/>
    <w:rsid w:val="00BC6D86"/>
    <w:rsid w:val="00BC6D8C"/>
    <w:rsid w:val="00BC7275"/>
    <w:rsid w:val="00BC7A1A"/>
    <w:rsid w:val="00BC7F43"/>
    <w:rsid w:val="00BD1176"/>
    <w:rsid w:val="00BD25ED"/>
    <w:rsid w:val="00BD260B"/>
    <w:rsid w:val="00BD28F3"/>
    <w:rsid w:val="00BD299B"/>
    <w:rsid w:val="00BD33E4"/>
    <w:rsid w:val="00BD48BC"/>
    <w:rsid w:val="00BD48DA"/>
    <w:rsid w:val="00BD6F2D"/>
    <w:rsid w:val="00BD6FA7"/>
    <w:rsid w:val="00BE2366"/>
    <w:rsid w:val="00BE2587"/>
    <w:rsid w:val="00BE2B17"/>
    <w:rsid w:val="00BE3CD4"/>
    <w:rsid w:val="00BE4A8A"/>
    <w:rsid w:val="00BE4E5C"/>
    <w:rsid w:val="00BE5540"/>
    <w:rsid w:val="00BE6EA6"/>
    <w:rsid w:val="00BE770B"/>
    <w:rsid w:val="00BF0C48"/>
    <w:rsid w:val="00BF1068"/>
    <w:rsid w:val="00BF140B"/>
    <w:rsid w:val="00BF1A7A"/>
    <w:rsid w:val="00BF3374"/>
    <w:rsid w:val="00BF43BC"/>
    <w:rsid w:val="00BF594B"/>
    <w:rsid w:val="00BF6DAE"/>
    <w:rsid w:val="00BF78E9"/>
    <w:rsid w:val="00C00105"/>
    <w:rsid w:val="00C00E95"/>
    <w:rsid w:val="00C01136"/>
    <w:rsid w:val="00C014C5"/>
    <w:rsid w:val="00C017E2"/>
    <w:rsid w:val="00C023D7"/>
    <w:rsid w:val="00C02A55"/>
    <w:rsid w:val="00C02C51"/>
    <w:rsid w:val="00C02E92"/>
    <w:rsid w:val="00C02EF5"/>
    <w:rsid w:val="00C030B1"/>
    <w:rsid w:val="00C034FF"/>
    <w:rsid w:val="00C043D7"/>
    <w:rsid w:val="00C053AB"/>
    <w:rsid w:val="00C0657B"/>
    <w:rsid w:val="00C06B21"/>
    <w:rsid w:val="00C06D61"/>
    <w:rsid w:val="00C07A38"/>
    <w:rsid w:val="00C07ACE"/>
    <w:rsid w:val="00C10A66"/>
    <w:rsid w:val="00C12D52"/>
    <w:rsid w:val="00C13174"/>
    <w:rsid w:val="00C14751"/>
    <w:rsid w:val="00C14EDC"/>
    <w:rsid w:val="00C15816"/>
    <w:rsid w:val="00C16C94"/>
    <w:rsid w:val="00C16F16"/>
    <w:rsid w:val="00C2088B"/>
    <w:rsid w:val="00C210F9"/>
    <w:rsid w:val="00C21111"/>
    <w:rsid w:val="00C21142"/>
    <w:rsid w:val="00C227AF"/>
    <w:rsid w:val="00C22C3D"/>
    <w:rsid w:val="00C248B6"/>
    <w:rsid w:val="00C251E5"/>
    <w:rsid w:val="00C25356"/>
    <w:rsid w:val="00C25982"/>
    <w:rsid w:val="00C25D98"/>
    <w:rsid w:val="00C30F8D"/>
    <w:rsid w:val="00C3162A"/>
    <w:rsid w:val="00C332CC"/>
    <w:rsid w:val="00C33D0F"/>
    <w:rsid w:val="00C34006"/>
    <w:rsid w:val="00C3402D"/>
    <w:rsid w:val="00C35051"/>
    <w:rsid w:val="00C35254"/>
    <w:rsid w:val="00C3552C"/>
    <w:rsid w:val="00C35EB8"/>
    <w:rsid w:val="00C3616D"/>
    <w:rsid w:val="00C364FE"/>
    <w:rsid w:val="00C3651B"/>
    <w:rsid w:val="00C37593"/>
    <w:rsid w:val="00C3789E"/>
    <w:rsid w:val="00C402B0"/>
    <w:rsid w:val="00C40F28"/>
    <w:rsid w:val="00C4139C"/>
    <w:rsid w:val="00C426B1"/>
    <w:rsid w:val="00C441B5"/>
    <w:rsid w:val="00C44AB4"/>
    <w:rsid w:val="00C451BF"/>
    <w:rsid w:val="00C45DA4"/>
    <w:rsid w:val="00C462DB"/>
    <w:rsid w:val="00C4648F"/>
    <w:rsid w:val="00C479C1"/>
    <w:rsid w:val="00C51532"/>
    <w:rsid w:val="00C51793"/>
    <w:rsid w:val="00C52036"/>
    <w:rsid w:val="00C5280A"/>
    <w:rsid w:val="00C536BA"/>
    <w:rsid w:val="00C5498A"/>
    <w:rsid w:val="00C54B42"/>
    <w:rsid w:val="00C55AFD"/>
    <w:rsid w:val="00C5630C"/>
    <w:rsid w:val="00C56529"/>
    <w:rsid w:val="00C628F8"/>
    <w:rsid w:val="00C63D4D"/>
    <w:rsid w:val="00C6443B"/>
    <w:rsid w:val="00C64546"/>
    <w:rsid w:val="00C651C1"/>
    <w:rsid w:val="00C65D26"/>
    <w:rsid w:val="00C65F2C"/>
    <w:rsid w:val="00C664D1"/>
    <w:rsid w:val="00C727B8"/>
    <w:rsid w:val="00C7387F"/>
    <w:rsid w:val="00C7395E"/>
    <w:rsid w:val="00C739D8"/>
    <w:rsid w:val="00C742B9"/>
    <w:rsid w:val="00C74572"/>
    <w:rsid w:val="00C74FE1"/>
    <w:rsid w:val="00C755C8"/>
    <w:rsid w:val="00C773A5"/>
    <w:rsid w:val="00C8047B"/>
    <w:rsid w:val="00C80833"/>
    <w:rsid w:val="00C83299"/>
    <w:rsid w:val="00C83FF7"/>
    <w:rsid w:val="00C8482D"/>
    <w:rsid w:val="00C858A2"/>
    <w:rsid w:val="00C85F59"/>
    <w:rsid w:val="00C8620A"/>
    <w:rsid w:val="00C8686D"/>
    <w:rsid w:val="00C87733"/>
    <w:rsid w:val="00C90D6A"/>
    <w:rsid w:val="00C9131B"/>
    <w:rsid w:val="00C915D3"/>
    <w:rsid w:val="00C917D2"/>
    <w:rsid w:val="00C9356F"/>
    <w:rsid w:val="00C93BAF"/>
    <w:rsid w:val="00C93E2F"/>
    <w:rsid w:val="00C93FF2"/>
    <w:rsid w:val="00C95445"/>
    <w:rsid w:val="00C954EF"/>
    <w:rsid w:val="00C966B1"/>
    <w:rsid w:val="00C96CC4"/>
    <w:rsid w:val="00C97035"/>
    <w:rsid w:val="00CA0481"/>
    <w:rsid w:val="00CA0E05"/>
    <w:rsid w:val="00CA1368"/>
    <w:rsid w:val="00CA1823"/>
    <w:rsid w:val="00CA247E"/>
    <w:rsid w:val="00CA32EA"/>
    <w:rsid w:val="00CA39AD"/>
    <w:rsid w:val="00CA46AE"/>
    <w:rsid w:val="00CA4BE4"/>
    <w:rsid w:val="00CA4D30"/>
    <w:rsid w:val="00CA4D5E"/>
    <w:rsid w:val="00CA5CC4"/>
    <w:rsid w:val="00CA5D35"/>
    <w:rsid w:val="00CA62B7"/>
    <w:rsid w:val="00CA68D2"/>
    <w:rsid w:val="00CA71E3"/>
    <w:rsid w:val="00CA7C89"/>
    <w:rsid w:val="00CB0CB1"/>
    <w:rsid w:val="00CB12CA"/>
    <w:rsid w:val="00CB1AF1"/>
    <w:rsid w:val="00CB2722"/>
    <w:rsid w:val="00CB28DC"/>
    <w:rsid w:val="00CB3D9B"/>
    <w:rsid w:val="00CB50A5"/>
    <w:rsid w:val="00CB6004"/>
    <w:rsid w:val="00CB6A0B"/>
    <w:rsid w:val="00CB6CF1"/>
    <w:rsid w:val="00CB727C"/>
    <w:rsid w:val="00CC1FC1"/>
    <w:rsid w:val="00CC2533"/>
    <w:rsid w:val="00CC28E4"/>
    <w:rsid w:val="00CC33FA"/>
    <w:rsid w:val="00CC3420"/>
    <w:rsid w:val="00CC39F1"/>
    <w:rsid w:val="00CC4EED"/>
    <w:rsid w:val="00CC602B"/>
    <w:rsid w:val="00CC6302"/>
    <w:rsid w:val="00CC72B6"/>
    <w:rsid w:val="00CC7C89"/>
    <w:rsid w:val="00CD249B"/>
    <w:rsid w:val="00CD2FB6"/>
    <w:rsid w:val="00CD36BF"/>
    <w:rsid w:val="00CD3711"/>
    <w:rsid w:val="00CD3855"/>
    <w:rsid w:val="00CD7122"/>
    <w:rsid w:val="00CD76E4"/>
    <w:rsid w:val="00CD7DD8"/>
    <w:rsid w:val="00CD7E49"/>
    <w:rsid w:val="00CE057B"/>
    <w:rsid w:val="00CE086E"/>
    <w:rsid w:val="00CE3FA0"/>
    <w:rsid w:val="00CE46C4"/>
    <w:rsid w:val="00CE5A81"/>
    <w:rsid w:val="00CE5D7C"/>
    <w:rsid w:val="00CE6588"/>
    <w:rsid w:val="00CE7736"/>
    <w:rsid w:val="00CF0174"/>
    <w:rsid w:val="00CF08CA"/>
    <w:rsid w:val="00CF13E3"/>
    <w:rsid w:val="00CF2C97"/>
    <w:rsid w:val="00CF36E9"/>
    <w:rsid w:val="00CF3995"/>
    <w:rsid w:val="00CF7A75"/>
    <w:rsid w:val="00D00CFA"/>
    <w:rsid w:val="00D0218D"/>
    <w:rsid w:val="00D0630A"/>
    <w:rsid w:val="00D06BD2"/>
    <w:rsid w:val="00D06E43"/>
    <w:rsid w:val="00D072D4"/>
    <w:rsid w:val="00D119F0"/>
    <w:rsid w:val="00D120EE"/>
    <w:rsid w:val="00D1222C"/>
    <w:rsid w:val="00D129E8"/>
    <w:rsid w:val="00D140CB"/>
    <w:rsid w:val="00D14758"/>
    <w:rsid w:val="00D14B30"/>
    <w:rsid w:val="00D14EF2"/>
    <w:rsid w:val="00D15247"/>
    <w:rsid w:val="00D15834"/>
    <w:rsid w:val="00D15D50"/>
    <w:rsid w:val="00D1631D"/>
    <w:rsid w:val="00D2089C"/>
    <w:rsid w:val="00D20A37"/>
    <w:rsid w:val="00D212C8"/>
    <w:rsid w:val="00D216EF"/>
    <w:rsid w:val="00D21DBC"/>
    <w:rsid w:val="00D224F7"/>
    <w:rsid w:val="00D2253A"/>
    <w:rsid w:val="00D232C0"/>
    <w:rsid w:val="00D23BB6"/>
    <w:rsid w:val="00D250D1"/>
    <w:rsid w:val="00D25B28"/>
    <w:rsid w:val="00D3138A"/>
    <w:rsid w:val="00D31E30"/>
    <w:rsid w:val="00D32379"/>
    <w:rsid w:val="00D33642"/>
    <w:rsid w:val="00D336B6"/>
    <w:rsid w:val="00D33E92"/>
    <w:rsid w:val="00D342EB"/>
    <w:rsid w:val="00D34B43"/>
    <w:rsid w:val="00D3660F"/>
    <w:rsid w:val="00D369EE"/>
    <w:rsid w:val="00D37956"/>
    <w:rsid w:val="00D40934"/>
    <w:rsid w:val="00D40F63"/>
    <w:rsid w:val="00D410F3"/>
    <w:rsid w:val="00D41A8D"/>
    <w:rsid w:val="00D42779"/>
    <w:rsid w:val="00D42D06"/>
    <w:rsid w:val="00D439E0"/>
    <w:rsid w:val="00D440F6"/>
    <w:rsid w:val="00D45000"/>
    <w:rsid w:val="00D4594F"/>
    <w:rsid w:val="00D465E8"/>
    <w:rsid w:val="00D478A9"/>
    <w:rsid w:val="00D50BF5"/>
    <w:rsid w:val="00D51278"/>
    <w:rsid w:val="00D517D0"/>
    <w:rsid w:val="00D525AC"/>
    <w:rsid w:val="00D53389"/>
    <w:rsid w:val="00D53A08"/>
    <w:rsid w:val="00D54C29"/>
    <w:rsid w:val="00D563A9"/>
    <w:rsid w:val="00D56854"/>
    <w:rsid w:val="00D57399"/>
    <w:rsid w:val="00D573C2"/>
    <w:rsid w:val="00D574F8"/>
    <w:rsid w:val="00D57E70"/>
    <w:rsid w:val="00D6062F"/>
    <w:rsid w:val="00D61EE2"/>
    <w:rsid w:val="00D6303C"/>
    <w:rsid w:val="00D63452"/>
    <w:rsid w:val="00D64349"/>
    <w:rsid w:val="00D65933"/>
    <w:rsid w:val="00D65BD7"/>
    <w:rsid w:val="00D711CC"/>
    <w:rsid w:val="00D716EA"/>
    <w:rsid w:val="00D72892"/>
    <w:rsid w:val="00D73084"/>
    <w:rsid w:val="00D735CA"/>
    <w:rsid w:val="00D73FA6"/>
    <w:rsid w:val="00D74319"/>
    <w:rsid w:val="00D746DD"/>
    <w:rsid w:val="00D7510E"/>
    <w:rsid w:val="00D75817"/>
    <w:rsid w:val="00D763DC"/>
    <w:rsid w:val="00D76C24"/>
    <w:rsid w:val="00D81235"/>
    <w:rsid w:val="00D81401"/>
    <w:rsid w:val="00D817ED"/>
    <w:rsid w:val="00D82831"/>
    <w:rsid w:val="00D84302"/>
    <w:rsid w:val="00D87588"/>
    <w:rsid w:val="00D87EC4"/>
    <w:rsid w:val="00D90A79"/>
    <w:rsid w:val="00D912F8"/>
    <w:rsid w:val="00D91559"/>
    <w:rsid w:val="00D928FA"/>
    <w:rsid w:val="00D95862"/>
    <w:rsid w:val="00D95D4B"/>
    <w:rsid w:val="00D96484"/>
    <w:rsid w:val="00D96910"/>
    <w:rsid w:val="00DA1E4C"/>
    <w:rsid w:val="00DA2529"/>
    <w:rsid w:val="00DA25DB"/>
    <w:rsid w:val="00DA39C5"/>
    <w:rsid w:val="00DA3AA3"/>
    <w:rsid w:val="00DA4C05"/>
    <w:rsid w:val="00DA50F0"/>
    <w:rsid w:val="00DA571B"/>
    <w:rsid w:val="00DA5958"/>
    <w:rsid w:val="00DB06A0"/>
    <w:rsid w:val="00DB130A"/>
    <w:rsid w:val="00DB1BA8"/>
    <w:rsid w:val="00DB22DF"/>
    <w:rsid w:val="00DB46B9"/>
    <w:rsid w:val="00DB4A25"/>
    <w:rsid w:val="00DB4EAE"/>
    <w:rsid w:val="00DB5D79"/>
    <w:rsid w:val="00DB66AB"/>
    <w:rsid w:val="00DB756F"/>
    <w:rsid w:val="00DB779D"/>
    <w:rsid w:val="00DC1089"/>
    <w:rsid w:val="00DC10A1"/>
    <w:rsid w:val="00DC1BA8"/>
    <w:rsid w:val="00DC3997"/>
    <w:rsid w:val="00DC39AB"/>
    <w:rsid w:val="00DC3A75"/>
    <w:rsid w:val="00DC4498"/>
    <w:rsid w:val="00DC6433"/>
    <w:rsid w:val="00DC655F"/>
    <w:rsid w:val="00DD0080"/>
    <w:rsid w:val="00DD0772"/>
    <w:rsid w:val="00DD0B59"/>
    <w:rsid w:val="00DD12F3"/>
    <w:rsid w:val="00DD157C"/>
    <w:rsid w:val="00DD18B1"/>
    <w:rsid w:val="00DD195D"/>
    <w:rsid w:val="00DD23C8"/>
    <w:rsid w:val="00DD28A0"/>
    <w:rsid w:val="00DD3A11"/>
    <w:rsid w:val="00DD3D1A"/>
    <w:rsid w:val="00DD487C"/>
    <w:rsid w:val="00DD7BBE"/>
    <w:rsid w:val="00DD7EBD"/>
    <w:rsid w:val="00DE013B"/>
    <w:rsid w:val="00DE11D9"/>
    <w:rsid w:val="00DE13A2"/>
    <w:rsid w:val="00DE2DD3"/>
    <w:rsid w:val="00DE35A2"/>
    <w:rsid w:val="00DE3894"/>
    <w:rsid w:val="00DE4564"/>
    <w:rsid w:val="00DE45E3"/>
    <w:rsid w:val="00DE46FA"/>
    <w:rsid w:val="00DE5B5C"/>
    <w:rsid w:val="00DE6B6C"/>
    <w:rsid w:val="00DE6CAF"/>
    <w:rsid w:val="00DE7735"/>
    <w:rsid w:val="00DE7C42"/>
    <w:rsid w:val="00DF03CA"/>
    <w:rsid w:val="00DF09A4"/>
    <w:rsid w:val="00DF1486"/>
    <w:rsid w:val="00DF350B"/>
    <w:rsid w:val="00DF36EB"/>
    <w:rsid w:val="00DF3AA1"/>
    <w:rsid w:val="00DF57D1"/>
    <w:rsid w:val="00DF62B6"/>
    <w:rsid w:val="00E001F5"/>
    <w:rsid w:val="00E01107"/>
    <w:rsid w:val="00E0139E"/>
    <w:rsid w:val="00E019C1"/>
    <w:rsid w:val="00E027E4"/>
    <w:rsid w:val="00E039E1"/>
    <w:rsid w:val="00E03BFA"/>
    <w:rsid w:val="00E06496"/>
    <w:rsid w:val="00E066C4"/>
    <w:rsid w:val="00E06BA0"/>
    <w:rsid w:val="00E07225"/>
    <w:rsid w:val="00E07D5A"/>
    <w:rsid w:val="00E10010"/>
    <w:rsid w:val="00E10771"/>
    <w:rsid w:val="00E111A4"/>
    <w:rsid w:val="00E11476"/>
    <w:rsid w:val="00E12210"/>
    <w:rsid w:val="00E1456E"/>
    <w:rsid w:val="00E148CE"/>
    <w:rsid w:val="00E14ADC"/>
    <w:rsid w:val="00E14C5D"/>
    <w:rsid w:val="00E14FF0"/>
    <w:rsid w:val="00E15375"/>
    <w:rsid w:val="00E17D6B"/>
    <w:rsid w:val="00E20D72"/>
    <w:rsid w:val="00E243C9"/>
    <w:rsid w:val="00E250EC"/>
    <w:rsid w:val="00E25310"/>
    <w:rsid w:val="00E25539"/>
    <w:rsid w:val="00E279C0"/>
    <w:rsid w:val="00E27BD3"/>
    <w:rsid w:val="00E30CE5"/>
    <w:rsid w:val="00E32263"/>
    <w:rsid w:val="00E33C93"/>
    <w:rsid w:val="00E33DA7"/>
    <w:rsid w:val="00E33DE3"/>
    <w:rsid w:val="00E34102"/>
    <w:rsid w:val="00E34777"/>
    <w:rsid w:val="00E37F84"/>
    <w:rsid w:val="00E410CF"/>
    <w:rsid w:val="00E42441"/>
    <w:rsid w:val="00E4275A"/>
    <w:rsid w:val="00E4308D"/>
    <w:rsid w:val="00E43BD0"/>
    <w:rsid w:val="00E44C7D"/>
    <w:rsid w:val="00E47237"/>
    <w:rsid w:val="00E50C9C"/>
    <w:rsid w:val="00E51C7F"/>
    <w:rsid w:val="00E534A4"/>
    <w:rsid w:val="00E53E62"/>
    <w:rsid w:val="00E5409F"/>
    <w:rsid w:val="00E54C46"/>
    <w:rsid w:val="00E54FFB"/>
    <w:rsid w:val="00E5752B"/>
    <w:rsid w:val="00E6199E"/>
    <w:rsid w:val="00E6336C"/>
    <w:rsid w:val="00E65792"/>
    <w:rsid w:val="00E65936"/>
    <w:rsid w:val="00E662A3"/>
    <w:rsid w:val="00E66392"/>
    <w:rsid w:val="00E6699B"/>
    <w:rsid w:val="00E67F66"/>
    <w:rsid w:val="00E70B46"/>
    <w:rsid w:val="00E7480E"/>
    <w:rsid w:val="00E75B44"/>
    <w:rsid w:val="00E76163"/>
    <w:rsid w:val="00E7617A"/>
    <w:rsid w:val="00E76718"/>
    <w:rsid w:val="00E7791E"/>
    <w:rsid w:val="00E77970"/>
    <w:rsid w:val="00E803F9"/>
    <w:rsid w:val="00E81151"/>
    <w:rsid w:val="00E86703"/>
    <w:rsid w:val="00E86A0E"/>
    <w:rsid w:val="00E87B36"/>
    <w:rsid w:val="00E90025"/>
    <w:rsid w:val="00E9037F"/>
    <w:rsid w:val="00E90768"/>
    <w:rsid w:val="00E915E0"/>
    <w:rsid w:val="00E919DC"/>
    <w:rsid w:val="00E92809"/>
    <w:rsid w:val="00E933D5"/>
    <w:rsid w:val="00E93697"/>
    <w:rsid w:val="00E9400D"/>
    <w:rsid w:val="00E94AA5"/>
    <w:rsid w:val="00E9519C"/>
    <w:rsid w:val="00E96A25"/>
    <w:rsid w:val="00E974D0"/>
    <w:rsid w:val="00EA1A2E"/>
    <w:rsid w:val="00EA2417"/>
    <w:rsid w:val="00EA2893"/>
    <w:rsid w:val="00EA2915"/>
    <w:rsid w:val="00EA2AB9"/>
    <w:rsid w:val="00EA2DFD"/>
    <w:rsid w:val="00EA371D"/>
    <w:rsid w:val="00EA3723"/>
    <w:rsid w:val="00EA3E9D"/>
    <w:rsid w:val="00EA4420"/>
    <w:rsid w:val="00EA4767"/>
    <w:rsid w:val="00EA5493"/>
    <w:rsid w:val="00EA553F"/>
    <w:rsid w:val="00EA62D0"/>
    <w:rsid w:val="00EB08E2"/>
    <w:rsid w:val="00EB14DB"/>
    <w:rsid w:val="00EB22DA"/>
    <w:rsid w:val="00EB3260"/>
    <w:rsid w:val="00EB3990"/>
    <w:rsid w:val="00EB42BD"/>
    <w:rsid w:val="00EB54C0"/>
    <w:rsid w:val="00EB6E6D"/>
    <w:rsid w:val="00EC0612"/>
    <w:rsid w:val="00EC17BD"/>
    <w:rsid w:val="00EC2137"/>
    <w:rsid w:val="00EC4E77"/>
    <w:rsid w:val="00EC5FC0"/>
    <w:rsid w:val="00ED0BE4"/>
    <w:rsid w:val="00ED0CE4"/>
    <w:rsid w:val="00ED0DEF"/>
    <w:rsid w:val="00ED0E2B"/>
    <w:rsid w:val="00ED2449"/>
    <w:rsid w:val="00ED3136"/>
    <w:rsid w:val="00ED3405"/>
    <w:rsid w:val="00ED398D"/>
    <w:rsid w:val="00ED3CF4"/>
    <w:rsid w:val="00ED57B2"/>
    <w:rsid w:val="00ED5B09"/>
    <w:rsid w:val="00ED7736"/>
    <w:rsid w:val="00ED78ED"/>
    <w:rsid w:val="00ED7D3D"/>
    <w:rsid w:val="00EE00EC"/>
    <w:rsid w:val="00EE14BE"/>
    <w:rsid w:val="00EE2197"/>
    <w:rsid w:val="00EE4B0D"/>
    <w:rsid w:val="00EE5257"/>
    <w:rsid w:val="00EE5292"/>
    <w:rsid w:val="00EE539D"/>
    <w:rsid w:val="00EE5807"/>
    <w:rsid w:val="00EE6488"/>
    <w:rsid w:val="00EE6C98"/>
    <w:rsid w:val="00EE6CC1"/>
    <w:rsid w:val="00EF0098"/>
    <w:rsid w:val="00EF0E7A"/>
    <w:rsid w:val="00EF1A65"/>
    <w:rsid w:val="00EF1B0A"/>
    <w:rsid w:val="00EF1CB0"/>
    <w:rsid w:val="00EF3780"/>
    <w:rsid w:val="00EF44F7"/>
    <w:rsid w:val="00EF5A1E"/>
    <w:rsid w:val="00EF7DE1"/>
    <w:rsid w:val="00F010C4"/>
    <w:rsid w:val="00F01AA3"/>
    <w:rsid w:val="00F021FA"/>
    <w:rsid w:val="00F047A9"/>
    <w:rsid w:val="00F04D19"/>
    <w:rsid w:val="00F0588A"/>
    <w:rsid w:val="00F05D69"/>
    <w:rsid w:val="00F06EB6"/>
    <w:rsid w:val="00F06F43"/>
    <w:rsid w:val="00F0746C"/>
    <w:rsid w:val="00F074F3"/>
    <w:rsid w:val="00F11909"/>
    <w:rsid w:val="00F14806"/>
    <w:rsid w:val="00F14FC8"/>
    <w:rsid w:val="00F155E4"/>
    <w:rsid w:val="00F15E52"/>
    <w:rsid w:val="00F20B24"/>
    <w:rsid w:val="00F2218F"/>
    <w:rsid w:val="00F225D9"/>
    <w:rsid w:val="00F22A61"/>
    <w:rsid w:val="00F22B36"/>
    <w:rsid w:val="00F2402F"/>
    <w:rsid w:val="00F2566D"/>
    <w:rsid w:val="00F25B29"/>
    <w:rsid w:val="00F25D7E"/>
    <w:rsid w:val="00F279C1"/>
    <w:rsid w:val="00F27F5A"/>
    <w:rsid w:val="00F30863"/>
    <w:rsid w:val="00F32F05"/>
    <w:rsid w:val="00F34579"/>
    <w:rsid w:val="00F35049"/>
    <w:rsid w:val="00F35595"/>
    <w:rsid w:val="00F35D39"/>
    <w:rsid w:val="00F3683A"/>
    <w:rsid w:val="00F408D8"/>
    <w:rsid w:val="00F40A0C"/>
    <w:rsid w:val="00F4146F"/>
    <w:rsid w:val="00F415CF"/>
    <w:rsid w:val="00F4232E"/>
    <w:rsid w:val="00F43978"/>
    <w:rsid w:val="00F452EA"/>
    <w:rsid w:val="00F462DE"/>
    <w:rsid w:val="00F463D5"/>
    <w:rsid w:val="00F47042"/>
    <w:rsid w:val="00F47305"/>
    <w:rsid w:val="00F474BE"/>
    <w:rsid w:val="00F47A02"/>
    <w:rsid w:val="00F504A9"/>
    <w:rsid w:val="00F50C5A"/>
    <w:rsid w:val="00F52BCF"/>
    <w:rsid w:val="00F5338D"/>
    <w:rsid w:val="00F54676"/>
    <w:rsid w:val="00F551CF"/>
    <w:rsid w:val="00F5559D"/>
    <w:rsid w:val="00F62917"/>
    <w:rsid w:val="00F62E97"/>
    <w:rsid w:val="00F632C0"/>
    <w:rsid w:val="00F636EF"/>
    <w:rsid w:val="00F64209"/>
    <w:rsid w:val="00F64A10"/>
    <w:rsid w:val="00F65CD4"/>
    <w:rsid w:val="00F6610B"/>
    <w:rsid w:val="00F665AD"/>
    <w:rsid w:val="00F666B2"/>
    <w:rsid w:val="00F703B2"/>
    <w:rsid w:val="00F725B9"/>
    <w:rsid w:val="00F76AF4"/>
    <w:rsid w:val="00F81AA1"/>
    <w:rsid w:val="00F82659"/>
    <w:rsid w:val="00F83205"/>
    <w:rsid w:val="00F844F9"/>
    <w:rsid w:val="00F8473A"/>
    <w:rsid w:val="00F8494C"/>
    <w:rsid w:val="00F8792C"/>
    <w:rsid w:val="00F87C50"/>
    <w:rsid w:val="00F9076C"/>
    <w:rsid w:val="00F916B5"/>
    <w:rsid w:val="00F92AFD"/>
    <w:rsid w:val="00F92E03"/>
    <w:rsid w:val="00F932A4"/>
    <w:rsid w:val="00F935B1"/>
    <w:rsid w:val="00F93BF5"/>
    <w:rsid w:val="00F93DC6"/>
    <w:rsid w:val="00F93E9B"/>
    <w:rsid w:val="00F94976"/>
    <w:rsid w:val="00F94E7E"/>
    <w:rsid w:val="00F95B5E"/>
    <w:rsid w:val="00F9796E"/>
    <w:rsid w:val="00F97ADE"/>
    <w:rsid w:val="00FA1084"/>
    <w:rsid w:val="00FA36CD"/>
    <w:rsid w:val="00FA5F63"/>
    <w:rsid w:val="00FA644A"/>
    <w:rsid w:val="00FA671C"/>
    <w:rsid w:val="00FA6877"/>
    <w:rsid w:val="00FA6C02"/>
    <w:rsid w:val="00FA74D5"/>
    <w:rsid w:val="00FB25D2"/>
    <w:rsid w:val="00FB27C9"/>
    <w:rsid w:val="00FB4093"/>
    <w:rsid w:val="00FB52AE"/>
    <w:rsid w:val="00FB66D9"/>
    <w:rsid w:val="00FB66F3"/>
    <w:rsid w:val="00FB7F66"/>
    <w:rsid w:val="00FC00D4"/>
    <w:rsid w:val="00FC131E"/>
    <w:rsid w:val="00FC14CF"/>
    <w:rsid w:val="00FC3B33"/>
    <w:rsid w:val="00FC4C5C"/>
    <w:rsid w:val="00FC4E23"/>
    <w:rsid w:val="00FC77B8"/>
    <w:rsid w:val="00FD031D"/>
    <w:rsid w:val="00FD0BD5"/>
    <w:rsid w:val="00FD0CED"/>
    <w:rsid w:val="00FD2665"/>
    <w:rsid w:val="00FD2FA0"/>
    <w:rsid w:val="00FD3FDC"/>
    <w:rsid w:val="00FD49CC"/>
    <w:rsid w:val="00FD5587"/>
    <w:rsid w:val="00FD62DA"/>
    <w:rsid w:val="00FD6C9E"/>
    <w:rsid w:val="00FE1723"/>
    <w:rsid w:val="00FE1CD4"/>
    <w:rsid w:val="00FE1FB1"/>
    <w:rsid w:val="00FE2544"/>
    <w:rsid w:val="00FE3FDE"/>
    <w:rsid w:val="00FE465B"/>
    <w:rsid w:val="00FE5731"/>
    <w:rsid w:val="00FE633F"/>
    <w:rsid w:val="00FE6833"/>
    <w:rsid w:val="00FF0B44"/>
    <w:rsid w:val="00FF2237"/>
    <w:rsid w:val="00FF281D"/>
    <w:rsid w:val="00FF2C79"/>
    <w:rsid w:val="00FF461D"/>
    <w:rsid w:val="00FF4D00"/>
    <w:rsid w:val="00FF5477"/>
    <w:rsid w:val="00FF6F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State"/>
  <w:shapeDefaults>
    <o:shapedefaults v:ext="edit" spidmax="4097"/>
    <o:shapelayout v:ext="edit">
      <o:idmap v:ext="edit" data="1"/>
    </o:shapelayout>
  </w:shapeDefaults>
  <w:decimalSymbol w:val="."/>
  <w:listSeparator w:val=","/>
  <w14:docId w14:val="44309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index 1" w:locked="1" w:uiPriority="0"/>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lsdException w:name="footnote text" w:locked="1" w:uiPriority="0"/>
    <w:lsdException w:name="annotation text" w:locked="1" w:uiPriority="0"/>
    <w:lsdException w:name="header" w:locked="1" w:uiPriority="0"/>
    <w:lsdException w:name="footer" w:locked="1" w:uiPriority="0"/>
    <w:lsdException w:name="index heading" w:locked="1"/>
    <w:lsdException w:name="caption" w:qFormat="1"/>
    <w:lsdException w:name="table of figures" w:locked="1"/>
    <w:lsdException w:name="envelope address" w:locked="1"/>
    <w:lsdException w:name="envelope return" w:locked="1"/>
    <w:lsdException w:name="footnote reference" w:locked="1" w:uiPriority="0"/>
    <w:lsdException w:name="annotation reference" w:locked="1" w:uiPriority="0"/>
    <w:lsdException w:name="line number" w:locked="1"/>
    <w:lsdException w:name="page number" w:locked="1" w:uiPriority="0"/>
    <w:lsdException w:name="endnote reference" w:locked="1" w:uiPriority="0"/>
    <w:lsdException w:name="endnote text" w:locked="1" w:uiPriority="0"/>
    <w:lsdException w:name="table of authorities" w:locked="1"/>
    <w:lsdException w:name="macro" w:locked="1"/>
    <w:lsdException w:name="toa heading" w:locked="1" w:uiPriority="0"/>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1"/>
    <w:lsdException w:name="Body Text" w:locked="1" w:uiPriority="0"/>
    <w:lsdException w:name="Body Text Indent" w:locked="1" w:uiPriority="0"/>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uiPriority="0"/>
    <w:lsdException w:name="Hyperlink" w:locked="1" w:uiPriority="0"/>
    <w:lsdException w:name="FollowedHyperlink" w:locked="1" w:uiPriority="0"/>
    <w:lsdException w:name="Strong" w:semiHidden="0" w:unhideWhenUsed="0" w:qFormat="1"/>
    <w:lsdException w:name="Emphasis" w:semiHidden="0" w:unhideWhenUsed="0" w:qFormat="1"/>
    <w:lsdException w:name="Document Map" w:locked="1"/>
    <w:lsdException w:name="Plain Text" w:locked="1" w:uiPriority="0"/>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uiPriority="0"/>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uiPriority="0"/>
    <w:lsdException w:name="Table Grid" w:semiHidden="0" w:uiPriority="0" w:unhideWhenUsed="0"/>
    <w:lsdException w:name="Table Theme" w:locked="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A0395D"/>
    <w:rPr>
      <w:rFonts w:ascii="Courier New" w:hAnsi="Courier New" w:cs="Courier New"/>
      <w:sz w:val="24"/>
      <w:szCs w:val="24"/>
    </w:rPr>
  </w:style>
  <w:style w:type="paragraph" w:styleId="Heading1">
    <w:name w:val="heading 1"/>
    <w:aliases w:val="Heading 1 Char2,Heading 1 Char1 Char,Heading 1 Char Char Char,Heading 1 Char Char1,Heading 1 Char1 Char1,Heading 1 Char Char Char1,Heading 1 Char1 Char Char Char,Heading 1 Char Char Char Char Char,Heading 1 Char Char1 Char,Heading 1 Char Char"/>
    <w:basedOn w:val="Normal"/>
    <w:next w:val="ParaNum"/>
    <w:link w:val="Heading1Char"/>
    <w:qFormat/>
    <w:rsid w:val="00552B41"/>
    <w:pPr>
      <w:keepNext/>
      <w:numPr>
        <w:numId w:val="3"/>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
    <w:link w:val="Heading2Char"/>
    <w:autoRedefine/>
    <w:qFormat/>
    <w:rsid w:val="00552B41"/>
    <w:pPr>
      <w:keepNext/>
      <w:numPr>
        <w:ilvl w:val="1"/>
        <w:numId w:val="3"/>
      </w:numPr>
      <w:spacing w:after="120"/>
      <w:outlineLvl w:val="1"/>
    </w:pPr>
    <w:rPr>
      <w:b/>
    </w:rPr>
  </w:style>
  <w:style w:type="paragraph" w:styleId="Heading3">
    <w:name w:val="heading 3"/>
    <w:aliases w:val="Heading 3 Char1,Heading 3 Char Char,Heading 3 Char1 Char Char,Heading 3 Char Char Char Char,Heading 3 Char1 Char,Heading 3 Char Char Char,Heading 3 Char,Heading 3 Char2 Char1 Char Char,Heading 3 Char Char1 Ch"/>
    <w:basedOn w:val="Normal"/>
    <w:next w:val="ParaNum"/>
    <w:link w:val="Heading3Char2"/>
    <w:qFormat/>
    <w:rsid w:val="00552B41"/>
    <w:pPr>
      <w:keepNext/>
      <w:numPr>
        <w:ilvl w:val="2"/>
        <w:numId w:val="3"/>
      </w:numPr>
      <w:tabs>
        <w:tab w:val="left" w:pos="2160"/>
      </w:tabs>
      <w:spacing w:after="120"/>
      <w:outlineLvl w:val="2"/>
    </w:pPr>
    <w:rPr>
      <w:b/>
    </w:rPr>
  </w:style>
  <w:style w:type="paragraph" w:styleId="Heading4">
    <w:name w:val="heading 4"/>
    <w:aliases w:val="Heading 4 Char2,Heading 4 Char1 Char1,Heading 4 Char Char Char,Heading 4 Char Char1,Heading 4 Char2 Char Char,Heading 4 Char1 Char1 Char Char,Heading 4 Char Char Char1 Char Char,Heading 4 Char Char1 Char Char,Heading 4 Char1,Heading 4 Char"/>
    <w:basedOn w:val="Normal"/>
    <w:next w:val="ParaNum"/>
    <w:link w:val="Heading4Char3"/>
    <w:qFormat/>
    <w:rsid w:val="00552B41"/>
    <w:pPr>
      <w:keepNext/>
      <w:numPr>
        <w:ilvl w:val="3"/>
        <w:numId w:val="3"/>
      </w:numPr>
      <w:tabs>
        <w:tab w:val="left" w:pos="2880"/>
      </w:tabs>
      <w:spacing w:after="120"/>
      <w:outlineLvl w:val="3"/>
    </w:pPr>
    <w:rPr>
      <w:b/>
    </w:rPr>
  </w:style>
  <w:style w:type="paragraph" w:styleId="Heading5">
    <w:name w:val="heading 5"/>
    <w:aliases w:val="Heading 5 Char"/>
    <w:basedOn w:val="Normal"/>
    <w:next w:val="ParaNum"/>
    <w:link w:val="Heading5Char1"/>
    <w:qFormat/>
    <w:rsid w:val="00552B41"/>
    <w:pPr>
      <w:keepNext/>
      <w:numPr>
        <w:ilvl w:val="4"/>
        <w:numId w:val="3"/>
      </w:numPr>
      <w:tabs>
        <w:tab w:val="left" w:pos="3600"/>
      </w:tabs>
      <w:suppressAutoHyphens/>
      <w:spacing w:after="120"/>
      <w:outlineLvl w:val="4"/>
    </w:pPr>
    <w:rPr>
      <w:b/>
    </w:rPr>
  </w:style>
  <w:style w:type="paragraph" w:styleId="Heading6">
    <w:name w:val="heading 6"/>
    <w:aliases w:val="h6"/>
    <w:basedOn w:val="Normal"/>
    <w:next w:val="ParaNum"/>
    <w:link w:val="Heading6Char"/>
    <w:qFormat/>
    <w:rsid w:val="00552B41"/>
    <w:pPr>
      <w:numPr>
        <w:ilvl w:val="5"/>
        <w:numId w:val="3"/>
      </w:numPr>
      <w:tabs>
        <w:tab w:val="left" w:pos="4320"/>
      </w:tabs>
      <w:spacing w:after="120"/>
      <w:outlineLvl w:val="5"/>
    </w:pPr>
    <w:rPr>
      <w:b/>
    </w:rPr>
  </w:style>
  <w:style w:type="paragraph" w:styleId="Heading7">
    <w:name w:val="heading 7"/>
    <w:aliases w:val="Heading 7 Char"/>
    <w:basedOn w:val="Normal"/>
    <w:next w:val="ParaNum"/>
    <w:link w:val="Heading7Char1"/>
    <w:qFormat/>
    <w:rsid w:val="00552B41"/>
    <w:pPr>
      <w:numPr>
        <w:ilvl w:val="6"/>
        <w:numId w:val="3"/>
      </w:numPr>
      <w:tabs>
        <w:tab w:val="left" w:pos="5040"/>
      </w:tabs>
      <w:spacing w:after="120"/>
      <w:ind w:left="5040" w:hanging="720"/>
      <w:outlineLvl w:val="6"/>
    </w:pPr>
    <w:rPr>
      <w:b/>
    </w:rPr>
  </w:style>
  <w:style w:type="paragraph" w:styleId="Heading8">
    <w:name w:val="heading 8"/>
    <w:basedOn w:val="Normal"/>
    <w:next w:val="ParaNum"/>
    <w:link w:val="Heading8Char"/>
    <w:qFormat/>
    <w:rsid w:val="00552B41"/>
    <w:pPr>
      <w:numPr>
        <w:ilvl w:val="7"/>
        <w:numId w:val="3"/>
      </w:numPr>
      <w:tabs>
        <w:tab w:val="clear" w:pos="5400"/>
        <w:tab w:val="left" w:pos="5760"/>
      </w:tabs>
      <w:spacing w:after="120"/>
      <w:ind w:left="5760" w:hanging="720"/>
      <w:outlineLvl w:val="7"/>
    </w:pPr>
    <w:rPr>
      <w:b/>
    </w:rPr>
  </w:style>
  <w:style w:type="paragraph" w:styleId="Heading9">
    <w:name w:val="heading 9"/>
    <w:aliases w:val="Heading 9 Char"/>
    <w:basedOn w:val="Normal"/>
    <w:next w:val="ParaNum"/>
    <w:link w:val="Heading9Char1"/>
    <w:qFormat/>
    <w:rsid w:val="00552B41"/>
    <w:pPr>
      <w:numPr>
        <w:ilvl w:val="8"/>
        <w:numId w:val="3"/>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rsid w:val="00A0395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0395D"/>
  </w:style>
  <w:style w:type="character" w:customStyle="1" w:styleId="Heading1Char">
    <w:name w:val="Heading 1 Char"/>
    <w:aliases w:val="Heading 1 Char2 Char,Heading 1 Char1 Char Char,Heading 1 Char Char Char Char,Heading 1 Char Char1 Char1,Heading 1 Char1 Char1 Char,Heading 1 Char Char Char1 Char,Heading 1 Char1 Char Char Char Char,Heading 1 Char Char Char Char Char Char"/>
    <w:basedOn w:val="DefaultParagraphFont"/>
    <w:link w:val="Heading1"/>
    <w:locked/>
    <w:rsid w:val="003722ED"/>
    <w:rPr>
      <w:rFonts w:ascii="Times New Roman Bold" w:hAnsi="Times New Roman Bold"/>
      <w:b/>
      <w:caps/>
      <w:snapToGrid w:val="0"/>
      <w:kern w:val="28"/>
      <w:szCs w:val="20"/>
    </w:rPr>
  </w:style>
  <w:style w:type="character" w:customStyle="1" w:styleId="Heading2Char2">
    <w:name w:val="Heading 2 Char2"/>
    <w:aliases w:val="Heading 2 Char Char,Heading 2 Char1 Char,Heading 2 Char Char1 Char,Heading 2 Char Char Char Char Char,Heading 2 Char1 Char Char1 Char Char Char,Heading 2 Char Char3 Char Char Char Char Char"/>
    <w:basedOn w:val="DefaultParagraphFont"/>
    <w:locked/>
    <w:rsid w:val="00043263"/>
    <w:rPr>
      <w:b/>
      <w:snapToGrid w:val="0"/>
      <w:kern w:val="28"/>
      <w:szCs w:val="20"/>
    </w:rPr>
  </w:style>
  <w:style w:type="character" w:customStyle="1" w:styleId="Heading3Char2">
    <w:name w:val="Heading 3 Char2"/>
    <w:aliases w:val="Heading 3 Char1 Char1,Heading 3 Char Char Char1,Heading 3 Char1 Char Char Char,Heading 3 Char Char Char Char Char,Heading 3 Char1 Char Char1,Heading 3 Char Char Char Char1,Heading 3 Char Char1,Heading 3 Char2 Char1 Char Char Char"/>
    <w:basedOn w:val="DefaultParagraphFont"/>
    <w:link w:val="Heading3"/>
    <w:locked/>
    <w:rsid w:val="00767F25"/>
    <w:rPr>
      <w:b/>
      <w:snapToGrid w:val="0"/>
      <w:kern w:val="28"/>
      <w:szCs w:val="20"/>
    </w:rPr>
  </w:style>
  <w:style w:type="character" w:customStyle="1" w:styleId="Heading4Char3">
    <w:name w:val="Heading 4 Char3"/>
    <w:aliases w:val="Heading 4 Char2 Char,Heading 4 Char1 Char1 Char,Heading 4 Char Char Char Char,Heading 4 Char Char1 Char,Heading 4 Char2 Char Char Char,Heading 4 Char1 Char1 Char Char Char,Heading 4 Char Char Char1 Char Char Char,Heading 4 Char1 Char"/>
    <w:basedOn w:val="DefaultParagraphFont"/>
    <w:link w:val="Heading4"/>
    <w:locked/>
    <w:rsid w:val="00767F25"/>
    <w:rPr>
      <w:b/>
      <w:snapToGrid w:val="0"/>
      <w:kern w:val="28"/>
      <w:szCs w:val="20"/>
    </w:rPr>
  </w:style>
  <w:style w:type="character" w:customStyle="1" w:styleId="Heading5Char1">
    <w:name w:val="Heading 5 Char1"/>
    <w:aliases w:val="Heading 5 Char Char"/>
    <w:basedOn w:val="DefaultParagraphFont"/>
    <w:link w:val="Heading5"/>
    <w:locked/>
    <w:rsid w:val="00767F25"/>
    <w:rPr>
      <w:b/>
      <w:snapToGrid w:val="0"/>
      <w:kern w:val="28"/>
      <w:szCs w:val="20"/>
    </w:rPr>
  </w:style>
  <w:style w:type="character" w:customStyle="1" w:styleId="Heading6Char">
    <w:name w:val="Heading 6 Char"/>
    <w:aliases w:val="h6 Char"/>
    <w:basedOn w:val="DefaultParagraphFont"/>
    <w:link w:val="Heading6"/>
    <w:locked/>
    <w:rsid w:val="00767F25"/>
    <w:rPr>
      <w:b/>
      <w:snapToGrid w:val="0"/>
      <w:kern w:val="28"/>
      <w:szCs w:val="20"/>
    </w:rPr>
  </w:style>
  <w:style w:type="character" w:customStyle="1" w:styleId="Heading7Char1">
    <w:name w:val="Heading 7 Char1"/>
    <w:aliases w:val="Heading 7 Char Char"/>
    <w:basedOn w:val="DefaultParagraphFont"/>
    <w:link w:val="Heading7"/>
    <w:locked/>
    <w:rsid w:val="00767F25"/>
    <w:rPr>
      <w:b/>
      <w:snapToGrid w:val="0"/>
      <w:kern w:val="28"/>
      <w:szCs w:val="20"/>
    </w:rPr>
  </w:style>
  <w:style w:type="character" w:customStyle="1" w:styleId="Heading8Char">
    <w:name w:val="Heading 8 Char"/>
    <w:basedOn w:val="DefaultParagraphFont"/>
    <w:link w:val="Heading8"/>
    <w:locked/>
    <w:rsid w:val="00767F25"/>
    <w:rPr>
      <w:b/>
      <w:snapToGrid w:val="0"/>
      <w:kern w:val="28"/>
      <w:szCs w:val="20"/>
    </w:rPr>
  </w:style>
  <w:style w:type="character" w:customStyle="1" w:styleId="Heading9Char1">
    <w:name w:val="Heading 9 Char1"/>
    <w:aliases w:val="Heading 9 Char Char"/>
    <w:basedOn w:val="DefaultParagraphFont"/>
    <w:link w:val="Heading9"/>
    <w:locked/>
    <w:rsid w:val="00767F25"/>
    <w:rPr>
      <w:b/>
      <w:snapToGrid w:val="0"/>
      <w:kern w:val="28"/>
      <w:szCs w:val="20"/>
    </w:rPr>
  </w:style>
  <w:style w:type="paragraph" w:styleId="BalloonText">
    <w:name w:val="Balloon Text"/>
    <w:basedOn w:val="Normal"/>
    <w:link w:val="BalloonTextChar"/>
    <w:rsid w:val="00AF1B01"/>
    <w:rPr>
      <w:rFonts w:ascii="Lucida Grande" w:hAnsi="Lucida Grande"/>
      <w:sz w:val="18"/>
      <w:szCs w:val="18"/>
    </w:rPr>
  </w:style>
  <w:style w:type="character" w:customStyle="1" w:styleId="BalloonTextChar">
    <w:name w:val="Balloon Text Char"/>
    <w:basedOn w:val="DefaultParagraphFont"/>
    <w:link w:val="BalloonText"/>
    <w:locked/>
    <w:rsid w:val="00031BAA"/>
    <w:rPr>
      <w:rFonts w:ascii="Lucida Grande" w:eastAsiaTheme="minorEastAsia" w:hAnsi="Lucida Grande"/>
      <w:sz w:val="18"/>
      <w:szCs w:val="18"/>
    </w:rPr>
  </w:style>
  <w:style w:type="character" w:customStyle="1" w:styleId="fChar">
    <w:name w:val="f Char"/>
    <w:basedOn w:val="DefaultParagraphFont"/>
    <w:rsid w:val="000A2FE4"/>
    <w:rPr>
      <w:rFonts w:cs="Times New Roman"/>
    </w:rPr>
  </w:style>
  <w:style w:type="paragraph" w:styleId="EndnoteText">
    <w:name w:val="endnote text"/>
    <w:basedOn w:val="Normal"/>
    <w:link w:val="EndnoteTextChar"/>
    <w:rsid w:val="00552B41"/>
    <w:rPr>
      <w:sz w:val="20"/>
    </w:rPr>
  </w:style>
  <w:style w:type="character" w:customStyle="1" w:styleId="EndnoteTextChar">
    <w:name w:val="Endnote Text Char"/>
    <w:basedOn w:val="DefaultParagraphFont"/>
    <w:link w:val="EndnoteText"/>
    <w:locked/>
    <w:rsid w:val="00767F25"/>
    <w:rPr>
      <w:snapToGrid w:val="0"/>
      <w:kern w:val="28"/>
      <w:sz w:val="20"/>
      <w:szCs w:val="20"/>
    </w:rPr>
  </w:style>
  <w:style w:type="character" w:styleId="EndnoteReference">
    <w:name w:val="endnote reference"/>
    <w:basedOn w:val="DefaultParagraphFont"/>
    <w:rsid w:val="00552B41"/>
    <w:rPr>
      <w:vertAlign w:val="superscript"/>
    </w:rPr>
  </w:style>
  <w:style w:type="paragraph" w:styleId="FootnoteText">
    <w:name w:val="footnote text"/>
    <w:aliases w:val="Footnote Text Char1,ALTS FOOTNOTE Char1,fn Char1,Footnote Text Char Char,ALTS FOOTNOTE Char Char,fn Char Char,Footnote Text Char1 Char Char,Footnote Text Char Char Char Char,Footnote Text Char2 Char Char Char Char,ALTS FOOTNOTE,fn,fn Char"/>
    <w:link w:val="FootnoteTextChar2"/>
    <w:rsid w:val="00552B41"/>
    <w:pPr>
      <w:spacing w:after="120"/>
    </w:pPr>
    <w:rPr>
      <w:sz w:val="20"/>
      <w:szCs w:val="20"/>
    </w:rPr>
  </w:style>
  <w:style w:type="character" w:customStyle="1" w:styleId="FootnoteTextChar">
    <w:name w:val="Footnote Text Char"/>
    <w:aliases w:val="Footnote Text Char1 Char,ALTS FOOTNOTE Char1 Char,fn Char1 Char,Footnote Text Char Char Char,ALTS FOOTNOTE Char Char Char,fn Char Char Char,Footnote Text Char1 Char Char Char,Footnote Text Char Char Char Char Char,ALTS FOOTNOTE Char"/>
    <w:basedOn w:val="DefaultParagraphFont"/>
    <w:uiPriority w:val="99"/>
    <w:locked/>
    <w:rsid w:val="00767F25"/>
    <w:rPr>
      <w:rFonts w:cs="Times New Roman"/>
      <w:kern w:val="28"/>
      <w:sz w:val="20"/>
      <w:szCs w:val="20"/>
    </w:rPr>
  </w:style>
  <w:style w:type="character" w:styleId="FootnoteReference">
    <w:name w:val="footnote reference"/>
    <w:aliases w:val="Style 12,(NECG) Footnote Reference,Style 13,Appel note de bas de p,Style 124,fr,o,Style 3,FR,Style 6,Style 17,Footnote Reference/,Style 7"/>
    <w:basedOn w:val="DefaultParagraphFont"/>
    <w:rsid w:val="00552B41"/>
    <w:rPr>
      <w:rFonts w:ascii="Times New Roman" w:hAnsi="Times New Roman"/>
      <w:dstrike w:val="0"/>
      <w:color w:val="auto"/>
      <w:sz w:val="22"/>
      <w:vertAlign w:val="superscript"/>
    </w:rPr>
  </w:style>
  <w:style w:type="paragraph" w:styleId="TOC4">
    <w:name w:val="toc 4"/>
    <w:basedOn w:val="Normal"/>
    <w:next w:val="Normal"/>
    <w:autoRedefine/>
    <w:rsid w:val="00552B41"/>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rsid w:val="00552B41"/>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rsid w:val="00552B41"/>
    <w:pPr>
      <w:tabs>
        <w:tab w:val="left" w:pos="2160"/>
        <w:tab w:val="right" w:leader="dot" w:pos="9360"/>
      </w:tabs>
      <w:suppressAutoHyphens/>
      <w:ind w:left="2160" w:hanging="360"/>
    </w:pPr>
    <w:rPr>
      <w:noProof/>
    </w:rPr>
  </w:style>
  <w:style w:type="paragraph" w:styleId="TOC7">
    <w:name w:val="toc 7"/>
    <w:basedOn w:val="Normal"/>
    <w:next w:val="Normal"/>
    <w:autoRedefine/>
    <w:semiHidden/>
    <w:rsid w:val="00552B41"/>
    <w:pPr>
      <w:tabs>
        <w:tab w:val="left" w:pos="2520"/>
        <w:tab w:val="right" w:leader="dot" w:pos="9360"/>
      </w:tabs>
      <w:suppressAutoHyphens/>
      <w:ind w:left="2520" w:hanging="360"/>
    </w:pPr>
    <w:rPr>
      <w:noProof/>
    </w:rPr>
  </w:style>
  <w:style w:type="paragraph" w:styleId="TOC8">
    <w:name w:val="toc 8"/>
    <w:basedOn w:val="Normal"/>
    <w:next w:val="Normal"/>
    <w:autoRedefine/>
    <w:semiHidden/>
    <w:rsid w:val="00552B41"/>
    <w:pPr>
      <w:tabs>
        <w:tab w:val="left" w:pos="2880"/>
        <w:tab w:val="right" w:leader="dot" w:pos="9360"/>
      </w:tabs>
      <w:suppressAutoHyphens/>
      <w:ind w:left="2880" w:hanging="360"/>
    </w:pPr>
    <w:rPr>
      <w:noProof/>
    </w:rPr>
  </w:style>
  <w:style w:type="paragraph" w:styleId="TOC9">
    <w:name w:val="toc 9"/>
    <w:basedOn w:val="Normal"/>
    <w:next w:val="Normal"/>
    <w:autoRedefine/>
    <w:semiHidden/>
    <w:rsid w:val="00552B41"/>
    <w:pPr>
      <w:tabs>
        <w:tab w:val="left" w:pos="3240"/>
        <w:tab w:val="right" w:leader="dot" w:pos="9360"/>
      </w:tabs>
      <w:suppressAutoHyphens/>
      <w:ind w:left="3240" w:hanging="360"/>
    </w:pPr>
    <w:rPr>
      <w:noProof/>
    </w:rPr>
  </w:style>
  <w:style w:type="paragraph" w:styleId="TOAHeading">
    <w:name w:val="toa heading"/>
    <w:basedOn w:val="Normal"/>
    <w:next w:val="Normal"/>
    <w:semiHidden/>
    <w:rsid w:val="00552B41"/>
    <w:pPr>
      <w:tabs>
        <w:tab w:val="right" w:pos="9360"/>
      </w:tabs>
      <w:suppressAutoHyphens/>
    </w:pPr>
  </w:style>
  <w:style w:type="character" w:customStyle="1" w:styleId="EquationCaption">
    <w:name w:val="_Equation Caption"/>
    <w:rsid w:val="00552B41"/>
  </w:style>
  <w:style w:type="paragraph" w:styleId="Header">
    <w:name w:val="header"/>
    <w:basedOn w:val="Normal"/>
    <w:link w:val="HeaderChar"/>
    <w:autoRedefine/>
    <w:rsid w:val="00552B41"/>
    <w:pPr>
      <w:tabs>
        <w:tab w:val="center" w:pos="4680"/>
        <w:tab w:val="right" w:pos="9360"/>
      </w:tabs>
    </w:pPr>
    <w:rPr>
      <w:b/>
    </w:rPr>
  </w:style>
  <w:style w:type="character" w:customStyle="1" w:styleId="HeaderChar">
    <w:name w:val="Header Char"/>
    <w:basedOn w:val="DefaultParagraphFont"/>
    <w:link w:val="Header"/>
    <w:locked/>
    <w:rsid w:val="003722ED"/>
    <w:rPr>
      <w:b/>
      <w:snapToGrid w:val="0"/>
      <w:kern w:val="28"/>
      <w:szCs w:val="20"/>
    </w:rPr>
  </w:style>
  <w:style w:type="paragraph" w:styleId="Footer">
    <w:name w:val="footer"/>
    <w:basedOn w:val="Normal"/>
    <w:link w:val="FooterChar"/>
    <w:rsid w:val="00552B41"/>
    <w:pPr>
      <w:tabs>
        <w:tab w:val="center" w:pos="4320"/>
        <w:tab w:val="right" w:pos="8640"/>
      </w:tabs>
    </w:pPr>
  </w:style>
  <w:style w:type="character" w:customStyle="1" w:styleId="FooterChar">
    <w:name w:val="Footer Char"/>
    <w:basedOn w:val="DefaultParagraphFont"/>
    <w:link w:val="Footer"/>
    <w:locked/>
    <w:rsid w:val="003722ED"/>
    <w:rPr>
      <w:snapToGrid w:val="0"/>
      <w:kern w:val="28"/>
      <w:szCs w:val="20"/>
    </w:rPr>
  </w:style>
  <w:style w:type="character" w:styleId="PageNumber">
    <w:name w:val="page number"/>
    <w:basedOn w:val="DefaultParagraphFont"/>
    <w:rsid w:val="00552B41"/>
  </w:style>
  <w:style w:type="paragraph" w:styleId="BlockText">
    <w:name w:val="Block Text"/>
    <w:basedOn w:val="Normal"/>
    <w:rsid w:val="00552B41"/>
    <w:pPr>
      <w:spacing w:after="240"/>
      <w:ind w:left="1440" w:right="1440"/>
    </w:pPr>
  </w:style>
  <w:style w:type="paragraph" w:customStyle="1" w:styleId="Paratitle">
    <w:name w:val="Para title"/>
    <w:basedOn w:val="Normal"/>
    <w:rsid w:val="00552B41"/>
    <w:pPr>
      <w:tabs>
        <w:tab w:val="center" w:pos="9270"/>
      </w:tabs>
      <w:spacing w:after="240"/>
    </w:pPr>
    <w:rPr>
      <w:spacing w:val="-2"/>
    </w:rPr>
  </w:style>
  <w:style w:type="paragraph" w:customStyle="1" w:styleId="Bullet">
    <w:name w:val="Bullet"/>
    <w:basedOn w:val="Normal"/>
    <w:rsid w:val="00552B41"/>
    <w:pPr>
      <w:numPr>
        <w:numId w:val="1"/>
      </w:numPr>
      <w:tabs>
        <w:tab w:val="clear" w:pos="360"/>
        <w:tab w:val="left" w:pos="2160"/>
      </w:tabs>
      <w:spacing w:after="220"/>
      <w:ind w:left="2160" w:hanging="720"/>
    </w:pPr>
  </w:style>
  <w:style w:type="paragraph" w:customStyle="1" w:styleId="TableFormat">
    <w:name w:val="TableFormat"/>
    <w:basedOn w:val="Bullet"/>
    <w:rsid w:val="00552B41"/>
    <w:pPr>
      <w:numPr>
        <w:numId w:val="0"/>
      </w:numPr>
      <w:tabs>
        <w:tab w:val="clear" w:pos="2160"/>
        <w:tab w:val="left" w:pos="5040"/>
      </w:tabs>
      <w:ind w:left="5040" w:hanging="3600"/>
    </w:pPr>
  </w:style>
  <w:style w:type="paragraph" w:customStyle="1" w:styleId="TOCTitle">
    <w:name w:val="TOC Title"/>
    <w:basedOn w:val="Normal"/>
    <w:rsid w:val="00552B41"/>
    <w:pPr>
      <w:spacing w:before="240" w:after="240"/>
      <w:jc w:val="center"/>
    </w:pPr>
    <w:rPr>
      <w:rFonts w:ascii="Times New Roman Bold" w:hAnsi="Times New Roman Bold"/>
      <w:b/>
      <w:caps/>
      <w:spacing w:val="-2"/>
    </w:rPr>
  </w:style>
  <w:style w:type="paragraph" w:customStyle="1" w:styleId="StyleBoldCentered">
    <w:name w:val="Style Bold Centered"/>
    <w:basedOn w:val="Normal"/>
    <w:rsid w:val="00552B41"/>
    <w:pPr>
      <w:jc w:val="center"/>
    </w:pPr>
    <w:rPr>
      <w:rFonts w:ascii="Times New Roman Bold" w:hAnsi="Times New Roman Bold"/>
      <w:b/>
      <w:bCs/>
      <w:caps/>
      <w:szCs w:val="22"/>
    </w:rPr>
  </w:style>
  <w:style w:type="character" w:styleId="Hyperlink">
    <w:name w:val="Hyperlink"/>
    <w:basedOn w:val="DefaultParagraphFont"/>
    <w:rsid w:val="00552B41"/>
    <w:rPr>
      <w:color w:val="0000FF"/>
      <w:u w:val="single"/>
    </w:rPr>
  </w:style>
  <w:style w:type="character" w:styleId="CommentReference">
    <w:name w:val="annotation reference"/>
    <w:basedOn w:val="DefaultParagraphFont"/>
    <w:rsid w:val="00031BAA"/>
    <w:rPr>
      <w:rFonts w:cs="Times New Roman"/>
      <w:sz w:val="16"/>
    </w:rPr>
  </w:style>
  <w:style w:type="paragraph" w:styleId="CommentText">
    <w:name w:val="annotation text"/>
    <w:basedOn w:val="Normal"/>
    <w:link w:val="CommentTextChar"/>
    <w:rsid w:val="00031BAA"/>
    <w:rPr>
      <w:sz w:val="20"/>
    </w:rPr>
  </w:style>
  <w:style w:type="character" w:customStyle="1" w:styleId="CommentTextChar">
    <w:name w:val="Comment Text Char"/>
    <w:basedOn w:val="DefaultParagraphFont"/>
    <w:link w:val="CommentText"/>
    <w:locked/>
    <w:rsid w:val="00031BAA"/>
    <w:rPr>
      <w:rFonts w:cs="Times New Roman"/>
      <w:kern w:val="28"/>
    </w:rPr>
  </w:style>
  <w:style w:type="character" w:customStyle="1" w:styleId="FootnoteTextChar2">
    <w:name w:val="Footnote Text Char2"/>
    <w:aliases w:val="Footnote Text Char1 Char1,ALTS FOOTNOTE Char1 Char2,fn Char1 Char1,Footnote Text Char Char Char1,ALTS FOOTNOTE Char Char Char1,fn Char Char Char1,Footnote Text Char1 Char Char Char1,Footnote Text Char Char Char Char Char1,fn Char4"/>
    <w:link w:val="FootnoteText"/>
    <w:locked/>
    <w:rsid w:val="000D6D9E"/>
    <w:rPr>
      <w:sz w:val="20"/>
      <w:szCs w:val="20"/>
    </w:rPr>
  </w:style>
  <w:style w:type="character" w:styleId="FollowedHyperlink">
    <w:name w:val="FollowedHyperlink"/>
    <w:basedOn w:val="DefaultParagraphFont"/>
    <w:rsid w:val="003722ED"/>
    <w:rPr>
      <w:rFonts w:cs="Times New Roman"/>
      <w:color w:val="800080"/>
      <w:u w:val="single"/>
    </w:rPr>
  </w:style>
  <w:style w:type="character" w:customStyle="1" w:styleId="StyleNumberedparagraphs11ptChar">
    <w:name w:val="Style Numbered paragraphs + 11 pt Char"/>
    <w:uiPriority w:val="99"/>
    <w:rsid w:val="003722ED"/>
    <w:rPr>
      <w:sz w:val="22"/>
      <w:lang w:val="en-US" w:eastAsia="en-US"/>
    </w:rPr>
  </w:style>
  <w:style w:type="character" w:customStyle="1" w:styleId="ParaNumChar">
    <w:name w:val="ParaNum Char"/>
    <w:link w:val="ParaNum"/>
    <w:locked/>
    <w:rsid w:val="000D6D9E"/>
    <w:rPr>
      <w:snapToGrid w:val="0"/>
      <w:kern w:val="28"/>
      <w:szCs w:val="20"/>
    </w:rPr>
  </w:style>
  <w:style w:type="character" w:customStyle="1" w:styleId="fnChar3">
    <w:name w:val="fn Char3"/>
    <w:aliases w:val="Footnote Text Char1 Char1 Char Char Char Char1,f Char Char,Footnote Text Char1 Char1 Char Char Char Char,Footnote Text Char3,ALTS FOOTNOTE Char3,Footnote Text Char Char1,ALTS FOOTNOTE Char Char1,fn Char Char2,Footnote Text Char1 Char Char1"/>
    <w:uiPriority w:val="99"/>
    <w:semiHidden/>
    <w:locked/>
    <w:rsid w:val="003722ED"/>
    <w:rPr>
      <w:lang w:val="en-US" w:eastAsia="en-US"/>
    </w:rPr>
  </w:style>
  <w:style w:type="paragraph" w:styleId="NormalWeb">
    <w:name w:val="Normal (Web)"/>
    <w:basedOn w:val="Normal"/>
    <w:uiPriority w:val="99"/>
    <w:rsid w:val="003722ED"/>
    <w:pPr>
      <w:spacing w:before="100" w:beforeAutospacing="1" w:after="360"/>
    </w:pPr>
  </w:style>
  <w:style w:type="character" w:customStyle="1" w:styleId="documentbody1">
    <w:name w:val="documentbody1"/>
    <w:rsid w:val="003722ED"/>
    <w:rPr>
      <w:rFonts w:ascii="Verdana" w:hAnsi="Verdana"/>
      <w:sz w:val="19"/>
    </w:rPr>
  </w:style>
  <w:style w:type="character" w:customStyle="1" w:styleId="documentbody">
    <w:name w:val="documentbody"/>
    <w:uiPriority w:val="99"/>
    <w:rsid w:val="003722ED"/>
  </w:style>
  <w:style w:type="character" w:customStyle="1" w:styleId="searchterm">
    <w:name w:val="searchterm"/>
    <w:uiPriority w:val="99"/>
    <w:rsid w:val="003722ED"/>
  </w:style>
  <w:style w:type="character" w:customStyle="1" w:styleId="italics1">
    <w:name w:val="italics1"/>
    <w:uiPriority w:val="99"/>
    <w:rsid w:val="003722ED"/>
    <w:rPr>
      <w:i/>
    </w:rPr>
  </w:style>
  <w:style w:type="paragraph" w:customStyle="1" w:styleId="Numberedparagraphs">
    <w:name w:val="Numbered paragraphs"/>
    <w:basedOn w:val="Normal"/>
    <w:uiPriority w:val="99"/>
    <w:rsid w:val="003722ED"/>
    <w:pPr>
      <w:numPr>
        <w:ilvl w:val="2"/>
        <w:numId w:val="4"/>
      </w:numPr>
      <w:tabs>
        <w:tab w:val="left" w:pos="1440"/>
      </w:tabs>
      <w:spacing w:after="220"/>
    </w:pPr>
  </w:style>
  <w:style w:type="paragraph" w:styleId="CommentSubject">
    <w:name w:val="annotation subject"/>
    <w:basedOn w:val="CommentText"/>
    <w:next w:val="CommentText"/>
    <w:link w:val="CommentSubjectChar"/>
    <w:rsid w:val="003722ED"/>
    <w:rPr>
      <w:b/>
      <w:bCs/>
    </w:rPr>
  </w:style>
  <w:style w:type="character" w:customStyle="1" w:styleId="CommentSubjectChar">
    <w:name w:val="Comment Subject Char"/>
    <w:basedOn w:val="CommentTextChar"/>
    <w:link w:val="CommentSubject"/>
    <w:locked/>
    <w:rsid w:val="003722ED"/>
    <w:rPr>
      <w:rFonts w:cs="Times New Roman"/>
      <w:b/>
      <w:kern w:val="28"/>
    </w:rPr>
  </w:style>
  <w:style w:type="character" w:customStyle="1" w:styleId="ALTSFOOTNOTEChar1CharChar">
    <w:name w:val="ALTS FOOTNOTE Char1 Char Char"/>
    <w:aliases w:val="fn Char1 Char Char,ALTS FOOTNOTE Char Char Char Char,fn Char Char Char Char,Footnote Text Char1 Char Char Char Char,ALTS FOOTNOTE Char1 Char Char Char Char,fn Char1 Char Char Char Char,Footnote Text Char2 Char"/>
    <w:uiPriority w:val="99"/>
    <w:rsid w:val="003722ED"/>
    <w:rPr>
      <w:lang w:val="en-US" w:eastAsia="en-US"/>
    </w:rPr>
  </w:style>
  <w:style w:type="character" w:styleId="Emphasis">
    <w:name w:val="Emphasis"/>
    <w:basedOn w:val="DefaultParagraphFont"/>
    <w:uiPriority w:val="99"/>
    <w:qFormat/>
    <w:rsid w:val="003722ED"/>
    <w:rPr>
      <w:rFonts w:cs="Times New Roman"/>
      <w:i/>
    </w:rPr>
  </w:style>
  <w:style w:type="paragraph" w:styleId="HTMLPreformatted">
    <w:name w:val="HTML Preformatted"/>
    <w:basedOn w:val="Normal"/>
    <w:link w:val="HTMLPreformattedChar"/>
    <w:uiPriority w:val="99"/>
    <w:rsid w:val="003722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sz w:val="20"/>
    </w:rPr>
  </w:style>
  <w:style w:type="character" w:customStyle="1" w:styleId="HTMLPreformattedChar">
    <w:name w:val="HTML Preformatted Char"/>
    <w:basedOn w:val="DefaultParagraphFont"/>
    <w:link w:val="HTMLPreformatted"/>
    <w:uiPriority w:val="99"/>
    <w:locked/>
    <w:rsid w:val="003722ED"/>
    <w:rPr>
      <w:rFonts w:ascii="Courier New" w:hAnsi="Courier New" w:cs="Times New Roman"/>
    </w:rPr>
  </w:style>
  <w:style w:type="paragraph" w:customStyle="1" w:styleId="ParaNumCharChar">
    <w:name w:val="ParaNum Char Char"/>
    <w:basedOn w:val="Normal"/>
    <w:uiPriority w:val="99"/>
    <w:rsid w:val="003722ED"/>
    <w:pPr>
      <w:tabs>
        <w:tab w:val="num" w:pos="1080"/>
        <w:tab w:val="left" w:pos="1440"/>
      </w:tabs>
      <w:spacing w:after="220"/>
      <w:ind w:firstLine="720"/>
      <w:jc w:val="both"/>
    </w:pPr>
  </w:style>
  <w:style w:type="character" w:customStyle="1" w:styleId="StyleParaNum11ptCharCharCharCharCharCharCharCharCharCharCharCharCharCharCharCharCharCharCharCharCharCharCharCharCharCharCharCharCharCharCharCharCharCharCharCharCharCharCharCharCharChar">
    <w:name w:val="Style ParaNum + 11 pt Char Char Char Char Char Char Char Char Char Char Char Char Char Char Char Char Char Char Char Char Char Char Char Char Char Char Char Char Char Char Char Char Char Char Char Char Char Char Char Char Char Char"/>
    <w:link w:val="StyleParaNum11ptCharCharCharCharCharCharCharCharCharCharCharCharCharCharCharCharCharCharCharCharCharCharCharCharCharCharCharCharCharCharCharCharCharCharCharCharCharCharCharCharChar"/>
    <w:uiPriority w:val="99"/>
    <w:locked/>
    <w:rsid w:val="003722ED"/>
    <w:rPr>
      <w:snapToGrid w:val="0"/>
      <w:kern w:val="28"/>
      <w:sz w:val="22"/>
    </w:rPr>
  </w:style>
  <w:style w:type="paragraph" w:customStyle="1" w:styleId="StyleParaNum11ptCharCharCharCharCharCharCharCharCharCharCharCharCharCharCharCharCharCharCharCharCharCharCharCharCharCharCharCharCharCharCharCharCharCharCharCharCharCharCharCharChar">
    <w:name w:val="Style ParaNum + 11 pt Char Char Char Char Char Char Char Char Char Char Char Char Char Char Char Char Char Char Char Char Char Char Char Char Char Char Char Char Char Char Char Char Char Char Char Char Char Char Char Char Char"/>
    <w:basedOn w:val="Normal"/>
    <w:link w:val="StyleParaNum11ptCharCharCharCharCharCharCharCharCharCharCharCharCharCharCharCharCharCharCharCharCharCharCharCharCharCharCharCharCharCharCharCharCharCharCharCharCharCharCharCharCharChar"/>
    <w:uiPriority w:val="99"/>
    <w:rsid w:val="003722ED"/>
    <w:pPr>
      <w:tabs>
        <w:tab w:val="left" w:pos="1440"/>
      </w:tabs>
      <w:spacing w:after="220"/>
    </w:pPr>
  </w:style>
  <w:style w:type="character" w:customStyle="1" w:styleId="stylenumberedparagraphs11ptchar0">
    <w:name w:val="stylenumberedparagraphs11ptchar"/>
    <w:uiPriority w:val="99"/>
    <w:rsid w:val="003722ED"/>
  </w:style>
  <w:style w:type="character" w:customStyle="1" w:styleId="Footnote">
    <w:name w:val="Footnote"/>
    <w:rsid w:val="003722ED"/>
  </w:style>
  <w:style w:type="character" w:customStyle="1" w:styleId="EmailStyle671">
    <w:name w:val="EmailStyle671"/>
    <w:uiPriority w:val="99"/>
    <w:semiHidden/>
    <w:rsid w:val="003722ED"/>
    <w:rPr>
      <w:rFonts w:ascii="Arial" w:hAnsi="Arial"/>
      <w:color w:val="auto"/>
      <w:sz w:val="20"/>
    </w:rPr>
  </w:style>
  <w:style w:type="paragraph" w:styleId="PlainText">
    <w:name w:val="Plain Text"/>
    <w:basedOn w:val="Normal"/>
    <w:link w:val="PlainTextChar"/>
    <w:rsid w:val="003722ED"/>
  </w:style>
  <w:style w:type="character" w:customStyle="1" w:styleId="PlainTextChar">
    <w:name w:val="Plain Text Char"/>
    <w:basedOn w:val="DefaultParagraphFont"/>
    <w:link w:val="PlainText"/>
    <w:locked/>
    <w:rsid w:val="003722ED"/>
    <w:rPr>
      <w:rFonts w:cs="Times New Roman"/>
      <w:sz w:val="24"/>
    </w:rPr>
  </w:style>
  <w:style w:type="paragraph" w:styleId="Caption">
    <w:name w:val="caption"/>
    <w:basedOn w:val="Normal"/>
    <w:next w:val="Normal"/>
    <w:uiPriority w:val="99"/>
    <w:qFormat/>
    <w:rsid w:val="003722ED"/>
    <w:rPr>
      <w:b/>
      <w:bCs/>
      <w:sz w:val="20"/>
    </w:rPr>
  </w:style>
  <w:style w:type="paragraph" w:customStyle="1" w:styleId="ColorfulList-Accent11">
    <w:name w:val="Colorful List - Accent 11"/>
    <w:basedOn w:val="Normal"/>
    <w:uiPriority w:val="99"/>
    <w:rsid w:val="003722ED"/>
    <w:pPr>
      <w:ind w:left="720"/>
    </w:pPr>
  </w:style>
  <w:style w:type="character" w:customStyle="1" w:styleId="CommentTextChar1">
    <w:name w:val="Comment Text Char1"/>
    <w:uiPriority w:val="99"/>
    <w:rsid w:val="003722ED"/>
    <w:rPr>
      <w:kern w:val="28"/>
      <w:lang w:val="en-US" w:eastAsia="en-US"/>
    </w:rPr>
  </w:style>
  <w:style w:type="paragraph" w:customStyle="1" w:styleId="ColorfulShading-Accent11">
    <w:name w:val="Colorful Shading - Accent 11"/>
    <w:hidden/>
    <w:uiPriority w:val="99"/>
    <w:semiHidden/>
    <w:rsid w:val="003722ED"/>
    <w:rPr>
      <w:kern w:val="28"/>
      <w:szCs w:val="20"/>
    </w:rPr>
  </w:style>
  <w:style w:type="character" w:customStyle="1" w:styleId="A3">
    <w:name w:val="A3"/>
    <w:uiPriority w:val="99"/>
    <w:rsid w:val="003722ED"/>
    <w:rPr>
      <w:color w:val="000000"/>
      <w:sz w:val="64"/>
    </w:rPr>
  </w:style>
  <w:style w:type="character" w:customStyle="1" w:styleId="CharChar1">
    <w:name w:val="Char Char1"/>
    <w:uiPriority w:val="99"/>
    <w:locked/>
    <w:rsid w:val="003722ED"/>
    <w:rPr>
      <w:rFonts w:ascii="Times New Roman Bold" w:hAnsi="Times New Roman Bold"/>
      <w:b/>
      <w:caps/>
      <w:snapToGrid w:val="0"/>
      <w:kern w:val="28"/>
      <w:sz w:val="22"/>
      <w:lang w:val="en-US" w:eastAsia="en-US"/>
    </w:rPr>
  </w:style>
  <w:style w:type="paragraph" w:customStyle="1" w:styleId="StyleParaNumBlack">
    <w:name w:val="Style ParaNum + Black"/>
    <w:basedOn w:val="Normal"/>
    <w:link w:val="StyleParaNumBlackChar"/>
    <w:autoRedefine/>
    <w:uiPriority w:val="99"/>
    <w:rsid w:val="000A2FE4"/>
    <w:pPr>
      <w:tabs>
        <w:tab w:val="num" w:pos="360"/>
        <w:tab w:val="num" w:pos="1260"/>
        <w:tab w:val="left" w:pos="1440"/>
      </w:tabs>
      <w:ind w:hanging="360"/>
    </w:pPr>
    <w:rPr>
      <w:color w:val="000000"/>
    </w:rPr>
  </w:style>
  <w:style w:type="character" w:customStyle="1" w:styleId="StyleParaNumBlackChar">
    <w:name w:val="Style ParaNum + Black Char"/>
    <w:link w:val="StyleParaNumBlack"/>
    <w:uiPriority w:val="99"/>
    <w:locked/>
    <w:rsid w:val="003722ED"/>
    <w:rPr>
      <w:color w:val="000000"/>
      <w:kern w:val="28"/>
      <w:sz w:val="22"/>
    </w:rPr>
  </w:style>
  <w:style w:type="paragraph" w:customStyle="1" w:styleId="AutoCorrect">
    <w:name w:val="AutoCorrect"/>
    <w:uiPriority w:val="99"/>
    <w:rsid w:val="003722ED"/>
    <w:rPr>
      <w:sz w:val="24"/>
      <w:szCs w:val="24"/>
    </w:rPr>
  </w:style>
  <w:style w:type="paragraph" w:customStyle="1" w:styleId="-PAGE-">
    <w:name w:val="- PAGE -"/>
    <w:uiPriority w:val="99"/>
    <w:rsid w:val="003722ED"/>
    <w:rPr>
      <w:sz w:val="24"/>
      <w:szCs w:val="24"/>
    </w:rPr>
  </w:style>
  <w:style w:type="paragraph" w:customStyle="1" w:styleId="PageXofY">
    <w:name w:val="Page X of Y"/>
    <w:uiPriority w:val="99"/>
    <w:rsid w:val="003722ED"/>
    <w:rPr>
      <w:sz w:val="24"/>
      <w:szCs w:val="24"/>
    </w:rPr>
  </w:style>
  <w:style w:type="paragraph" w:customStyle="1" w:styleId="Createdby">
    <w:name w:val="Created by"/>
    <w:uiPriority w:val="99"/>
    <w:rsid w:val="003722ED"/>
    <w:rPr>
      <w:sz w:val="24"/>
      <w:szCs w:val="24"/>
    </w:rPr>
  </w:style>
  <w:style w:type="paragraph" w:customStyle="1" w:styleId="Createdon">
    <w:name w:val="Created on"/>
    <w:uiPriority w:val="99"/>
    <w:rsid w:val="003722ED"/>
    <w:rPr>
      <w:sz w:val="24"/>
      <w:szCs w:val="24"/>
    </w:rPr>
  </w:style>
  <w:style w:type="paragraph" w:customStyle="1" w:styleId="Lastprinted">
    <w:name w:val="Last printed"/>
    <w:uiPriority w:val="99"/>
    <w:rsid w:val="003722ED"/>
    <w:rPr>
      <w:sz w:val="24"/>
      <w:szCs w:val="24"/>
    </w:rPr>
  </w:style>
  <w:style w:type="paragraph" w:customStyle="1" w:styleId="Lastsavedby">
    <w:name w:val="Last saved by"/>
    <w:uiPriority w:val="99"/>
    <w:rsid w:val="003722ED"/>
    <w:rPr>
      <w:sz w:val="24"/>
      <w:szCs w:val="24"/>
    </w:rPr>
  </w:style>
  <w:style w:type="paragraph" w:customStyle="1" w:styleId="Filename">
    <w:name w:val="Filename"/>
    <w:uiPriority w:val="99"/>
    <w:rsid w:val="003722ED"/>
    <w:rPr>
      <w:sz w:val="24"/>
      <w:szCs w:val="24"/>
    </w:rPr>
  </w:style>
  <w:style w:type="paragraph" w:customStyle="1" w:styleId="Filenameandpath">
    <w:name w:val="Filename and path"/>
    <w:uiPriority w:val="99"/>
    <w:rsid w:val="003722ED"/>
    <w:rPr>
      <w:sz w:val="24"/>
      <w:szCs w:val="24"/>
    </w:rPr>
  </w:style>
  <w:style w:type="paragraph" w:customStyle="1" w:styleId="AuthorPageDate">
    <w:name w:val="Author  Page #  Date"/>
    <w:uiPriority w:val="99"/>
    <w:rsid w:val="003722ED"/>
    <w:rPr>
      <w:sz w:val="24"/>
      <w:szCs w:val="24"/>
    </w:rPr>
  </w:style>
  <w:style w:type="paragraph" w:customStyle="1" w:styleId="ConfidentialPageDate">
    <w:name w:val="Confidential  Page #  Date"/>
    <w:uiPriority w:val="99"/>
    <w:rsid w:val="003722ED"/>
    <w:rPr>
      <w:sz w:val="24"/>
      <w:szCs w:val="24"/>
    </w:rPr>
  </w:style>
  <w:style w:type="character" w:customStyle="1" w:styleId="EmailStyle881">
    <w:name w:val="EmailStyle881"/>
    <w:uiPriority w:val="99"/>
    <w:semiHidden/>
    <w:rsid w:val="003722ED"/>
    <w:rPr>
      <w:rFonts w:ascii="Arial" w:hAnsi="Arial"/>
      <w:color w:val="auto"/>
      <w:sz w:val="20"/>
    </w:rPr>
  </w:style>
  <w:style w:type="character" w:customStyle="1" w:styleId="vitstorybyline">
    <w:name w:val="vitstorybyline"/>
    <w:uiPriority w:val="99"/>
    <w:rsid w:val="003722ED"/>
  </w:style>
  <w:style w:type="character" w:customStyle="1" w:styleId="EmailStyle90">
    <w:name w:val="EmailStyle90"/>
    <w:uiPriority w:val="99"/>
    <w:semiHidden/>
    <w:rsid w:val="003722ED"/>
    <w:rPr>
      <w:rFonts w:ascii="Arial" w:hAnsi="Arial"/>
      <w:color w:val="auto"/>
      <w:sz w:val="20"/>
    </w:rPr>
  </w:style>
  <w:style w:type="character" w:customStyle="1" w:styleId="EmailStyle91">
    <w:name w:val="EmailStyle91"/>
    <w:uiPriority w:val="99"/>
    <w:semiHidden/>
    <w:rsid w:val="003722ED"/>
    <w:rPr>
      <w:rFonts w:ascii="Arial" w:hAnsi="Arial"/>
      <w:color w:val="auto"/>
      <w:sz w:val="20"/>
    </w:rPr>
  </w:style>
  <w:style w:type="paragraph" w:customStyle="1" w:styleId="AppendixHeader">
    <w:name w:val="Appendix Header"/>
    <w:basedOn w:val="Normal"/>
    <w:uiPriority w:val="99"/>
    <w:rsid w:val="003722ED"/>
    <w:pPr>
      <w:spacing w:after="120"/>
      <w:ind w:left="1440" w:hanging="720"/>
    </w:pPr>
    <w:rPr>
      <w:b/>
    </w:rPr>
  </w:style>
  <w:style w:type="character" w:customStyle="1" w:styleId="FootnoteTextChar4">
    <w:name w:val="Footnote Text Char4"/>
    <w:aliases w:val="Footnote Text Char2 Char Char,Footnote Text Char3 Char1 Char Char,Footnote Text Char2 Char1 Char1 Char Char,Footnote Text Char3 Char1 Char Char Char Char,fn Char2,Footnote Text Char2 Char Char Char,ALTS FOOTNOTE Char1 Char1"/>
    <w:uiPriority w:val="99"/>
    <w:locked/>
    <w:rsid w:val="003722ED"/>
    <w:rPr>
      <w:rFonts w:ascii="CG Times" w:hAnsi="CG Times"/>
      <w:sz w:val="20"/>
    </w:rPr>
  </w:style>
  <w:style w:type="paragraph" w:customStyle="1" w:styleId="Default">
    <w:name w:val="Default"/>
    <w:rsid w:val="003722ED"/>
    <w:pPr>
      <w:autoSpaceDE w:val="0"/>
      <w:autoSpaceDN w:val="0"/>
      <w:adjustRightInd w:val="0"/>
    </w:pPr>
    <w:rPr>
      <w:color w:val="000000"/>
      <w:sz w:val="24"/>
      <w:szCs w:val="24"/>
    </w:rPr>
  </w:style>
  <w:style w:type="paragraph" w:customStyle="1" w:styleId="paranum0">
    <w:name w:val="paranum"/>
    <w:basedOn w:val="Normal"/>
    <w:uiPriority w:val="99"/>
    <w:rsid w:val="003722ED"/>
    <w:pPr>
      <w:spacing w:before="100" w:beforeAutospacing="1" w:after="100" w:afterAutospacing="1"/>
    </w:pPr>
  </w:style>
  <w:style w:type="character" w:customStyle="1" w:styleId="apple-style-span">
    <w:name w:val="apple-style-span"/>
    <w:uiPriority w:val="99"/>
    <w:rsid w:val="003722ED"/>
  </w:style>
  <w:style w:type="character" w:customStyle="1" w:styleId="ParaNumChar2">
    <w:name w:val="ParaNum Char2"/>
    <w:uiPriority w:val="99"/>
    <w:rsid w:val="003722ED"/>
    <w:rPr>
      <w:snapToGrid w:val="0"/>
      <w:kern w:val="28"/>
      <w:sz w:val="22"/>
      <w:lang w:val="en-US" w:eastAsia="en-US"/>
    </w:rPr>
  </w:style>
  <w:style w:type="character" w:customStyle="1" w:styleId="ParaNumCharChar1">
    <w:name w:val="ParaNum Char Char1"/>
    <w:uiPriority w:val="99"/>
    <w:locked/>
    <w:rsid w:val="003722ED"/>
    <w:rPr>
      <w:rFonts w:eastAsia="MS Mincho"/>
      <w:kern w:val="28"/>
      <w:sz w:val="24"/>
      <w:lang w:val="en-US" w:eastAsia="en-US"/>
    </w:rPr>
  </w:style>
  <w:style w:type="paragraph" w:styleId="BodyText">
    <w:name w:val="Body Text"/>
    <w:basedOn w:val="Normal"/>
    <w:link w:val="BodyTextChar"/>
    <w:rsid w:val="003722ED"/>
  </w:style>
  <w:style w:type="character" w:customStyle="1" w:styleId="BodyTextChar">
    <w:name w:val="Body Text Char"/>
    <w:basedOn w:val="DefaultParagraphFont"/>
    <w:link w:val="BodyText"/>
    <w:locked/>
    <w:rsid w:val="003722ED"/>
    <w:rPr>
      <w:rFonts w:cs="Times New Roman"/>
      <w:sz w:val="22"/>
    </w:rPr>
  </w:style>
  <w:style w:type="paragraph" w:customStyle="1" w:styleId="H1">
    <w:name w:val="H1"/>
    <w:basedOn w:val="Normal"/>
    <w:next w:val="Normal"/>
    <w:uiPriority w:val="99"/>
    <w:rsid w:val="003722ED"/>
    <w:pPr>
      <w:keepNext/>
      <w:autoSpaceDE w:val="0"/>
      <w:autoSpaceDN w:val="0"/>
      <w:adjustRightInd w:val="0"/>
      <w:spacing w:before="100" w:after="100"/>
      <w:outlineLvl w:val="1"/>
    </w:pPr>
    <w:rPr>
      <w:b/>
      <w:bCs/>
      <w:kern w:val="36"/>
      <w:sz w:val="48"/>
      <w:szCs w:val="48"/>
    </w:rPr>
  </w:style>
  <w:style w:type="character" w:styleId="Strong">
    <w:name w:val="Strong"/>
    <w:basedOn w:val="DefaultParagraphFont"/>
    <w:uiPriority w:val="99"/>
    <w:qFormat/>
    <w:rsid w:val="003B04DA"/>
    <w:rPr>
      <w:rFonts w:cs="Times New Roman"/>
      <w:b/>
    </w:rPr>
  </w:style>
  <w:style w:type="paragraph" w:styleId="ListParagraph">
    <w:name w:val="List Paragraph"/>
    <w:basedOn w:val="Normal"/>
    <w:qFormat/>
    <w:rsid w:val="00837052"/>
    <w:pPr>
      <w:ind w:left="720"/>
    </w:pPr>
  </w:style>
  <w:style w:type="paragraph" w:styleId="TOCHeading">
    <w:name w:val="TOC Heading"/>
    <w:basedOn w:val="Heading1"/>
    <w:next w:val="Normal"/>
    <w:uiPriority w:val="99"/>
    <w:qFormat/>
    <w:rsid w:val="008445A1"/>
    <w:pPr>
      <w:keepLines/>
      <w:numPr>
        <w:numId w:val="0"/>
      </w:numPr>
      <w:tabs>
        <w:tab w:val="left" w:pos="720"/>
      </w:tabs>
      <w:suppressAutoHyphens w:val="0"/>
      <w:spacing w:before="480" w:after="0" w:line="276" w:lineRule="auto"/>
      <w:outlineLvl w:val="9"/>
    </w:pPr>
    <w:rPr>
      <w:rFonts w:ascii="Cambria" w:eastAsia="MS Gothic" w:hAnsi="Cambria"/>
      <w:bCs/>
      <w:caps w:val="0"/>
      <w:color w:val="365F91"/>
      <w:sz w:val="28"/>
      <w:szCs w:val="28"/>
      <w:lang w:eastAsia="ja-JP"/>
    </w:rPr>
  </w:style>
  <w:style w:type="character" w:customStyle="1" w:styleId="FootnoteReference2">
    <w:name w:val="Footnote Reference2"/>
    <w:uiPriority w:val="99"/>
    <w:rsid w:val="00EA2915"/>
    <w:rPr>
      <w:color w:val="000000"/>
      <w:sz w:val="20"/>
      <w:vertAlign w:val="superscript"/>
    </w:rPr>
  </w:style>
  <w:style w:type="paragraph" w:customStyle="1" w:styleId="FootnoteTextA">
    <w:name w:val="Footnote Text A"/>
    <w:uiPriority w:val="99"/>
    <w:rsid w:val="00EA2915"/>
    <w:pPr>
      <w:widowControl w:val="0"/>
    </w:pPr>
    <w:rPr>
      <w:rFonts w:eastAsia="?????? Pro W3"/>
      <w:color w:val="000000"/>
      <w:kern w:val="28"/>
      <w:sz w:val="20"/>
      <w:szCs w:val="20"/>
    </w:rPr>
  </w:style>
  <w:style w:type="paragraph" w:customStyle="1" w:styleId="CommentText1">
    <w:name w:val="Comment Text1"/>
    <w:uiPriority w:val="99"/>
    <w:rsid w:val="00EA2915"/>
    <w:pPr>
      <w:widowControl w:val="0"/>
    </w:pPr>
    <w:rPr>
      <w:rFonts w:eastAsia="?????? Pro W3"/>
      <w:color w:val="000000"/>
      <w:kern w:val="28"/>
      <w:sz w:val="20"/>
      <w:szCs w:val="20"/>
    </w:rPr>
  </w:style>
  <w:style w:type="character" w:customStyle="1" w:styleId="FootnoteReference1">
    <w:name w:val="Footnote Reference1"/>
    <w:uiPriority w:val="99"/>
    <w:rsid w:val="00EA2915"/>
    <w:rPr>
      <w:color w:val="000000"/>
      <w:sz w:val="20"/>
      <w:vertAlign w:val="superscript"/>
    </w:rPr>
  </w:style>
  <w:style w:type="paragraph" w:customStyle="1" w:styleId="ParaNum">
    <w:name w:val="ParaNum"/>
    <w:basedOn w:val="Normal"/>
    <w:link w:val="ParaNumChar"/>
    <w:rsid w:val="00552B41"/>
    <w:pPr>
      <w:numPr>
        <w:numId w:val="2"/>
      </w:numPr>
      <w:tabs>
        <w:tab w:val="clear" w:pos="1080"/>
        <w:tab w:val="num" w:pos="1440"/>
      </w:tabs>
      <w:spacing w:after="120"/>
    </w:pPr>
  </w:style>
  <w:style w:type="paragraph" w:styleId="TOC1">
    <w:name w:val="toc 1"/>
    <w:basedOn w:val="Normal"/>
    <w:next w:val="Normal"/>
    <w:rsid w:val="00552B41"/>
    <w:pPr>
      <w:tabs>
        <w:tab w:val="left" w:pos="360"/>
        <w:tab w:val="right" w:leader="dot" w:pos="9360"/>
      </w:tabs>
      <w:suppressAutoHyphens/>
      <w:ind w:left="360" w:right="720" w:hanging="360"/>
    </w:pPr>
    <w:rPr>
      <w:caps/>
      <w:noProof/>
    </w:rPr>
  </w:style>
  <w:style w:type="paragraph" w:styleId="TOC2">
    <w:name w:val="toc 2"/>
    <w:basedOn w:val="Normal"/>
    <w:next w:val="Normal"/>
    <w:rsid w:val="00552B41"/>
    <w:pPr>
      <w:tabs>
        <w:tab w:val="left" w:pos="720"/>
        <w:tab w:val="right" w:leader="dot" w:pos="9360"/>
      </w:tabs>
      <w:suppressAutoHyphens/>
      <w:ind w:left="720" w:right="720" w:hanging="360"/>
    </w:pPr>
    <w:rPr>
      <w:noProof/>
    </w:rPr>
  </w:style>
  <w:style w:type="paragraph" w:styleId="TOC3">
    <w:name w:val="toc 3"/>
    <w:basedOn w:val="Normal"/>
    <w:next w:val="Normal"/>
    <w:rsid w:val="00552B41"/>
    <w:pPr>
      <w:tabs>
        <w:tab w:val="left" w:pos="1080"/>
        <w:tab w:val="right" w:leader="dot" w:pos="9360"/>
      </w:tabs>
      <w:suppressAutoHyphens/>
      <w:ind w:left="1080" w:right="720" w:hanging="360"/>
    </w:pPr>
    <w:rPr>
      <w:noProof/>
    </w:rPr>
  </w:style>
  <w:style w:type="character" w:customStyle="1" w:styleId="wsite-text2">
    <w:name w:val="wsite-text2"/>
    <w:uiPriority w:val="99"/>
    <w:rsid w:val="00856B63"/>
    <w:rPr>
      <w:rFonts w:ascii="Arial" w:hAnsi="Arial"/>
      <w:color w:val="252525"/>
      <w:sz w:val="18"/>
      <w:u w:val="none"/>
      <w:effect w:val="none"/>
    </w:rPr>
  </w:style>
  <w:style w:type="paragraph" w:styleId="Revision">
    <w:name w:val="Revision"/>
    <w:hidden/>
    <w:semiHidden/>
    <w:rsid w:val="00904AFA"/>
    <w:rPr>
      <w:kern w:val="28"/>
      <w:szCs w:val="20"/>
    </w:rPr>
  </w:style>
  <w:style w:type="paragraph" w:customStyle="1" w:styleId="StyleParaNumAfter11pt">
    <w:name w:val="Style ParaNum + After:  11 pt"/>
    <w:basedOn w:val="ParaNum"/>
    <w:rsid w:val="002E747D"/>
    <w:pPr>
      <w:spacing w:after="220"/>
    </w:pPr>
  </w:style>
  <w:style w:type="character" w:customStyle="1" w:styleId="text">
    <w:name w:val="text"/>
    <w:basedOn w:val="DefaultParagraphFont"/>
    <w:rsid w:val="00902AE2"/>
  </w:style>
  <w:style w:type="character" w:customStyle="1" w:styleId="FootnoteCharacters">
    <w:name w:val="Footnote Characters"/>
    <w:rsid w:val="00892925"/>
    <w:rPr>
      <w:vertAlign w:val="superscript"/>
    </w:rPr>
  </w:style>
  <w:style w:type="paragraph" w:customStyle="1" w:styleId="ParaNumCharCharCharCharChar">
    <w:name w:val="ParaNum Char Char Char Char Char"/>
    <w:basedOn w:val="Normal"/>
    <w:rsid w:val="00065A2C"/>
    <w:pPr>
      <w:tabs>
        <w:tab w:val="num" w:pos="990"/>
      </w:tabs>
      <w:spacing w:after="220"/>
      <w:ind w:left="-90" w:firstLine="720"/>
      <w:jc w:val="both"/>
    </w:pPr>
    <w:rPr>
      <w:snapToGrid w:val="0"/>
    </w:rPr>
  </w:style>
  <w:style w:type="paragraph" w:styleId="BodyTextIndent">
    <w:name w:val="Body Text Indent"/>
    <w:basedOn w:val="Normal"/>
    <w:link w:val="BodyTextIndentChar"/>
    <w:locked/>
    <w:rsid w:val="00065A2C"/>
    <w:pPr>
      <w:ind w:firstLine="720"/>
    </w:pPr>
    <w:rPr>
      <w:snapToGrid w:val="0"/>
      <w:sz w:val="20"/>
    </w:rPr>
  </w:style>
  <w:style w:type="character" w:customStyle="1" w:styleId="BodyTextIndentChar">
    <w:name w:val="Body Text Indent Char"/>
    <w:basedOn w:val="DefaultParagraphFont"/>
    <w:link w:val="BodyTextIndent"/>
    <w:rsid w:val="00065A2C"/>
    <w:rPr>
      <w:sz w:val="20"/>
      <w:szCs w:val="20"/>
    </w:rPr>
  </w:style>
  <w:style w:type="paragraph" w:customStyle="1" w:styleId="box">
    <w:name w:val="box"/>
    <w:basedOn w:val="Normal"/>
    <w:rsid w:val="00065A2C"/>
    <w:pPr>
      <w:pBdr>
        <w:top w:val="single" w:sz="6" w:space="4" w:color="000000"/>
        <w:left w:val="single" w:sz="6" w:space="4" w:color="000000"/>
        <w:bottom w:val="single" w:sz="6" w:space="4" w:color="000000"/>
        <w:right w:val="single" w:sz="6" w:space="4" w:color="000000"/>
      </w:pBdr>
      <w:shd w:val="clear" w:color="auto" w:fill="E1E1E1"/>
      <w:spacing w:before="75" w:after="75"/>
      <w:ind w:left="75" w:right="75"/>
    </w:pPr>
    <w:rPr>
      <w:rFonts w:ascii="Verdana" w:hAnsi="Verdana"/>
      <w:snapToGrid w:val="0"/>
      <w:sz w:val="20"/>
    </w:rPr>
  </w:style>
  <w:style w:type="paragraph" w:customStyle="1" w:styleId="masthead">
    <w:name w:val="masthead"/>
    <w:basedOn w:val="Normal"/>
    <w:rsid w:val="00065A2C"/>
    <w:pPr>
      <w:shd w:val="clear" w:color="auto" w:fill="0000CC"/>
      <w:spacing w:before="100" w:beforeAutospacing="1" w:after="100" w:afterAutospacing="1"/>
    </w:pPr>
    <w:rPr>
      <w:rFonts w:ascii="Arial" w:hAnsi="Arial" w:cs="Arial"/>
      <w:snapToGrid w:val="0"/>
      <w:color w:val="FFFFFF"/>
      <w:sz w:val="36"/>
      <w:szCs w:val="36"/>
    </w:rPr>
  </w:style>
  <w:style w:type="paragraph" w:customStyle="1" w:styleId="pgmargins">
    <w:name w:val="pgmargins"/>
    <w:basedOn w:val="Normal"/>
    <w:rsid w:val="00065A2C"/>
    <w:pPr>
      <w:spacing w:before="100" w:beforeAutospacing="1" w:after="100" w:afterAutospacing="1"/>
    </w:pPr>
    <w:rPr>
      <w:rFonts w:ascii="Verdana" w:hAnsi="Verdana"/>
      <w:snapToGrid w:val="0"/>
      <w:sz w:val="20"/>
    </w:rPr>
  </w:style>
  <w:style w:type="paragraph" w:customStyle="1" w:styleId="intro">
    <w:name w:val="intro"/>
    <w:basedOn w:val="Normal"/>
    <w:rsid w:val="00065A2C"/>
    <w:pPr>
      <w:spacing w:before="150" w:after="150" w:line="264" w:lineRule="auto"/>
    </w:pPr>
    <w:rPr>
      <w:snapToGrid w:val="0"/>
      <w:color w:val="006FD2"/>
      <w:sz w:val="29"/>
      <w:szCs w:val="29"/>
    </w:rPr>
  </w:style>
  <w:style w:type="paragraph" w:styleId="Index1">
    <w:name w:val="index 1"/>
    <w:basedOn w:val="Normal"/>
    <w:next w:val="Normal"/>
    <w:autoRedefine/>
    <w:semiHidden/>
    <w:locked/>
    <w:rsid w:val="00065A2C"/>
    <w:pPr>
      <w:tabs>
        <w:tab w:val="right" w:leader="dot" w:pos="3950"/>
      </w:tabs>
      <w:ind w:left="220" w:hanging="220"/>
    </w:pPr>
    <w:rPr>
      <w:rFonts w:ascii="Verdana" w:hAnsi="Verdana"/>
      <w:bCs/>
      <w:noProof/>
      <w:snapToGrid w:val="0"/>
      <w:sz w:val="20"/>
      <w:u w:val="single"/>
    </w:rPr>
  </w:style>
  <w:style w:type="character" w:customStyle="1" w:styleId="CharChar10">
    <w:name w:val="Char Char10"/>
    <w:rsid w:val="00065A2C"/>
    <w:rPr>
      <w:rFonts w:ascii="Cambria" w:hAnsi="Cambria"/>
      <w:b/>
      <w:kern w:val="32"/>
      <w:sz w:val="32"/>
    </w:rPr>
  </w:style>
  <w:style w:type="character" w:customStyle="1" w:styleId="CharChar5">
    <w:name w:val="Char Char5"/>
    <w:semiHidden/>
    <w:rsid w:val="00065A2C"/>
    <w:rPr>
      <w:sz w:val="20"/>
    </w:rPr>
  </w:style>
  <w:style w:type="character" w:customStyle="1" w:styleId="CharChar">
    <w:name w:val="Char Char"/>
    <w:rsid w:val="00065A2C"/>
    <w:rPr>
      <w:rFonts w:ascii="Consolas" w:hAnsi="Consolas"/>
      <w:sz w:val="21"/>
    </w:rPr>
  </w:style>
  <w:style w:type="paragraph" w:styleId="NoSpacing">
    <w:name w:val="No Spacing"/>
    <w:link w:val="NoSpacingChar"/>
    <w:qFormat/>
    <w:rsid w:val="00065A2C"/>
    <w:rPr>
      <w:rFonts w:ascii="Calibri" w:hAnsi="Calibri"/>
      <w:lang w:eastAsia="ja-JP"/>
    </w:rPr>
  </w:style>
  <w:style w:type="character" w:customStyle="1" w:styleId="NoSpacingChar">
    <w:name w:val="No Spacing Char"/>
    <w:link w:val="NoSpacing"/>
    <w:locked/>
    <w:rsid w:val="00065A2C"/>
    <w:rPr>
      <w:rFonts w:ascii="Calibri" w:hAnsi="Calibri"/>
      <w:lang w:eastAsia="ja-JP"/>
    </w:rPr>
  </w:style>
  <w:style w:type="paragraph" w:styleId="Title">
    <w:name w:val="Title"/>
    <w:basedOn w:val="Normal"/>
    <w:next w:val="Normal"/>
    <w:link w:val="TitleChar"/>
    <w:qFormat/>
    <w:rsid w:val="00065A2C"/>
    <w:pPr>
      <w:pBdr>
        <w:bottom w:val="single" w:sz="8" w:space="4" w:color="4F81BD"/>
      </w:pBdr>
      <w:spacing w:after="300"/>
      <w:contextualSpacing/>
    </w:pPr>
    <w:rPr>
      <w:rFonts w:ascii="Cambria" w:hAnsi="Cambria"/>
      <w:snapToGrid w:val="0"/>
      <w:color w:val="17365D"/>
      <w:spacing w:val="5"/>
      <w:sz w:val="52"/>
      <w:lang w:eastAsia="ja-JP"/>
    </w:rPr>
  </w:style>
  <w:style w:type="character" w:customStyle="1" w:styleId="TitleChar">
    <w:name w:val="Title Char"/>
    <w:basedOn w:val="DefaultParagraphFont"/>
    <w:link w:val="Title"/>
    <w:rsid w:val="00065A2C"/>
    <w:rPr>
      <w:rFonts w:ascii="Cambria" w:hAnsi="Cambria"/>
      <w:color w:val="17365D"/>
      <w:spacing w:val="5"/>
      <w:kern w:val="28"/>
      <w:sz w:val="52"/>
      <w:szCs w:val="20"/>
      <w:lang w:eastAsia="ja-JP"/>
    </w:rPr>
  </w:style>
  <w:style w:type="paragraph" w:styleId="Subtitle">
    <w:name w:val="Subtitle"/>
    <w:basedOn w:val="Normal"/>
    <w:next w:val="Normal"/>
    <w:link w:val="SubtitleChar"/>
    <w:qFormat/>
    <w:rsid w:val="00065A2C"/>
    <w:pPr>
      <w:numPr>
        <w:ilvl w:val="1"/>
      </w:numPr>
      <w:spacing w:after="200" w:line="276" w:lineRule="auto"/>
    </w:pPr>
    <w:rPr>
      <w:rFonts w:ascii="Cambria" w:hAnsi="Cambria"/>
      <w:i/>
      <w:snapToGrid w:val="0"/>
      <w:color w:val="4F81BD"/>
      <w:spacing w:val="15"/>
      <w:lang w:eastAsia="ja-JP"/>
    </w:rPr>
  </w:style>
  <w:style w:type="character" w:customStyle="1" w:styleId="SubtitleChar">
    <w:name w:val="Subtitle Char"/>
    <w:basedOn w:val="DefaultParagraphFont"/>
    <w:link w:val="Subtitle"/>
    <w:rsid w:val="00065A2C"/>
    <w:rPr>
      <w:rFonts w:ascii="Cambria" w:hAnsi="Cambria"/>
      <w:i/>
      <w:color w:val="4F81BD"/>
      <w:spacing w:val="15"/>
      <w:sz w:val="24"/>
      <w:szCs w:val="20"/>
      <w:lang w:eastAsia="ja-JP"/>
    </w:rPr>
  </w:style>
  <w:style w:type="character" w:customStyle="1" w:styleId="enumxml">
    <w:name w:val="enumxml"/>
    <w:basedOn w:val="DefaultParagraphFont"/>
    <w:rsid w:val="00065A2C"/>
    <w:rPr>
      <w:rFonts w:cs="Times New Roman"/>
    </w:rPr>
  </w:style>
  <w:style w:type="character" w:customStyle="1" w:styleId="ptext-3">
    <w:name w:val="ptext-3"/>
    <w:basedOn w:val="DefaultParagraphFont"/>
    <w:rsid w:val="00065A2C"/>
    <w:rPr>
      <w:rFonts w:cs="Times New Roman"/>
    </w:rPr>
  </w:style>
  <w:style w:type="character" w:customStyle="1" w:styleId="Heading2Char">
    <w:name w:val="Heading 2 Char"/>
    <w:basedOn w:val="DefaultParagraphFont"/>
    <w:link w:val="Heading2"/>
    <w:rsid w:val="00B710E7"/>
    <w:rPr>
      <w:b/>
      <w:snapToGrid w:val="0"/>
      <w:kern w:val="28"/>
      <w:szCs w:val="20"/>
    </w:rPr>
  </w:style>
  <w:style w:type="paragraph" w:customStyle="1" w:styleId="InsideAddress">
    <w:name w:val="Inside Address"/>
    <w:basedOn w:val="BodyText"/>
    <w:rsid w:val="00C93FF2"/>
    <w:pPr>
      <w:spacing w:line="220" w:lineRule="atLeast"/>
    </w:pPr>
    <w:rPr>
      <w:snapToGrid w:val="0"/>
      <w:spacing w:val="-5"/>
    </w:rPr>
  </w:style>
  <w:style w:type="paragraph" w:customStyle="1" w:styleId="RuleHeader">
    <w:name w:val="Rule Header"/>
    <w:basedOn w:val="Normal"/>
    <w:rsid w:val="00F935B1"/>
    <w:pPr>
      <w:keepNext/>
      <w:spacing w:before="240" w:after="120"/>
    </w:pPr>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index 1" w:locked="1" w:uiPriority="0"/>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lsdException w:name="footnote text" w:locked="1" w:uiPriority="0"/>
    <w:lsdException w:name="annotation text" w:locked="1" w:uiPriority="0"/>
    <w:lsdException w:name="header" w:locked="1" w:uiPriority="0"/>
    <w:lsdException w:name="footer" w:locked="1" w:uiPriority="0"/>
    <w:lsdException w:name="index heading" w:locked="1"/>
    <w:lsdException w:name="caption" w:qFormat="1"/>
    <w:lsdException w:name="table of figures" w:locked="1"/>
    <w:lsdException w:name="envelope address" w:locked="1"/>
    <w:lsdException w:name="envelope return" w:locked="1"/>
    <w:lsdException w:name="footnote reference" w:locked="1" w:uiPriority="0"/>
    <w:lsdException w:name="annotation reference" w:locked="1" w:uiPriority="0"/>
    <w:lsdException w:name="line number" w:locked="1"/>
    <w:lsdException w:name="page number" w:locked="1" w:uiPriority="0"/>
    <w:lsdException w:name="endnote reference" w:locked="1" w:uiPriority="0"/>
    <w:lsdException w:name="endnote text" w:locked="1" w:uiPriority="0"/>
    <w:lsdException w:name="table of authorities" w:locked="1"/>
    <w:lsdException w:name="macro" w:locked="1"/>
    <w:lsdException w:name="toa heading" w:locked="1" w:uiPriority="0"/>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1"/>
    <w:lsdException w:name="Body Text" w:locked="1" w:uiPriority="0"/>
    <w:lsdException w:name="Body Text Indent" w:locked="1" w:uiPriority="0"/>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uiPriority="0"/>
    <w:lsdException w:name="Hyperlink" w:locked="1" w:uiPriority="0"/>
    <w:lsdException w:name="FollowedHyperlink" w:locked="1" w:uiPriority="0"/>
    <w:lsdException w:name="Strong" w:semiHidden="0" w:unhideWhenUsed="0" w:qFormat="1"/>
    <w:lsdException w:name="Emphasis" w:semiHidden="0" w:unhideWhenUsed="0" w:qFormat="1"/>
    <w:lsdException w:name="Document Map" w:locked="1"/>
    <w:lsdException w:name="Plain Text" w:locked="1" w:uiPriority="0"/>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uiPriority="0"/>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uiPriority="0"/>
    <w:lsdException w:name="Table Grid" w:semiHidden="0" w:uiPriority="0" w:unhideWhenUsed="0"/>
    <w:lsdException w:name="Table Theme" w:locked="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A0395D"/>
    <w:rPr>
      <w:rFonts w:ascii="Courier New" w:hAnsi="Courier New" w:cs="Courier New"/>
      <w:sz w:val="24"/>
      <w:szCs w:val="24"/>
    </w:rPr>
  </w:style>
  <w:style w:type="paragraph" w:styleId="Heading1">
    <w:name w:val="heading 1"/>
    <w:aliases w:val="Heading 1 Char2,Heading 1 Char1 Char,Heading 1 Char Char Char,Heading 1 Char Char1,Heading 1 Char1 Char1,Heading 1 Char Char Char1,Heading 1 Char1 Char Char Char,Heading 1 Char Char Char Char Char,Heading 1 Char Char1 Char,Heading 1 Char Char"/>
    <w:basedOn w:val="Normal"/>
    <w:next w:val="ParaNum"/>
    <w:link w:val="Heading1Char"/>
    <w:qFormat/>
    <w:rsid w:val="00552B41"/>
    <w:pPr>
      <w:keepNext/>
      <w:numPr>
        <w:numId w:val="3"/>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
    <w:link w:val="Heading2Char"/>
    <w:autoRedefine/>
    <w:qFormat/>
    <w:rsid w:val="00552B41"/>
    <w:pPr>
      <w:keepNext/>
      <w:numPr>
        <w:ilvl w:val="1"/>
        <w:numId w:val="3"/>
      </w:numPr>
      <w:spacing w:after="120"/>
      <w:outlineLvl w:val="1"/>
    </w:pPr>
    <w:rPr>
      <w:b/>
    </w:rPr>
  </w:style>
  <w:style w:type="paragraph" w:styleId="Heading3">
    <w:name w:val="heading 3"/>
    <w:aliases w:val="Heading 3 Char1,Heading 3 Char Char,Heading 3 Char1 Char Char,Heading 3 Char Char Char Char,Heading 3 Char1 Char,Heading 3 Char Char Char,Heading 3 Char,Heading 3 Char2 Char1 Char Char,Heading 3 Char Char1 Ch"/>
    <w:basedOn w:val="Normal"/>
    <w:next w:val="ParaNum"/>
    <w:link w:val="Heading3Char2"/>
    <w:qFormat/>
    <w:rsid w:val="00552B41"/>
    <w:pPr>
      <w:keepNext/>
      <w:numPr>
        <w:ilvl w:val="2"/>
        <w:numId w:val="3"/>
      </w:numPr>
      <w:tabs>
        <w:tab w:val="left" w:pos="2160"/>
      </w:tabs>
      <w:spacing w:after="120"/>
      <w:outlineLvl w:val="2"/>
    </w:pPr>
    <w:rPr>
      <w:b/>
    </w:rPr>
  </w:style>
  <w:style w:type="paragraph" w:styleId="Heading4">
    <w:name w:val="heading 4"/>
    <w:aliases w:val="Heading 4 Char2,Heading 4 Char1 Char1,Heading 4 Char Char Char,Heading 4 Char Char1,Heading 4 Char2 Char Char,Heading 4 Char1 Char1 Char Char,Heading 4 Char Char Char1 Char Char,Heading 4 Char Char1 Char Char,Heading 4 Char1,Heading 4 Char"/>
    <w:basedOn w:val="Normal"/>
    <w:next w:val="ParaNum"/>
    <w:link w:val="Heading4Char3"/>
    <w:qFormat/>
    <w:rsid w:val="00552B41"/>
    <w:pPr>
      <w:keepNext/>
      <w:numPr>
        <w:ilvl w:val="3"/>
        <w:numId w:val="3"/>
      </w:numPr>
      <w:tabs>
        <w:tab w:val="left" w:pos="2880"/>
      </w:tabs>
      <w:spacing w:after="120"/>
      <w:outlineLvl w:val="3"/>
    </w:pPr>
    <w:rPr>
      <w:b/>
    </w:rPr>
  </w:style>
  <w:style w:type="paragraph" w:styleId="Heading5">
    <w:name w:val="heading 5"/>
    <w:aliases w:val="Heading 5 Char"/>
    <w:basedOn w:val="Normal"/>
    <w:next w:val="ParaNum"/>
    <w:link w:val="Heading5Char1"/>
    <w:qFormat/>
    <w:rsid w:val="00552B41"/>
    <w:pPr>
      <w:keepNext/>
      <w:numPr>
        <w:ilvl w:val="4"/>
        <w:numId w:val="3"/>
      </w:numPr>
      <w:tabs>
        <w:tab w:val="left" w:pos="3600"/>
      </w:tabs>
      <w:suppressAutoHyphens/>
      <w:spacing w:after="120"/>
      <w:outlineLvl w:val="4"/>
    </w:pPr>
    <w:rPr>
      <w:b/>
    </w:rPr>
  </w:style>
  <w:style w:type="paragraph" w:styleId="Heading6">
    <w:name w:val="heading 6"/>
    <w:aliases w:val="h6"/>
    <w:basedOn w:val="Normal"/>
    <w:next w:val="ParaNum"/>
    <w:link w:val="Heading6Char"/>
    <w:qFormat/>
    <w:rsid w:val="00552B41"/>
    <w:pPr>
      <w:numPr>
        <w:ilvl w:val="5"/>
        <w:numId w:val="3"/>
      </w:numPr>
      <w:tabs>
        <w:tab w:val="left" w:pos="4320"/>
      </w:tabs>
      <w:spacing w:after="120"/>
      <w:outlineLvl w:val="5"/>
    </w:pPr>
    <w:rPr>
      <w:b/>
    </w:rPr>
  </w:style>
  <w:style w:type="paragraph" w:styleId="Heading7">
    <w:name w:val="heading 7"/>
    <w:aliases w:val="Heading 7 Char"/>
    <w:basedOn w:val="Normal"/>
    <w:next w:val="ParaNum"/>
    <w:link w:val="Heading7Char1"/>
    <w:qFormat/>
    <w:rsid w:val="00552B41"/>
    <w:pPr>
      <w:numPr>
        <w:ilvl w:val="6"/>
        <w:numId w:val="3"/>
      </w:numPr>
      <w:tabs>
        <w:tab w:val="left" w:pos="5040"/>
      </w:tabs>
      <w:spacing w:after="120"/>
      <w:ind w:left="5040" w:hanging="720"/>
      <w:outlineLvl w:val="6"/>
    </w:pPr>
    <w:rPr>
      <w:b/>
    </w:rPr>
  </w:style>
  <w:style w:type="paragraph" w:styleId="Heading8">
    <w:name w:val="heading 8"/>
    <w:basedOn w:val="Normal"/>
    <w:next w:val="ParaNum"/>
    <w:link w:val="Heading8Char"/>
    <w:qFormat/>
    <w:rsid w:val="00552B41"/>
    <w:pPr>
      <w:numPr>
        <w:ilvl w:val="7"/>
        <w:numId w:val="3"/>
      </w:numPr>
      <w:tabs>
        <w:tab w:val="clear" w:pos="5400"/>
        <w:tab w:val="left" w:pos="5760"/>
      </w:tabs>
      <w:spacing w:after="120"/>
      <w:ind w:left="5760" w:hanging="720"/>
      <w:outlineLvl w:val="7"/>
    </w:pPr>
    <w:rPr>
      <w:b/>
    </w:rPr>
  </w:style>
  <w:style w:type="paragraph" w:styleId="Heading9">
    <w:name w:val="heading 9"/>
    <w:aliases w:val="Heading 9 Char"/>
    <w:basedOn w:val="Normal"/>
    <w:next w:val="ParaNum"/>
    <w:link w:val="Heading9Char1"/>
    <w:qFormat/>
    <w:rsid w:val="00552B41"/>
    <w:pPr>
      <w:numPr>
        <w:ilvl w:val="8"/>
        <w:numId w:val="3"/>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rsid w:val="00A0395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0395D"/>
  </w:style>
  <w:style w:type="character" w:customStyle="1" w:styleId="Heading1Char">
    <w:name w:val="Heading 1 Char"/>
    <w:aliases w:val="Heading 1 Char2 Char,Heading 1 Char1 Char Char,Heading 1 Char Char Char Char,Heading 1 Char Char1 Char1,Heading 1 Char1 Char1 Char,Heading 1 Char Char Char1 Char,Heading 1 Char1 Char Char Char Char,Heading 1 Char Char Char Char Char Char"/>
    <w:basedOn w:val="DefaultParagraphFont"/>
    <w:link w:val="Heading1"/>
    <w:locked/>
    <w:rsid w:val="003722ED"/>
    <w:rPr>
      <w:rFonts w:ascii="Times New Roman Bold" w:hAnsi="Times New Roman Bold"/>
      <w:b/>
      <w:caps/>
      <w:snapToGrid w:val="0"/>
      <w:kern w:val="28"/>
      <w:szCs w:val="20"/>
    </w:rPr>
  </w:style>
  <w:style w:type="character" w:customStyle="1" w:styleId="Heading2Char2">
    <w:name w:val="Heading 2 Char2"/>
    <w:aliases w:val="Heading 2 Char Char,Heading 2 Char1 Char,Heading 2 Char Char1 Char,Heading 2 Char Char Char Char Char,Heading 2 Char1 Char Char1 Char Char Char,Heading 2 Char Char3 Char Char Char Char Char"/>
    <w:basedOn w:val="DefaultParagraphFont"/>
    <w:locked/>
    <w:rsid w:val="00043263"/>
    <w:rPr>
      <w:b/>
      <w:snapToGrid w:val="0"/>
      <w:kern w:val="28"/>
      <w:szCs w:val="20"/>
    </w:rPr>
  </w:style>
  <w:style w:type="character" w:customStyle="1" w:styleId="Heading3Char2">
    <w:name w:val="Heading 3 Char2"/>
    <w:aliases w:val="Heading 3 Char1 Char1,Heading 3 Char Char Char1,Heading 3 Char1 Char Char Char,Heading 3 Char Char Char Char Char,Heading 3 Char1 Char Char1,Heading 3 Char Char Char Char1,Heading 3 Char Char1,Heading 3 Char2 Char1 Char Char Char"/>
    <w:basedOn w:val="DefaultParagraphFont"/>
    <w:link w:val="Heading3"/>
    <w:locked/>
    <w:rsid w:val="00767F25"/>
    <w:rPr>
      <w:b/>
      <w:snapToGrid w:val="0"/>
      <w:kern w:val="28"/>
      <w:szCs w:val="20"/>
    </w:rPr>
  </w:style>
  <w:style w:type="character" w:customStyle="1" w:styleId="Heading4Char3">
    <w:name w:val="Heading 4 Char3"/>
    <w:aliases w:val="Heading 4 Char2 Char,Heading 4 Char1 Char1 Char,Heading 4 Char Char Char Char,Heading 4 Char Char1 Char,Heading 4 Char2 Char Char Char,Heading 4 Char1 Char1 Char Char Char,Heading 4 Char Char Char1 Char Char Char,Heading 4 Char1 Char"/>
    <w:basedOn w:val="DefaultParagraphFont"/>
    <w:link w:val="Heading4"/>
    <w:locked/>
    <w:rsid w:val="00767F25"/>
    <w:rPr>
      <w:b/>
      <w:snapToGrid w:val="0"/>
      <w:kern w:val="28"/>
      <w:szCs w:val="20"/>
    </w:rPr>
  </w:style>
  <w:style w:type="character" w:customStyle="1" w:styleId="Heading5Char1">
    <w:name w:val="Heading 5 Char1"/>
    <w:aliases w:val="Heading 5 Char Char"/>
    <w:basedOn w:val="DefaultParagraphFont"/>
    <w:link w:val="Heading5"/>
    <w:locked/>
    <w:rsid w:val="00767F25"/>
    <w:rPr>
      <w:b/>
      <w:snapToGrid w:val="0"/>
      <w:kern w:val="28"/>
      <w:szCs w:val="20"/>
    </w:rPr>
  </w:style>
  <w:style w:type="character" w:customStyle="1" w:styleId="Heading6Char">
    <w:name w:val="Heading 6 Char"/>
    <w:aliases w:val="h6 Char"/>
    <w:basedOn w:val="DefaultParagraphFont"/>
    <w:link w:val="Heading6"/>
    <w:locked/>
    <w:rsid w:val="00767F25"/>
    <w:rPr>
      <w:b/>
      <w:snapToGrid w:val="0"/>
      <w:kern w:val="28"/>
      <w:szCs w:val="20"/>
    </w:rPr>
  </w:style>
  <w:style w:type="character" w:customStyle="1" w:styleId="Heading7Char1">
    <w:name w:val="Heading 7 Char1"/>
    <w:aliases w:val="Heading 7 Char Char"/>
    <w:basedOn w:val="DefaultParagraphFont"/>
    <w:link w:val="Heading7"/>
    <w:locked/>
    <w:rsid w:val="00767F25"/>
    <w:rPr>
      <w:b/>
      <w:snapToGrid w:val="0"/>
      <w:kern w:val="28"/>
      <w:szCs w:val="20"/>
    </w:rPr>
  </w:style>
  <w:style w:type="character" w:customStyle="1" w:styleId="Heading8Char">
    <w:name w:val="Heading 8 Char"/>
    <w:basedOn w:val="DefaultParagraphFont"/>
    <w:link w:val="Heading8"/>
    <w:locked/>
    <w:rsid w:val="00767F25"/>
    <w:rPr>
      <w:b/>
      <w:snapToGrid w:val="0"/>
      <w:kern w:val="28"/>
      <w:szCs w:val="20"/>
    </w:rPr>
  </w:style>
  <w:style w:type="character" w:customStyle="1" w:styleId="Heading9Char1">
    <w:name w:val="Heading 9 Char1"/>
    <w:aliases w:val="Heading 9 Char Char"/>
    <w:basedOn w:val="DefaultParagraphFont"/>
    <w:link w:val="Heading9"/>
    <w:locked/>
    <w:rsid w:val="00767F25"/>
    <w:rPr>
      <w:b/>
      <w:snapToGrid w:val="0"/>
      <w:kern w:val="28"/>
      <w:szCs w:val="20"/>
    </w:rPr>
  </w:style>
  <w:style w:type="paragraph" w:styleId="BalloonText">
    <w:name w:val="Balloon Text"/>
    <w:basedOn w:val="Normal"/>
    <w:link w:val="BalloonTextChar"/>
    <w:rsid w:val="00AF1B01"/>
    <w:rPr>
      <w:rFonts w:ascii="Lucida Grande" w:hAnsi="Lucida Grande"/>
      <w:sz w:val="18"/>
      <w:szCs w:val="18"/>
    </w:rPr>
  </w:style>
  <w:style w:type="character" w:customStyle="1" w:styleId="BalloonTextChar">
    <w:name w:val="Balloon Text Char"/>
    <w:basedOn w:val="DefaultParagraphFont"/>
    <w:link w:val="BalloonText"/>
    <w:locked/>
    <w:rsid w:val="00031BAA"/>
    <w:rPr>
      <w:rFonts w:ascii="Lucida Grande" w:eastAsiaTheme="minorEastAsia" w:hAnsi="Lucida Grande"/>
      <w:sz w:val="18"/>
      <w:szCs w:val="18"/>
    </w:rPr>
  </w:style>
  <w:style w:type="character" w:customStyle="1" w:styleId="fChar">
    <w:name w:val="f Char"/>
    <w:basedOn w:val="DefaultParagraphFont"/>
    <w:rsid w:val="000A2FE4"/>
    <w:rPr>
      <w:rFonts w:cs="Times New Roman"/>
    </w:rPr>
  </w:style>
  <w:style w:type="paragraph" w:styleId="EndnoteText">
    <w:name w:val="endnote text"/>
    <w:basedOn w:val="Normal"/>
    <w:link w:val="EndnoteTextChar"/>
    <w:rsid w:val="00552B41"/>
    <w:rPr>
      <w:sz w:val="20"/>
    </w:rPr>
  </w:style>
  <w:style w:type="character" w:customStyle="1" w:styleId="EndnoteTextChar">
    <w:name w:val="Endnote Text Char"/>
    <w:basedOn w:val="DefaultParagraphFont"/>
    <w:link w:val="EndnoteText"/>
    <w:locked/>
    <w:rsid w:val="00767F25"/>
    <w:rPr>
      <w:snapToGrid w:val="0"/>
      <w:kern w:val="28"/>
      <w:sz w:val="20"/>
      <w:szCs w:val="20"/>
    </w:rPr>
  </w:style>
  <w:style w:type="character" w:styleId="EndnoteReference">
    <w:name w:val="endnote reference"/>
    <w:basedOn w:val="DefaultParagraphFont"/>
    <w:rsid w:val="00552B41"/>
    <w:rPr>
      <w:vertAlign w:val="superscript"/>
    </w:rPr>
  </w:style>
  <w:style w:type="paragraph" w:styleId="FootnoteText">
    <w:name w:val="footnote text"/>
    <w:aliases w:val="Footnote Text Char1,ALTS FOOTNOTE Char1,fn Char1,Footnote Text Char Char,ALTS FOOTNOTE Char Char,fn Char Char,Footnote Text Char1 Char Char,Footnote Text Char Char Char Char,Footnote Text Char2 Char Char Char Char,ALTS FOOTNOTE,fn,fn Char"/>
    <w:link w:val="FootnoteTextChar2"/>
    <w:rsid w:val="00552B41"/>
    <w:pPr>
      <w:spacing w:after="120"/>
    </w:pPr>
    <w:rPr>
      <w:sz w:val="20"/>
      <w:szCs w:val="20"/>
    </w:rPr>
  </w:style>
  <w:style w:type="character" w:customStyle="1" w:styleId="FootnoteTextChar">
    <w:name w:val="Footnote Text Char"/>
    <w:aliases w:val="Footnote Text Char1 Char,ALTS FOOTNOTE Char1 Char,fn Char1 Char,Footnote Text Char Char Char,ALTS FOOTNOTE Char Char Char,fn Char Char Char,Footnote Text Char1 Char Char Char,Footnote Text Char Char Char Char Char,ALTS FOOTNOTE Char"/>
    <w:basedOn w:val="DefaultParagraphFont"/>
    <w:uiPriority w:val="99"/>
    <w:locked/>
    <w:rsid w:val="00767F25"/>
    <w:rPr>
      <w:rFonts w:cs="Times New Roman"/>
      <w:kern w:val="28"/>
      <w:sz w:val="20"/>
      <w:szCs w:val="20"/>
    </w:rPr>
  </w:style>
  <w:style w:type="character" w:styleId="FootnoteReference">
    <w:name w:val="footnote reference"/>
    <w:aliases w:val="Style 12,(NECG) Footnote Reference,Style 13,Appel note de bas de p,Style 124,fr,o,Style 3,FR,Style 6,Style 17,Footnote Reference/,Style 7"/>
    <w:basedOn w:val="DefaultParagraphFont"/>
    <w:rsid w:val="00552B41"/>
    <w:rPr>
      <w:rFonts w:ascii="Times New Roman" w:hAnsi="Times New Roman"/>
      <w:dstrike w:val="0"/>
      <w:color w:val="auto"/>
      <w:sz w:val="22"/>
      <w:vertAlign w:val="superscript"/>
    </w:rPr>
  </w:style>
  <w:style w:type="paragraph" w:styleId="TOC4">
    <w:name w:val="toc 4"/>
    <w:basedOn w:val="Normal"/>
    <w:next w:val="Normal"/>
    <w:autoRedefine/>
    <w:rsid w:val="00552B41"/>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rsid w:val="00552B41"/>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rsid w:val="00552B41"/>
    <w:pPr>
      <w:tabs>
        <w:tab w:val="left" w:pos="2160"/>
        <w:tab w:val="right" w:leader="dot" w:pos="9360"/>
      </w:tabs>
      <w:suppressAutoHyphens/>
      <w:ind w:left="2160" w:hanging="360"/>
    </w:pPr>
    <w:rPr>
      <w:noProof/>
    </w:rPr>
  </w:style>
  <w:style w:type="paragraph" w:styleId="TOC7">
    <w:name w:val="toc 7"/>
    <w:basedOn w:val="Normal"/>
    <w:next w:val="Normal"/>
    <w:autoRedefine/>
    <w:semiHidden/>
    <w:rsid w:val="00552B41"/>
    <w:pPr>
      <w:tabs>
        <w:tab w:val="left" w:pos="2520"/>
        <w:tab w:val="right" w:leader="dot" w:pos="9360"/>
      </w:tabs>
      <w:suppressAutoHyphens/>
      <w:ind w:left="2520" w:hanging="360"/>
    </w:pPr>
    <w:rPr>
      <w:noProof/>
    </w:rPr>
  </w:style>
  <w:style w:type="paragraph" w:styleId="TOC8">
    <w:name w:val="toc 8"/>
    <w:basedOn w:val="Normal"/>
    <w:next w:val="Normal"/>
    <w:autoRedefine/>
    <w:semiHidden/>
    <w:rsid w:val="00552B41"/>
    <w:pPr>
      <w:tabs>
        <w:tab w:val="left" w:pos="2880"/>
        <w:tab w:val="right" w:leader="dot" w:pos="9360"/>
      </w:tabs>
      <w:suppressAutoHyphens/>
      <w:ind w:left="2880" w:hanging="360"/>
    </w:pPr>
    <w:rPr>
      <w:noProof/>
    </w:rPr>
  </w:style>
  <w:style w:type="paragraph" w:styleId="TOC9">
    <w:name w:val="toc 9"/>
    <w:basedOn w:val="Normal"/>
    <w:next w:val="Normal"/>
    <w:autoRedefine/>
    <w:semiHidden/>
    <w:rsid w:val="00552B41"/>
    <w:pPr>
      <w:tabs>
        <w:tab w:val="left" w:pos="3240"/>
        <w:tab w:val="right" w:leader="dot" w:pos="9360"/>
      </w:tabs>
      <w:suppressAutoHyphens/>
      <w:ind w:left="3240" w:hanging="360"/>
    </w:pPr>
    <w:rPr>
      <w:noProof/>
    </w:rPr>
  </w:style>
  <w:style w:type="paragraph" w:styleId="TOAHeading">
    <w:name w:val="toa heading"/>
    <w:basedOn w:val="Normal"/>
    <w:next w:val="Normal"/>
    <w:semiHidden/>
    <w:rsid w:val="00552B41"/>
    <w:pPr>
      <w:tabs>
        <w:tab w:val="right" w:pos="9360"/>
      </w:tabs>
      <w:suppressAutoHyphens/>
    </w:pPr>
  </w:style>
  <w:style w:type="character" w:customStyle="1" w:styleId="EquationCaption">
    <w:name w:val="_Equation Caption"/>
    <w:rsid w:val="00552B41"/>
  </w:style>
  <w:style w:type="paragraph" w:styleId="Header">
    <w:name w:val="header"/>
    <w:basedOn w:val="Normal"/>
    <w:link w:val="HeaderChar"/>
    <w:autoRedefine/>
    <w:rsid w:val="00552B41"/>
    <w:pPr>
      <w:tabs>
        <w:tab w:val="center" w:pos="4680"/>
        <w:tab w:val="right" w:pos="9360"/>
      </w:tabs>
    </w:pPr>
    <w:rPr>
      <w:b/>
    </w:rPr>
  </w:style>
  <w:style w:type="character" w:customStyle="1" w:styleId="HeaderChar">
    <w:name w:val="Header Char"/>
    <w:basedOn w:val="DefaultParagraphFont"/>
    <w:link w:val="Header"/>
    <w:locked/>
    <w:rsid w:val="003722ED"/>
    <w:rPr>
      <w:b/>
      <w:snapToGrid w:val="0"/>
      <w:kern w:val="28"/>
      <w:szCs w:val="20"/>
    </w:rPr>
  </w:style>
  <w:style w:type="paragraph" w:styleId="Footer">
    <w:name w:val="footer"/>
    <w:basedOn w:val="Normal"/>
    <w:link w:val="FooterChar"/>
    <w:rsid w:val="00552B41"/>
    <w:pPr>
      <w:tabs>
        <w:tab w:val="center" w:pos="4320"/>
        <w:tab w:val="right" w:pos="8640"/>
      </w:tabs>
    </w:pPr>
  </w:style>
  <w:style w:type="character" w:customStyle="1" w:styleId="FooterChar">
    <w:name w:val="Footer Char"/>
    <w:basedOn w:val="DefaultParagraphFont"/>
    <w:link w:val="Footer"/>
    <w:locked/>
    <w:rsid w:val="003722ED"/>
    <w:rPr>
      <w:snapToGrid w:val="0"/>
      <w:kern w:val="28"/>
      <w:szCs w:val="20"/>
    </w:rPr>
  </w:style>
  <w:style w:type="character" w:styleId="PageNumber">
    <w:name w:val="page number"/>
    <w:basedOn w:val="DefaultParagraphFont"/>
    <w:rsid w:val="00552B41"/>
  </w:style>
  <w:style w:type="paragraph" w:styleId="BlockText">
    <w:name w:val="Block Text"/>
    <w:basedOn w:val="Normal"/>
    <w:rsid w:val="00552B41"/>
    <w:pPr>
      <w:spacing w:after="240"/>
      <w:ind w:left="1440" w:right="1440"/>
    </w:pPr>
  </w:style>
  <w:style w:type="paragraph" w:customStyle="1" w:styleId="Paratitle">
    <w:name w:val="Para title"/>
    <w:basedOn w:val="Normal"/>
    <w:rsid w:val="00552B41"/>
    <w:pPr>
      <w:tabs>
        <w:tab w:val="center" w:pos="9270"/>
      </w:tabs>
      <w:spacing w:after="240"/>
    </w:pPr>
    <w:rPr>
      <w:spacing w:val="-2"/>
    </w:rPr>
  </w:style>
  <w:style w:type="paragraph" w:customStyle="1" w:styleId="Bullet">
    <w:name w:val="Bullet"/>
    <w:basedOn w:val="Normal"/>
    <w:rsid w:val="00552B41"/>
    <w:pPr>
      <w:numPr>
        <w:numId w:val="1"/>
      </w:numPr>
      <w:tabs>
        <w:tab w:val="clear" w:pos="360"/>
        <w:tab w:val="left" w:pos="2160"/>
      </w:tabs>
      <w:spacing w:after="220"/>
      <w:ind w:left="2160" w:hanging="720"/>
    </w:pPr>
  </w:style>
  <w:style w:type="paragraph" w:customStyle="1" w:styleId="TableFormat">
    <w:name w:val="TableFormat"/>
    <w:basedOn w:val="Bullet"/>
    <w:rsid w:val="00552B41"/>
    <w:pPr>
      <w:numPr>
        <w:numId w:val="0"/>
      </w:numPr>
      <w:tabs>
        <w:tab w:val="clear" w:pos="2160"/>
        <w:tab w:val="left" w:pos="5040"/>
      </w:tabs>
      <w:ind w:left="5040" w:hanging="3600"/>
    </w:pPr>
  </w:style>
  <w:style w:type="paragraph" w:customStyle="1" w:styleId="TOCTitle">
    <w:name w:val="TOC Title"/>
    <w:basedOn w:val="Normal"/>
    <w:rsid w:val="00552B41"/>
    <w:pPr>
      <w:spacing w:before="240" w:after="240"/>
      <w:jc w:val="center"/>
    </w:pPr>
    <w:rPr>
      <w:rFonts w:ascii="Times New Roman Bold" w:hAnsi="Times New Roman Bold"/>
      <w:b/>
      <w:caps/>
      <w:spacing w:val="-2"/>
    </w:rPr>
  </w:style>
  <w:style w:type="paragraph" w:customStyle="1" w:styleId="StyleBoldCentered">
    <w:name w:val="Style Bold Centered"/>
    <w:basedOn w:val="Normal"/>
    <w:rsid w:val="00552B41"/>
    <w:pPr>
      <w:jc w:val="center"/>
    </w:pPr>
    <w:rPr>
      <w:rFonts w:ascii="Times New Roman Bold" w:hAnsi="Times New Roman Bold"/>
      <w:b/>
      <w:bCs/>
      <w:caps/>
      <w:szCs w:val="22"/>
    </w:rPr>
  </w:style>
  <w:style w:type="character" w:styleId="Hyperlink">
    <w:name w:val="Hyperlink"/>
    <w:basedOn w:val="DefaultParagraphFont"/>
    <w:rsid w:val="00552B41"/>
    <w:rPr>
      <w:color w:val="0000FF"/>
      <w:u w:val="single"/>
    </w:rPr>
  </w:style>
  <w:style w:type="character" w:styleId="CommentReference">
    <w:name w:val="annotation reference"/>
    <w:basedOn w:val="DefaultParagraphFont"/>
    <w:rsid w:val="00031BAA"/>
    <w:rPr>
      <w:rFonts w:cs="Times New Roman"/>
      <w:sz w:val="16"/>
    </w:rPr>
  </w:style>
  <w:style w:type="paragraph" w:styleId="CommentText">
    <w:name w:val="annotation text"/>
    <w:basedOn w:val="Normal"/>
    <w:link w:val="CommentTextChar"/>
    <w:rsid w:val="00031BAA"/>
    <w:rPr>
      <w:sz w:val="20"/>
    </w:rPr>
  </w:style>
  <w:style w:type="character" w:customStyle="1" w:styleId="CommentTextChar">
    <w:name w:val="Comment Text Char"/>
    <w:basedOn w:val="DefaultParagraphFont"/>
    <w:link w:val="CommentText"/>
    <w:locked/>
    <w:rsid w:val="00031BAA"/>
    <w:rPr>
      <w:rFonts w:cs="Times New Roman"/>
      <w:kern w:val="28"/>
    </w:rPr>
  </w:style>
  <w:style w:type="character" w:customStyle="1" w:styleId="FootnoteTextChar2">
    <w:name w:val="Footnote Text Char2"/>
    <w:aliases w:val="Footnote Text Char1 Char1,ALTS FOOTNOTE Char1 Char2,fn Char1 Char1,Footnote Text Char Char Char1,ALTS FOOTNOTE Char Char Char1,fn Char Char Char1,Footnote Text Char1 Char Char Char1,Footnote Text Char Char Char Char Char1,fn Char4"/>
    <w:link w:val="FootnoteText"/>
    <w:locked/>
    <w:rsid w:val="000D6D9E"/>
    <w:rPr>
      <w:sz w:val="20"/>
      <w:szCs w:val="20"/>
    </w:rPr>
  </w:style>
  <w:style w:type="character" w:styleId="FollowedHyperlink">
    <w:name w:val="FollowedHyperlink"/>
    <w:basedOn w:val="DefaultParagraphFont"/>
    <w:rsid w:val="003722ED"/>
    <w:rPr>
      <w:rFonts w:cs="Times New Roman"/>
      <w:color w:val="800080"/>
      <w:u w:val="single"/>
    </w:rPr>
  </w:style>
  <w:style w:type="character" w:customStyle="1" w:styleId="StyleNumberedparagraphs11ptChar">
    <w:name w:val="Style Numbered paragraphs + 11 pt Char"/>
    <w:uiPriority w:val="99"/>
    <w:rsid w:val="003722ED"/>
    <w:rPr>
      <w:sz w:val="22"/>
      <w:lang w:val="en-US" w:eastAsia="en-US"/>
    </w:rPr>
  </w:style>
  <w:style w:type="character" w:customStyle="1" w:styleId="ParaNumChar">
    <w:name w:val="ParaNum Char"/>
    <w:link w:val="ParaNum"/>
    <w:locked/>
    <w:rsid w:val="000D6D9E"/>
    <w:rPr>
      <w:snapToGrid w:val="0"/>
      <w:kern w:val="28"/>
      <w:szCs w:val="20"/>
    </w:rPr>
  </w:style>
  <w:style w:type="character" w:customStyle="1" w:styleId="fnChar3">
    <w:name w:val="fn Char3"/>
    <w:aliases w:val="Footnote Text Char1 Char1 Char Char Char Char1,f Char Char,Footnote Text Char1 Char1 Char Char Char Char,Footnote Text Char3,ALTS FOOTNOTE Char3,Footnote Text Char Char1,ALTS FOOTNOTE Char Char1,fn Char Char2,Footnote Text Char1 Char Char1"/>
    <w:uiPriority w:val="99"/>
    <w:semiHidden/>
    <w:locked/>
    <w:rsid w:val="003722ED"/>
    <w:rPr>
      <w:lang w:val="en-US" w:eastAsia="en-US"/>
    </w:rPr>
  </w:style>
  <w:style w:type="paragraph" w:styleId="NormalWeb">
    <w:name w:val="Normal (Web)"/>
    <w:basedOn w:val="Normal"/>
    <w:uiPriority w:val="99"/>
    <w:rsid w:val="003722ED"/>
    <w:pPr>
      <w:spacing w:before="100" w:beforeAutospacing="1" w:after="360"/>
    </w:pPr>
  </w:style>
  <w:style w:type="character" w:customStyle="1" w:styleId="documentbody1">
    <w:name w:val="documentbody1"/>
    <w:rsid w:val="003722ED"/>
    <w:rPr>
      <w:rFonts w:ascii="Verdana" w:hAnsi="Verdana"/>
      <w:sz w:val="19"/>
    </w:rPr>
  </w:style>
  <w:style w:type="character" w:customStyle="1" w:styleId="documentbody">
    <w:name w:val="documentbody"/>
    <w:uiPriority w:val="99"/>
    <w:rsid w:val="003722ED"/>
  </w:style>
  <w:style w:type="character" w:customStyle="1" w:styleId="searchterm">
    <w:name w:val="searchterm"/>
    <w:uiPriority w:val="99"/>
    <w:rsid w:val="003722ED"/>
  </w:style>
  <w:style w:type="character" w:customStyle="1" w:styleId="italics1">
    <w:name w:val="italics1"/>
    <w:uiPriority w:val="99"/>
    <w:rsid w:val="003722ED"/>
    <w:rPr>
      <w:i/>
    </w:rPr>
  </w:style>
  <w:style w:type="paragraph" w:customStyle="1" w:styleId="Numberedparagraphs">
    <w:name w:val="Numbered paragraphs"/>
    <w:basedOn w:val="Normal"/>
    <w:uiPriority w:val="99"/>
    <w:rsid w:val="003722ED"/>
    <w:pPr>
      <w:numPr>
        <w:ilvl w:val="2"/>
        <w:numId w:val="4"/>
      </w:numPr>
      <w:tabs>
        <w:tab w:val="left" w:pos="1440"/>
      </w:tabs>
      <w:spacing w:after="220"/>
    </w:pPr>
  </w:style>
  <w:style w:type="paragraph" w:styleId="CommentSubject">
    <w:name w:val="annotation subject"/>
    <w:basedOn w:val="CommentText"/>
    <w:next w:val="CommentText"/>
    <w:link w:val="CommentSubjectChar"/>
    <w:rsid w:val="003722ED"/>
    <w:rPr>
      <w:b/>
      <w:bCs/>
    </w:rPr>
  </w:style>
  <w:style w:type="character" w:customStyle="1" w:styleId="CommentSubjectChar">
    <w:name w:val="Comment Subject Char"/>
    <w:basedOn w:val="CommentTextChar"/>
    <w:link w:val="CommentSubject"/>
    <w:locked/>
    <w:rsid w:val="003722ED"/>
    <w:rPr>
      <w:rFonts w:cs="Times New Roman"/>
      <w:b/>
      <w:kern w:val="28"/>
    </w:rPr>
  </w:style>
  <w:style w:type="character" w:customStyle="1" w:styleId="ALTSFOOTNOTEChar1CharChar">
    <w:name w:val="ALTS FOOTNOTE Char1 Char Char"/>
    <w:aliases w:val="fn Char1 Char Char,ALTS FOOTNOTE Char Char Char Char,fn Char Char Char Char,Footnote Text Char1 Char Char Char Char,ALTS FOOTNOTE Char1 Char Char Char Char,fn Char1 Char Char Char Char,Footnote Text Char2 Char"/>
    <w:uiPriority w:val="99"/>
    <w:rsid w:val="003722ED"/>
    <w:rPr>
      <w:lang w:val="en-US" w:eastAsia="en-US"/>
    </w:rPr>
  </w:style>
  <w:style w:type="character" w:styleId="Emphasis">
    <w:name w:val="Emphasis"/>
    <w:basedOn w:val="DefaultParagraphFont"/>
    <w:uiPriority w:val="99"/>
    <w:qFormat/>
    <w:rsid w:val="003722ED"/>
    <w:rPr>
      <w:rFonts w:cs="Times New Roman"/>
      <w:i/>
    </w:rPr>
  </w:style>
  <w:style w:type="paragraph" w:styleId="HTMLPreformatted">
    <w:name w:val="HTML Preformatted"/>
    <w:basedOn w:val="Normal"/>
    <w:link w:val="HTMLPreformattedChar"/>
    <w:uiPriority w:val="99"/>
    <w:rsid w:val="003722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sz w:val="20"/>
    </w:rPr>
  </w:style>
  <w:style w:type="character" w:customStyle="1" w:styleId="HTMLPreformattedChar">
    <w:name w:val="HTML Preformatted Char"/>
    <w:basedOn w:val="DefaultParagraphFont"/>
    <w:link w:val="HTMLPreformatted"/>
    <w:uiPriority w:val="99"/>
    <w:locked/>
    <w:rsid w:val="003722ED"/>
    <w:rPr>
      <w:rFonts w:ascii="Courier New" w:hAnsi="Courier New" w:cs="Times New Roman"/>
    </w:rPr>
  </w:style>
  <w:style w:type="paragraph" w:customStyle="1" w:styleId="ParaNumCharChar">
    <w:name w:val="ParaNum Char Char"/>
    <w:basedOn w:val="Normal"/>
    <w:uiPriority w:val="99"/>
    <w:rsid w:val="003722ED"/>
    <w:pPr>
      <w:tabs>
        <w:tab w:val="num" w:pos="1080"/>
        <w:tab w:val="left" w:pos="1440"/>
      </w:tabs>
      <w:spacing w:after="220"/>
      <w:ind w:firstLine="720"/>
      <w:jc w:val="both"/>
    </w:pPr>
  </w:style>
  <w:style w:type="character" w:customStyle="1" w:styleId="StyleParaNum11ptCharCharCharCharCharCharCharCharCharCharCharCharCharCharCharCharCharCharCharCharCharCharCharCharCharCharCharCharCharCharCharCharCharCharCharCharCharCharCharCharCharChar">
    <w:name w:val="Style ParaNum + 11 pt Char Char Char Char Char Char Char Char Char Char Char Char Char Char Char Char Char Char Char Char Char Char Char Char Char Char Char Char Char Char Char Char Char Char Char Char Char Char Char Char Char Char"/>
    <w:link w:val="StyleParaNum11ptCharCharCharCharCharCharCharCharCharCharCharCharCharCharCharCharCharCharCharCharCharCharCharCharCharCharCharCharCharCharCharCharCharCharCharCharCharCharCharCharChar"/>
    <w:uiPriority w:val="99"/>
    <w:locked/>
    <w:rsid w:val="003722ED"/>
    <w:rPr>
      <w:snapToGrid w:val="0"/>
      <w:kern w:val="28"/>
      <w:sz w:val="22"/>
    </w:rPr>
  </w:style>
  <w:style w:type="paragraph" w:customStyle="1" w:styleId="StyleParaNum11ptCharCharCharCharCharCharCharCharCharCharCharCharCharCharCharCharCharCharCharCharCharCharCharCharCharCharCharCharCharCharCharCharCharCharCharCharCharCharCharCharChar">
    <w:name w:val="Style ParaNum + 11 pt Char Char Char Char Char Char Char Char Char Char Char Char Char Char Char Char Char Char Char Char Char Char Char Char Char Char Char Char Char Char Char Char Char Char Char Char Char Char Char Char Char"/>
    <w:basedOn w:val="Normal"/>
    <w:link w:val="StyleParaNum11ptCharCharCharCharCharCharCharCharCharCharCharCharCharCharCharCharCharCharCharCharCharCharCharCharCharCharCharCharCharCharCharCharCharCharCharCharCharCharCharCharCharChar"/>
    <w:uiPriority w:val="99"/>
    <w:rsid w:val="003722ED"/>
    <w:pPr>
      <w:tabs>
        <w:tab w:val="left" w:pos="1440"/>
      </w:tabs>
      <w:spacing w:after="220"/>
    </w:pPr>
  </w:style>
  <w:style w:type="character" w:customStyle="1" w:styleId="stylenumberedparagraphs11ptchar0">
    <w:name w:val="stylenumberedparagraphs11ptchar"/>
    <w:uiPriority w:val="99"/>
    <w:rsid w:val="003722ED"/>
  </w:style>
  <w:style w:type="character" w:customStyle="1" w:styleId="Footnote">
    <w:name w:val="Footnote"/>
    <w:rsid w:val="003722ED"/>
  </w:style>
  <w:style w:type="character" w:customStyle="1" w:styleId="EmailStyle671">
    <w:name w:val="EmailStyle671"/>
    <w:uiPriority w:val="99"/>
    <w:semiHidden/>
    <w:rsid w:val="003722ED"/>
    <w:rPr>
      <w:rFonts w:ascii="Arial" w:hAnsi="Arial"/>
      <w:color w:val="auto"/>
      <w:sz w:val="20"/>
    </w:rPr>
  </w:style>
  <w:style w:type="paragraph" w:styleId="PlainText">
    <w:name w:val="Plain Text"/>
    <w:basedOn w:val="Normal"/>
    <w:link w:val="PlainTextChar"/>
    <w:rsid w:val="003722ED"/>
  </w:style>
  <w:style w:type="character" w:customStyle="1" w:styleId="PlainTextChar">
    <w:name w:val="Plain Text Char"/>
    <w:basedOn w:val="DefaultParagraphFont"/>
    <w:link w:val="PlainText"/>
    <w:locked/>
    <w:rsid w:val="003722ED"/>
    <w:rPr>
      <w:rFonts w:cs="Times New Roman"/>
      <w:sz w:val="24"/>
    </w:rPr>
  </w:style>
  <w:style w:type="paragraph" w:styleId="Caption">
    <w:name w:val="caption"/>
    <w:basedOn w:val="Normal"/>
    <w:next w:val="Normal"/>
    <w:uiPriority w:val="99"/>
    <w:qFormat/>
    <w:rsid w:val="003722ED"/>
    <w:rPr>
      <w:b/>
      <w:bCs/>
      <w:sz w:val="20"/>
    </w:rPr>
  </w:style>
  <w:style w:type="paragraph" w:customStyle="1" w:styleId="ColorfulList-Accent11">
    <w:name w:val="Colorful List - Accent 11"/>
    <w:basedOn w:val="Normal"/>
    <w:uiPriority w:val="99"/>
    <w:rsid w:val="003722ED"/>
    <w:pPr>
      <w:ind w:left="720"/>
    </w:pPr>
  </w:style>
  <w:style w:type="character" w:customStyle="1" w:styleId="CommentTextChar1">
    <w:name w:val="Comment Text Char1"/>
    <w:uiPriority w:val="99"/>
    <w:rsid w:val="003722ED"/>
    <w:rPr>
      <w:kern w:val="28"/>
      <w:lang w:val="en-US" w:eastAsia="en-US"/>
    </w:rPr>
  </w:style>
  <w:style w:type="paragraph" w:customStyle="1" w:styleId="ColorfulShading-Accent11">
    <w:name w:val="Colorful Shading - Accent 11"/>
    <w:hidden/>
    <w:uiPriority w:val="99"/>
    <w:semiHidden/>
    <w:rsid w:val="003722ED"/>
    <w:rPr>
      <w:kern w:val="28"/>
      <w:szCs w:val="20"/>
    </w:rPr>
  </w:style>
  <w:style w:type="character" w:customStyle="1" w:styleId="A3">
    <w:name w:val="A3"/>
    <w:uiPriority w:val="99"/>
    <w:rsid w:val="003722ED"/>
    <w:rPr>
      <w:color w:val="000000"/>
      <w:sz w:val="64"/>
    </w:rPr>
  </w:style>
  <w:style w:type="character" w:customStyle="1" w:styleId="CharChar1">
    <w:name w:val="Char Char1"/>
    <w:uiPriority w:val="99"/>
    <w:locked/>
    <w:rsid w:val="003722ED"/>
    <w:rPr>
      <w:rFonts w:ascii="Times New Roman Bold" w:hAnsi="Times New Roman Bold"/>
      <w:b/>
      <w:caps/>
      <w:snapToGrid w:val="0"/>
      <w:kern w:val="28"/>
      <w:sz w:val="22"/>
      <w:lang w:val="en-US" w:eastAsia="en-US"/>
    </w:rPr>
  </w:style>
  <w:style w:type="paragraph" w:customStyle="1" w:styleId="StyleParaNumBlack">
    <w:name w:val="Style ParaNum + Black"/>
    <w:basedOn w:val="Normal"/>
    <w:link w:val="StyleParaNumBlackChar"/>
    <w:autoRedefine/>
    <w:uiPriority w:val="99"/>
    <w:rsid w:val="000A2FE4"/>
    <w:pPr>
      <w:tabs>
        <w:tab w:val="num" w:pos="360"/>
        <w:tab w:val="num" w:pos="1260"/>
        <w:tab w:val="left" w:pos="1440"/>
      </w:tabs>
      <w:ind w:hanging="360"/>
    </w:pPr>
    <w:rPr>
      <w:color w:val="000000"/>
    </w:rPr>
  </w:style>
  <w:style w:type="character" w:customStyle="1" w:styleId="StyleParaNumBlackChar">
    <w:name w:val="Style ParaNum + Black Char"/>
    <w:link w:val="StyleParaNumBlack"/>
    <w:uiPriority w:val="99"/>
    <w:locked/>
    <w:rsid w:val="003722ED"/>
    <w:rPr>
      <w:color w:val="000000"/>
      <w:kern w:val="28"/>
      <w:sz w:val="22"/>
    </w:rPr>
  </w:style>
  <w:style w:type="paragraph" w:customStyle="1" w:styleId="AutoCorrect">
    <w:name w:val="AutoCorrect"/>
    <w:uiPriority w:val="99"/>
    <w:rsid w:val="003722ED"/>
    <w:rPr>
      <w:sz w:val="24"/>
      <w:szCs w:val="24"/>
    </w:rPr>
  </w:style>
  <w:style w:type="paragraph" w:customStyle="1" w:styleId="-PAGE-">
    <w:name w:val="- PAGE -"/>
    <w:uiPriority w:val="99"/>
    <w:rsid w:val="003722ED"/>
    <w:rPr>
      <w:sz w:val="24"/>
      <w:szCs w:val="24"/>
    </w:rPr>
  </w:style>
  <w:style w:type="paragraph" w:customStyle="1" w:styleId="PageXofY">
    <w:name w:val="Page X of Y"/>
    <w:uiPriority w:val="99"/>
    <w:rsid w:val="003722ED"/>
    <w:rPr>
      <w:sz w:val="24"/>
      <w:szCs w:val="24"/>
    </w:rPr>
  </w:style>
  <w:style w:type="paragraph" w:customStyle="1" w:styleId="Createdby">
    <w:name w:val="Created by"/>
    <w:uiPriority w:val="99"/>
    <w:rsid w:val="003722ED"/>
    <w:rPr>
      <w:sz w:val="24"/>
      <w:szCs w:val="24"/>
    </w:rPr>
  </w:style>
  <w:style w:type="paragraph" w:customStyle="1" w:styleId="Createdon">
    <w:name w:val="Created on"/>
    <w:uiPriority w:val="99"/>
    <w:rsid w:val="003722ED"/>
    <w:rPr>
      <w:sz w:val="24"/>
      <w:szCs w:val="24"/>
    </w:rPr>
  </w:style>
  <w:style w:type="paragraph" w:customStyle="1" w:styleId="Lastprinted">
    <w:name w:val="Last printed"/>
    <w:uiPriority w:val="99"/>
    <w:rsid w:val="003722ED"/>
    <w:rPr>
      <w:sz w:val="24"/>
      <w:szCs w:val="24"/>
    </w:rPr>
  </w:style>
  <w:style w:type="paragraph" w:customStyle="1" w:styleId="Lastsavedby">
    <w:name w:val="Last saved by"/>
    <w:uiPriority w:val="99"/>
    <w:rsid w:val="003722ED"/>
    <w:rPr>
      <w:sz w:val="24"/>
      <w:szCs w:val="24"/>
    </w:rPr>
  </w:style>
  <w:style w:type="paragraph" w:customStyle="1" w:styleId="Filename">
    <w:name w:val="Filename"/>
    <w:uiPriority w:val="99"/>
    <w:rsid w:val="003722ED"/>
    <w:rPr>
      <w:sz w:val="24"/>
      <w:szCs w:val="24"/>
    </w:rPr>
  </w:style>
  <w:style w:type="paragraph" w:customStyle="1" w:styleId="Filenameandpath">
    <w:name w:val="Filename and path"/>
    <w:uiPriority w:val="99"/>
    <w:rsid w:val="003722ED"/>
    <w:rPr>
      <w:sz w:val="24"/>
      <w:szCs w:val="24"/>
    </w:rPr>
  </w:style>
  <w:style w:type="paragraph" w:customStyle="1" w:styleId="AuthorPageDate">
    <w:name w:val="Author  Page #  Date"/>
    <w:uiPriority w:val="99"/>
    <w:rsid w:val="003722ED"/>
    <w:rPr>
      <w:sz w:val="24"/>
      <w:szCs w:val="24"/>
    </w:rPr>
  </w:style>
  <w:style w:type="paragraph" w:customStyle="1" w:styleId="ConfidentialPageDate">
    <w:name w:val="Confidential  Page #  Date"/>
    <w:uiPriority w:val="99"/>
    <w:rsid w:val="003722ED"/>
    <w:rPr>
      <w:sz w:val="24"/>
      <w:szCs w:val="24"/>
    </w:rPr>
  </w:style>
  <w:style w:type="character" w:customStyle="1" w:styleId="EmailStyle881">
    <w:name w:val="EmailStyle881"/>
    <w:uiPriority w:val="99"/>
    <w:semiHidden/>
    <w:rsid w:val="003722ED"/>
    <w:rPr>
      <w:rFonts w:ascii="Arial" w:hAnsi="Arial"/>
      <w:color w:val="auto"/>
      <w:sz w:val="20"/>
    </w:rPr>
  </w:style>
  <w:style w:type="character" w:customStyle="1" w:styleId="vitstorybyline">
    <w:name w:val="vitstorybyline"/>
    <w:uiPriority w:val="99"/>
    <w:rsid w:val="003722ED"/>
  </w:style>
  <w:style w:type="character" w:customStyle="1" w:styleId="EmailStyle90">
    <w:name w:val="EmailStyle90"/>
    <w:uiPriority w:val="99"/>
    <w:semiHidden/>
    <w:rsid w:val="003722ED"/>
    <w:rPr>
      <w:rFonts w:ascii="Arial" w:hAnsi="Arial"/>
      <w:color w:val="auto"/>
      <w:sz w:val="20"/>
    </w:rPr>
  </w:style>
  <w:style w:type="character" w:customStyle="1" w:styleId="EmailStyle91">
    <w:name w:val="EmailStyle91"/>
    <w:uiPriority w:val="99"/>
    <w:semiHidden/>
    <w:rsid w:val="003722ED"/>
    <w:rPr>
      <w:rFonts w:ascii="Arial" w:hAnsi="Arial"/>
      <w:color w:val="auto"/>
      <w:sz w:val="20"/>
    </w:rPr>
  </w:style>
  <w:style w:type="paragraph" w:customStyle="1" w:styleId="AppendixHeader">
    <w:name w:val="Appendix Header"/>
    <w:basedOn w:val="Normal"/>
    <w:uiPriority w:val="99"/>
    <w:rsid w:val="003722ED"/>
    <w:pPr>
      <w:spacing w:after="120"/>
      <w:ind w:left="1440" w:hanging="720"/>
    </w:pPr>
    <w:rPr>
      <w:b/>
    </w:rPr>
  </w:style>
  <w:style w:type="character" w:customStyle="1" w:styleId="FootnoteTextChar4">
    <w:name w:val="Footnote Text Char4"/>
    <w:aliases w:val="Footnote Text Char2 Char Char,Footnote Text Char3 Char1 Char Char,Footnote Text Char2 Char1 Char1 Char Char,Footnote Text Char3 Char1 Char Char Char Char,fn Char2,Footnote Text Char2 Char Char Char,ALTS FOOTNOTE Char1 Char1"/>
    <w:uiPriority w:val="99"/>
    <w:locked/>
    <w:rsid w:val="003722ED"/>
    <w:rPr>
      <w:rFonts w:ascii="CG Times" w:hAnsi="CG Times"/>
      <w:sz w:val="20"/>
    </w:rPr>
  </w:style>
  <w:style w:type="paragraph" w:customStyle="1" w:styleId="Default">
    <w:name w:val="Default"/>
    <w:rsid w:val="003722ED"/>
    <w:pPr>
      <w:autoSpaceDE w:val="0"/>
      <w:autoSpaceDN w:val="0"/>
      <w:adjustRightInd w:val="0"/>
    </w:pPr>
    <w:rPr>
      <w:color w:val="000000"/>
      <w:sz w:val="24"/>
      <w:szCs w:val="24"/>
    </w:rPr>
  </w:style>
  <w:style w:type="paragraph" w:customStyle="1" w:styleId="paranum0">
    <w:name w:val="paranum"/>
    <w:basedOn w:val="Normal"/>
    <w:uiPriority w:val="99"/>
    <w:rsid w:val="003722ED"/>
    <w:pPr>
      <w:spacing w:before="100" w:beforeAutospacing="1" w:after="100" w:afterAutospacing="1"/>
    </w:pPr>
  </w:style>
  <w:style w:type="character" w:customStyle="1" w:styleId="apple-style-span">
    <w:name w:val="apple-style-span"/>
    <w:uiPriority w:val="99"/>
    <w:rsid w:val="003722ED"/>
  </w:style>
  <w:style w:type="character" w:customStyle="1" w:styleId="ParaNumChar2">
    <w:name w:val="ParaNum Char2"/>
    <w:uiPriority w:val="99"/>
    <w:rsid w:val="003722ED"/>
    <w:rPr>
      <w:snapToGrid w:val="0"/>
      <w:kern w:val="28"/>
      <w:sz w:val="22"/>
      <w:lang w:val="en-US" w:eastAsia="en-US"/>
    </w:rPr>
  </w:style>
  <w:style w:type="character" w:customStyle="1" w:styleId="ParaNumCharChar1">
    <w:name w:val="ParaNum Char Char1"/>
    <w:uiPriority w:val="99"/>
    <w:locked/>
    <w:rsid w:val="003722ED"/>
    <w:rPr>
      <w:rFonts w:eastAsia="MS Mincho"/>
      <w:kern w:val="28"/>
      <w:sz w:val="24"/>
      <w:lang w:val="en-US" w:eastAsia="en-US"/>
    </w:rPr>
  </w:style>
  <w:style w:type="paragraph" w:styleId="BodyText">
    <w:name w:val="Body Text"/>
    <w:basedOn w:val="Normal"/>
    <w:link w:val="BodyTextChar"/>
    <w:rsid w:val="003722ED"/>
  </w:style>
  <w:style w:type="character" w:customStyle="1" w:styleId="BodyTextChar">
    <w:name w:val="Body Text Char"/>
    <w:basedOn w:val="DefaultParagraphFont"/>
    <w:link w:val="BodyText"/>
    <w:locked/>
    <w:rsid w:val="003722ED"/>
    <w:rPr>
      <w:rFonts w:cs="Times New Roman"/>
      <w:sz w:val="22"/>
    </w:rPr>
  </w:style>
  <w:style w:type="paragraph" w:customStyle="1" w:styleId="H1">
    <w:name w:val="H1"/>
    <w:basedOn w:val="Normal"/>
    <w:next w:val="Normal"/>
    <w:uiPriority w:val="99"/>
    <w:rsid w:val="003722ED"/>
    <w:pPr>
      <w:keepNext/>
      <w:autoSpaceDE w:val="0"/>
      <w:autoSpaceDN w:val="0"/>
      <w:adjustRightInd w:val="0"/>
      <w:spacing w:before="100" w:after="100"/>
      <w:outlineLvl w:val="1"/>
    </w:pPr>
    <w:rPr>
      <w:b/>
      <w:bCs/>
      <w:kern w:val="36"/>
      <w:sz w:val="48"/>
      <w:szCs w:val="48"/>
    </w:rPr>
  </w:style>
  <w:style w:type="character" w:styleId="Strong">
    <w:name w:val="Strong"/>
    <w:basedOn w:val="DefaultParagraphFont"/>
    <w:uiPriority w:val="99"/>
    <w:qFormat/>
    <w:rsid w:val="003B04DA"/>
    <w:rPr>
      <w:rFonts w:cs="Times New Roman"/>
      <w:b/>
    </w:rPr>
  </w:style>
  <w:style w:type="paragraph" w:styleId="ListParagraph">
    <w:name w:val="List Paragraph"/>
    <w:basedOn w:val="Normal"/>
    <w:qFormat/>
    <w:rsid w:val="00837052"/>
    <w:pPr>
      <w:ind w:left="720"/>
    </w:pPr>
  </w:style>
  <w:style w:type="paragraph" w:styleId="TOCHeading">
    <w:name w:val="TOC Heading"/>
    <w:basedOn w:val="Heading1"/>
    <w:next w:val="Normal"/>
    <w:uiPriority w:val="99"/>
    <w:qFormat/>
    <w:rsid w:val="008445A1"/>
    <w:pPr>
      <w:keepLines/>
      <w:numPr>
        <w:numId w:val="0"/>
      </w:numPr>
      <w:tabs>
        <w:tab w:val="left" w:pos="720"/>
      </w:tabs>
      <w:suppressAutoHyphens w:val="0"/>
      <w:spacing w:before="480" w:after="0" w:line="276" w:lineRule="auto"/>
      <w:outlineLvl w:val="9"/>
    </w:pPr>
    <w:rPr>
      <w:rFonts w:ascii="Cambria" w:eastAsia="MS Gothic" w:hAnsi="Cambria"/>
      <w:bCs/>
      <w:caps w:val="0"/>
      <w:color w:val="365F91"/>
      <w:sz w:val="28"/>
      <w:szCs w:val="28"/>
      <w:lang w:eastAsia="ja-JP"/>
    </w:rPr>
  </w:style>
  <w:style w:type="character" w:customStyle="1" w:styleId="FootnoteReference2">
    <w:name w:val="Footnote Reference2"/>
    <w:uiPriority w:val="99"/>
    <w:rsid w:val="00EA2915"/>
    <w:rPr>
      <w:color w:val="000000"/>
      <w:sz w:val="20"/>
      <w:vertAlign w:val="superscript"/>
    </w:rPr>
  </w:style>
  <w:style w:type="paragraph" w:customStyle="1" w:styleId="FootnoteTextA">
    <w:name w:val="Footnote Text A"/>
    <w:uiPriority w:val="99"/>
    <w:rsid w:val="00EA2915"/>
    <w:pPr>
      <w:widowControl w:val="0"/>
    </w:pPr>
    <w:rPr>
      <w:rFonts w:eastAsia="?????? Pro W3"/>
      <w:color w:val="000000"/>
      <w:kern w:val="28"/>
      <w:sz w:val="20"/>
      <w:szCs w:val="20"/>
    </w:rPr>
  </w:style>
  <w:style w:type="paragraph" w:customStyle="1" w:styleId="CommentText1">
    <w:name w:val="Comment Text1"/>
    <w:uiPriority w:val="99"/>
    <w:rsid w:val="00EA2915"/>
    <w:pPr>
      <w:widowControl w:val="0"/>
    </w:pPr>
    <w:rPr>
      <w:rFonts w:eastAsia="?????? Pro W3"/>
      <w:color w:val="000000"/>
      <w:kern w:val="28"/>
      <w:sz w:val="20"/>
      <w:szCs w:val="20"/>
    </w:rPr>
  </w:style>
  <w:style w:type="character" w:customStyle="1" w:styleId="FootnoteReference1">
    <w:name w:val="Footnote Reference1"/>
    <w:uiPriority w:val="99"/>
    <w:rsid w:val="00EA2915"/>
    <w:rPr>
      <w:color w:val="000000"/>
      <w:sz w:val="20"/>
      <w:vertAlign w:val="superscript"/>
    </w:rPr>
  </w:style>
  <w:style w:type="paragraph" w:customStyle="1" w:styleId="ParaNum">
    <w:name w:val="ParaNum"/>
    <w:basedOn w:val="Normal"/>
    <w:link w:val="ParaNumChar"/>
    <w:rsid w:val="00552B41"/>
    <w:pPr>
      <w:numPr>
        <w:numId w:val="2"/>
      </w:numPr>
      <w:tabs>
        <w:tab w:val="clear" w:pos="1080"/>
        <w:tab w:val="num" w:pos="1440"/>
      </w:tabs>
      <w:spacing w:after="120"/>
    </w:pPr>
  </w:style>
  <w:style w:type="paragraph" w:styleId="TOC1">
    <w:name w:val="toc 1"/>
    <w:basedOn w:val="Normal"/>
    <w:next w:val="Normal"/>
    <w:rsid w:val="00552B41"/>
    <w:pPr>
      <w:tabs>
        <w:tab w:val="left" w:pos="360"/>
        <w:tab w:val="right" w:leader="dot" w:pos="9360"/>
      </w:tabs>
      <w:suppressAutoHyphens/>
      <w:ind w:left="360" w:right="720" w:hanging="360"/>
    </w:pPr>
    <w:rPr>
      <w:caps/>
      <w:noProof/>
    </w:rPr>
  </w:style>
  <w:style w:type="paragraph" w:styleId="TOC2">
    <w:name w:val="toc 2"/>
    <w:basedOn w:val="Normal"/>
    <w:next w:val="Normal"/>
    <w:rsid w:val="00552B41"/>
    <w:pPr>
      <w:tabs>
        <w:tab w:val="left" w:pos="720"/>
        <w:tab w:val="right" w:leader="dot" w:pos="9360"/>
      </w:tabs>
      <w:suppressAutoHyphens/>
      <w:ind w:left="720" w:right="720" w:hanging="360"/>
    </w:pPr>
    <w:rPr>
      <w:noProof/>
    </w:rPr>
  </w:style>
  <w:style w:type="paragraph" w:styleId="TOC3">
    <w:name w:val="toc 3"/>
    <w:basedOn w:val="Normal"/>
    <w:next w:val="Normal"/>
    <w:rsid w:val="00552B41"/>
    <w:pPr>
      <w:tabs>
        <w:tab w:val="left" w:pos="1080"/>
        <w:tab w:val="right" w:leader="dot" w:pos="9360"/>
      </w:tabs>
      <w:suppressAutoHyphens/>
      <w:ind w:left="1080" w:right="720" w:hanging="360"/>
    </w:pPr>
    <w:rPr>
      <w:noProof/>
    </w:rPr>
  </w:style>
  <w:style w:type="character" w:customStyle="1" w:styleId="wsite-text2">
    <w:name w:val="wsite-text2"/>
    <w:uiPriority w:val="99"/>
    <w:rsid w:val="00856B63"/>
    <w:rPr>
      <w:rFonts w:ascii="Arial" w:hAnsi="Arial"/>
      <w:color w:val="252525"/>
      <w:sz w:val="18"/>
      <w:u w:val="none"/>
      <w:effect w:val="none"/>
    </w:rPr>
  </w:style>
  <w:style w:type="paragraph" w:styleId="Revision">
    <w:name w:val="Revision"/>
    <w:hidden/>
    <w:semiHidden/>
    <w:rsid w:val="00904AFA"/>
    <w:rPr>
      <w:kern w:val="28"/>
      <w:szCs w:val="20"/>
    </w:rPr>
  </w:style>
  <w:style w:type="paragraph" w:customStyle="1" w:styleId="StyleParaNumAfter11pt">
    <w:name w:val="Style ParaNum + After:  11 pt"/>
    <w:basedOn w:val="ParaNum"/>
    <w:rsid w:val="002E747D"/>
    <w:pPr>
      <w:spacing w:after="220"/>
    </w:pPr>
  </w:style>
  <w:style w:type="character" w:customStyle="1" w:styleId="text">
    <w:name w:val="text"/>
    <w:basedOn w:val="DefaultParagraphFont"/>
    <w:rsid w:val="00902AE2"/>
  </w:style>
  <w:style w:type="character" w:customStyle="1" w:styleId="FootnoteCharacters">
    <w:name w:val="Footnote Characters"/>
    <w:rsid w:val="00892925"/>
    <w:rPr>
      <w:vertAlign w:val="superscript"/>
    </w:rPr>
  </w:style>
  <w:style w:type="paragraph" w:customStyle="1" w:styleId="ParaNumCharCharCharCharChar">
    <w:name w:val="ParaNum Char Char Char Char Char"/>
    <w:basedOn w:val="Normal"/>
    <w:rsid w:val="00065A2C"/>
    <w:pPr>
      <w:tabs>
        <w:tab w:val="num" w:pos="990"/>
      </w:tabs>
      <w:spacing w:after="220"/>
      <w:ind w:left="-90" w:firstLine="720"/>
      <w:jc w:val="both"/>
    </w:pPr>
    <w:rPr>
      <w:snapToGrid w:val="0"/>
    </w:rPr>
  </w:style>
  <w:style w:type="paragraph" w:styleId="BodyTextIndent">
    <w:name w:val="Body Text Indent"/>
    <w:basedOn w:val="Normal"/>
    <w:link w:val="BodyTextIndentChar"/>
    <w:locked/>
    <w:rsid w:val="00065A2C"/>
    <w:pPr>
      <w:ind w:firstLine="720"/>
    </w:pPr>
    <w:rPr>
      <w:snapToGrid w:val="0"/>
      <w:sz w:val="20"/>
    </w:rPr>
  </w:style>
  <w:style w:type="character" w:customStyle="1" w:styleId="BodyTextIndentChar">
    <w:name w:val="Body Text Indent Char"/>
    <w:basedOn w:val="DefaultParagraphFont"/>
    <w:link w:val="BodyTextIndent"/>
    <w:rsid w:val="00065A2C"/>
    <w:rPr>
      <w:sz w:val="20"/>
      <w:szCs w:val="20"/>
    </w:rPr>
  </w:style>
  <w:style w:type="paragraph" w:customStyle="1" w:styleId="box">
    <w:name w:val="box"/>
    <w:basedOn w:val="Normal"/>
    <w:rsid w:val="00065A2C"/>
    <w:pPr>
      <w:pBdr>
        <w:top w:val="single" w:sz="6" w:space="4" w:color="000000"/>
        <w:left w:val="single" w:sz="6" w:space="4" w:color="000000"/>
        <w:bottom w:val="single" w:sz="6" w:space="4" w:color="000000"/>
        <w:right w:val="single" w:sz="6" w:space="4" w:color="000000"/>
      </w:pBdr>
      <w:shd w:val="clear" w:color="auto" w:fill="E1E1E1"/>
      <w:spacing w:before="75" w:after="75"/>
      <w:ind w:left="75" w:right="75"/>
    </w:pPr>
    <w:rPr>
      <w:rFonts w:ascii="Verdana" w:hAnsi="Verdana"/>
      <w:snapToGrid w:val="0"/>
      <w:sz w:val="20"/>
    </w:rPr>
  </w:style>
  <w:style w:type="paragraph" w:customStyle="1" w:styleId="masthead">
    <w:name w:val="masthead"/>
    <w:basedOn w:val="Normal"/>
    <w:rsid w:val="00065A2C"/>
    <w:pPr>
      <w:shd w:val="clear" w:color="auto" w:fill="0000CC"/>
      <w:spacing w:before="100" w:beforeAutospacing="1" w:after="100" w:afterAutospacing="1"/>
    </w:pPr>
    <w:rPr>
      <w:rFonts w:ascii="Arial" w:hAnsi="Arial" w:cs="Arial"/>
      <w:snapToGrid w:val="0"/>
      <w:color w:val="FFFFFF"/>
      <w:sz w:val="36"/>
      <w:szCs w:val="36"/>
    </w:rPr>
  </w:style>
  <w:style w:type="paragraph" w:customStyle="1" w:styleId="pgmargins">
    <w:name w:val="pgmargins"/>
    <w:basedOn w:val="Normal"/>
    <w:rsid w:val="00065A2C"/>
    <w:pPr>
      <w:spacing w:before="100" w:beforeAutospacing="1" w:after="100" w:afterAutospacing="1"/>
    </w:pPr>
    <w:rPr>
      <w:rFonts w:ascii="Verdana" w:hAnsi="Verdana"/>
      <w:snapToGrid w:val="0"/>
      <w:sz w:val="20"/>
    </w:rPr>
  </w:style>
  <w:style w:type="paragraph" w:customStyle="1" w:styleId="intro">
    <w:name w:val="intro"/>
    <w:basedOn w:val="Normal"/>
    <w:rsid w:val="00065A2C"/>
    <w:pPr>
      <w:spacing w:before="150" w:after="150" w:line="264" w:lineRule="auto"/>
    </w:pPr>
    <w:rPr>
      <w:snapToGrid w:val="0"/>
      <w:color w:val="006FD2"/>
      <w:sz w:val="29"/>
      <w:szCs w:val="29"/>
    </w:rPr>
  </w:style>
  <w:style w:type="paragraph" w:styleId="Index1">
    <w:name w:val="index 1"/>
    <w:basedOn w:val="Normal"/>
    <w:next w:val="Normal"/>
    <w:autoRedefine/>
    <w:semiHidden/>
    <w:locked/>
    <w:rsid w:val="00065A2C"/>
    <w:pPr>
      <w:tabs>
        <w:tab w:val="right" w:leader="dot" w:pos="3950"/>
      </w:tabs>
      <w:ind w:left="220" w:hanging="220"/>
    </w:pPr>
    <w:rPr>
      <w:rFonts w:ascii="Verdana" w:hAnsi="Verdana"/>
      <w:bCs/>
      <w:noProof/>
      <w:snapToGrid w:val="0"/>
      <w:sz w:val="20"/>
      <w:u w:val="single"/>
    </w:rPr>
  </w:style>
  <w:style w:type="character" w:customStyle="1" w:styleId="CharChar10">
    <w:name w:val="Char Char10"/>
    <w:rsid w:val="00065A2C"/>
    <w:rPr>
      <w:rFonts w:ascii="Cambria" w:hAnsi="Cambria"/>
      <w:b/>
      <w:kern w:val="32"/>
      <w:sz w:val="32"/>
    </w:rPr>
  </w:style>
  <w:style w:type="character" w:customStyle="1" w:styleId="CharChar5">
    <w:name w:val="Char Char5"/>
    <w:semiHidden/>
    <w:rsid w:val="00065A2C"/>
    <w:rPr>
      <w:sz w:val="20"/>
    </w:rPr>
  </w:style>
  <w:style w:type="character" w:customStyle="1" w:styleId="CharChar">
    <w:name w:val="Char Char"/>
    <w:rsid w:val="00065A2C"/>
    <w:rPr>
      <w:rFonts w:ascii="Consolas" w:hAnsi="Consolas"/>
      <w:sz w:val="21"/>
    </w:rPr>
  </w:style>
  <w:style w:type="paragraph" w:styleId="NoSpacing">
    <w:name w:val="No Spacing"/>
    <w:link w:val="NoSpacingChar"/>
    <w:qFormat/>
    <w:rsid w:val="00065A2C"/>
    <w:rPr>
      <w:rFonts w:ascii="Calibri" w:hAnsi="Calibri"/>
      <w:lang w:eastAsia="ja-JP"/>
    </w:rPr>
  </w:style>
  <w:style w:type="character" w:customStyle="1" w:styleId="NoSpacingChar">
    <w:name w:val="No Spacing Char"/>
    <w:link w:val="NoSpacing"/>
    <w:locked/>
    <w:rsid w:val="00065A2C"/>
    <w:rPr>
      <w:rFonts w:ascii="Calibri" w:hAnsi="Calibri"/>
      <w:lang w:eastAsia="ja-JP"/>
    </w:rPr>
  </w:style>
  <w:style w:type="paragraph" w:styleId="Title">
    <w:name w:val="Title"/>
    <w:basedOn w:val="Normal"/>
    <w:next w:val="Normal"/>
    <w:link w:val="TitleChar"/>
    <w:qFormat/>
    <w:rsid w:val="00065A2C"/>
    <w:pPr>
      <w:pBdr>
        <w:bottom w:val="single" w:sz="8" w:space="4" w:color="4F81BD"/>
      </w:pBdr>
      <w:spacing w:after="300"/>
      <w:contextualSpacing/>
    </w:pPr>
    <w:rPr>
      <w:rFonts w:ascii="Cambria" w:hAnsi="Cambria"/>
      <w:snapToGrid w:val="0"/>
      <w:color w:val="17365D"/>
      <w:spacing w:val="5"/>
      <w:sz w:val="52"/>
      <w:lang w:eastAsia="ja-JP"/>
    </w:rPr>
  </w:style>
  <w:style w:type="character" w:customStyle="1" w:styleId="TitleChar">
    <w:name w:val="Title Char"/>
    <w:basedOn w:val="DefaultParagraphFont"/>
    <w:link w:val="Title"/>
    <w:rsid w:val="00065A2C"/>
    <w:rPr>
      <w:rFonts w:ascii="Cambria" w:hAnsi="Cambria"/>
      <w:color w:val="17365D"/>
      <w:spacing w:val="5"/>
      <w:kern w:val="28"/>
      <w:sz w:val="52"/>
      <w:szCs w:val="20"/>
      <w:lang w:eastAsia="ja-JP"/>
    </w:rPr>
  </w:style>
  <w:style w:type="paragraph" w:styleId="Subtitle">
    <w:name w:val="Subtitle"/>
    <w:basedOn w:val="Normal"/>
    <w:next w:val="Normal"/>
    <w:link w:val="SubtitleChar"/>
    <w:qFormat/>
    <w:rsid w:val="00065A2C"/>
    <w:pPr>
      <w:numPr>
        <w:ilvl w:val="1"/>
      </w:numPr>
      <w:spacing w:after="200" w:line="276" w:lineRule="auto"/>
    </w:pPr>
    <w:rPr>
      <w:rFonts w:ascii="Cambria" w:hAnsi="Cambria"/>
      <w:i/>
      <w:snapToGrid w:val="0"/>
      <w:color w:val="4F81BD"/>
      <w:spacing w:val="15"/>
      <w:lang w:eastAsia="ja-JP"/>
    </w:rPr>
  </w:style>
  <w:style w:type="character" w:customStyle="1" w:styleId="SubtitleChar">
    <w:name w:val="Subtitle Char"/>
    <w:basedOn w:val="DefaultParagraphFont"/>
    <w:link w:val="Subtitle"/>
    <w:rsid w:val="00065A2C"/>
    <w:rPr>
      <w:rFonts w:ascii="Cambria" w:hAnsi="Cambria"/>
      <w:i/>
      <w:color w:val="4F81BD"/>
      <w:spacing w:val="15"/>
      <w:sz w:val="24"/>
      <w:szCs w:val="20"/>
      <w:lang w:eastAsia="ja-JP"/>
    </w:rPr>
  </w:style>
  <w:style w:type="character" w:customStyle="1" w:styleId="enumxml">
    <w:name w:val="enumxml"/>
    <w:basedOn w:val="DefaultParagraphFont"/>
    <w:rsid w:val="00065A2C"/>
    <w:rPr>
      <w:rFonts w:cs="Times New Roman"/>
    </w:rPr>
  </w:style>
  <w:style w:type="character" w:customStyle="1" w:styleId="ptext-3">
    <w:name w:val="ptext-3"/>
    <w:basedOn w:val="DefaultParagraphFont"/>
    <w:rsid w:val="00065A2C"/>
    <w:rPr>
      <w:rFonts w:cs="Times New Roman"/>
    </w:rPr>
  </w:style>
  <w:style w:type="character" w:customStyle="1" w:styleId="Heading2Char">
    <w:name w:val="Heading 2 Char"/>
    <w:basedOn w:val="DefaultParagraphFont"/>
    <w:link w:val="Heading2"/>
    <w:rsid w:val="00B710E7"/>
    <w:rPr>
      <w:b/>
      <w:snapToGrid w:val="0"/>
      <w:kern w:val="28"/>
      <w:szCs w:val="20"/>
    </w:rPr>
  </w:style>
  <w:style w:type="paragraph" w:customStyle="1" w:styleId="InsideAddress">
    <w:name w:val="Inside Address"/>
    <w:basedOn w:val="BodyText"/>
    <w:rsid w:val="00C93FF2"/>
    <w:pPr>
      <w:spacing w:line="220" w:lineRule="atLeast"/>
    </w:pPr>
    <w:rPr>
      <w:snapToGrid w:val="0"/>
      <w:spacing w:val="-5"/>
    </w:rPr>
  </w:style>
  <w:style w:type="paragraph" w:customStyle="1" w:styleId="RuleHeader">
    <w:name w:val="Rule Header"/>
    <w:basedOn w:val="Normal"/>
    <w:rsid w:val="00F935B1"/>
    <w:pPr>
      <w:keepNext/>
      <w:spacing w:before="240" w:after="120"/>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149993">
      <w:bodyDiv w:val="1"/>
      <w:marLeft w:val="0"/>
      <w:marRight w:val="0"/>
      <w:marTop w:val="0"/>
      <w:marBottom w:val="0"/>
      <w:divBdr>
        <w:top w:val="none" w:sz="0" w:space="0" w:color="auto"/>
        <w:left w:val="none" w:sz="0" w:space="0" w:color="auto"/>
        <w:bottom w:val="none" w:sz="0" w:space="0" w:color="auto"/>
        <w:right w:val="none" w:sz="0" w:space="0" w:color="auto"/>
      </w:divBdr>
    </w:div>
    <w:div w:id="169832629">
      <w:bodyDiv w:val="1"/>
      <w:marLeft w:val="0"/>
      <w:marRight w:val="0"/>
      <w:marTop w:val="0"/>
      <w:marBottom w:val="0"/>
      <w:divBdr>
        <w:top w:val="none" w:sz="0" w:space="0" w:color="auto"/>
        <w:left w:val="none" w:sz="0" w:space="0" w:color="auto"/>
        <w:bottom w:val="none" w:sz="0" w:space="0" w:color="auto"/>
        <w:right w:val="none" w:sz="0" w:space="0" w:color="auto"/>
      </w:divBdr>
    </w:div>
    <w:div w:id="284967557">
      <w:bodyDiv w:val="1"/>
      <w:marLeft w:val="0"/>
      <w:marRight w:val="0"/>
      <w:marTop w:val="0"/>
      <w:marBottom w:val="0"/>
      <w:divBdr>
        <w:top w:val="none" w:sz="0" w:space="0" w:color="auto"/>
        <w:left w:val="none" w:sz="0" w:space="0" w:color="auto"/>
        <w:bottom w:val="none" w:sz="0" w:space="0" w:color="auto"/>
        <w:right w:val="none" w:sz="0" w:space="0" w:color="auto"/>
      </w:divBdr>
    </w:div>
    <w:div w:id="319625917">
      <w:bodyDiv w:val="1"/>
      <w:marLeft w:val="0"/>
      <w:marRight w:val="0"/>
      <w:marTop w:val="0"/>
      <w:marBottom w:val="0"/>
      <w:divBdr>
        <w:top w:val="none" w:sz="0" w:space="0" w:color="auto"/>
        <w:left w:val="none" w:sz="0" w:space="0" w:color="auto"/>
        <w:bottom w:val="none" w:sz="0" w:space="0" w:color="auto"/>
        <w:right w:val="none" w:sz="0" w:space="0" w:color="auto"/>
      </w:divBdr>
    </w:div>
    <w:div w:id="417943265">
      <w:bodyDiv w:val="1"/>
      <w:marLeft w:val="0"/>
      <w:marRight w:val="0"/>
      <w:marTop w:val="0"/>
      <w:marBottom w:val="0"/>
      <w:divBdr>
        <w:top w:val="none" w:sz="0" w:space="0" w:color="auto"/>
        <w:left w:val="none" w:sz="0" w:space="0" w:color="auto"/>
        <w:bottom w:val="none" w:sz="0" w:space="0" w:color="auto"/>
        <w:right w:val="none" w:sz="0" w:space="0" w:color="auto"/>
      </w:divBdr>
    </w:div>
    <w:div w:id="852572641">
      <w:bodyDiv w:val="1"/>
      <w:marLeft w:val="0"/>
      <w:marRight w:val="0"/>
      <w:marTop w:val="0"/>
      <w:marBottom w:val="0"/>
      <w:divBdr>
        <w:top w:val="none" w:sz="0" w:space="0" w:color="auto"/>
        <w:left w:val="none" w:sz="0" w:space="0" w:color="auto"/>
        <w:bottom w:val="none" w:sz="0" w:space="0" w:color="auto"/>
        <w:right w:val="none" w:sz="0" w:space="0" w:color="auto"/>
      </w:divBdr>
    </w:div>
    <w:div w:id="875315667">
      <w:bodyDiv w:val="1"/>
      <w:marLeft w:val="0"/>
      <w:marRight w:val="0"/>
      <w:marTop w:val="0"/>
      <w:marBottom w:val="0"/>
      <w:divBdr>
        <w:top w:val="none" w:sz="0" w:space="0" w:color="auto"/>
        <w:left w:val="none" w:sz="0" w:space="0" w:color="auto"/>
        <w:bottom w:val="none" w:sz="0" w:space="0" w:color="auto"/>
        <w:right w:val="none" w:sz="0" w:space="0" w:color="auto"/>
      </w:divBdr>
    </w:div>
    <w:div w:id="912348291">
      <w:bodyDiv w:val="1"/>
      <w:marLeft w:val="0"/>
      <w:marRight w:val="0"/>
      <w:marTop w:val="0"/>
      <w:marBottom w:val="0"/>
      <w:divBdr>
        <w:top w:val="none" w:sz="0" w:space="0" w:color="auto"/>
        <w:left w:val="none" w:sz="0" w:space="0" w:color="auto"/>
        <w:bottom w:val="none" w:sz="0" w:space="0" w:color="auto"/>
        <w:right w:val="none" w:sz="0" w:space="0" w:color="auto"/>
      </w:divBdr>
    </w:div>
    <w:div w:id="955989997">
      <w:bodyDiv w:val="1"/>
      <w:marLeft w:val="0"/>
      <w:marRight w:val="0"/>
      <w:marTop w:val="0"/>
      <w:marBottom w:val="0"/>
      <w:divBdr>
        <w:top w:val="none" w:sz="0" w:space="0" w:color="auto"/>
        <w:left w:val="none" w:sz="0" w:space="0" w:color="auto"/>
        <w:bottom w:val="none" w:sz="0" w:space="0" w:color="auto"/>
        <w:right w:val="none" w:sz="0" w:space="0" w:color="auto"/>
      </w:divBdr>
    </w:div>
    <w:div w:id="1113209791">
      <w:bodyDiv w:val="1"/>
      <w:marLeft w:val="0"/>
      <w:marRight w:val="0"/>
      <w:marTop w:val="0"/>
      <w:marBottom w:val="0"/>
      <w:divBdr>
        <w:top w:val="none" w:sz="0" w:space="0" w:color="auto"/>
        <w:left w:val="none" w:sz="0" w:space="0" w:color="auto"/>
        <w:bottom w:val="none" w:sz="0" w:space="0" w:color="auto"/>
        <w:right w:val="none" w:sz="0" w:space="0" w:color="auto"/>
      </w:divBdr>
    </w:div>
    <w:div w:id="1269855761">
      <w:bodyDiv w:val="1"/>
      <w:marLeft w:val="0"/>
      <w:marRight w:val="0"/>
      <w:marTop w:val="0"/>
      <w:marBottom w:val="0"/>
      <w:divBdr>
        <w:top w:val="none" w:sz="0" w:space="0" w:color="auto"/>
        <w:left w:val="none" w:sz="0" w:space="0" w:color="auto"/>
        <w:bottom w:val="none" w:sz="0" w:space="0" w:color="auto"/>
        <w:right w:val="none" w:sz="0" w:space="0" w:color="auto"/>
      </w:divBdr>
      <w:divsChild>
        <w:div w:id="2088920683">
          <w:marLeft w:val="0"/>
          <w:marRight w:val="0"/>
          <w:marTop w:val="0"/>
          <w:marBottom w:val="0"/>
          <w:divBdr>
            <w:top w:val="none" w:sz="0" w:space="0" w:color="auto"/>
            <w:left w:val="none" w:sz="0" w:space="0" w:color="auto"/>
            <w:bottom w:val="none" w:sz="0" w:space="0" w:color="auto"/>
            <w:right w:val="none" w:sz="0" w:space="0" w:color="auto"/>
          </w:divBdr>
          <w:divsChild>
            <w:div w:id="1011488686">
              <w:marLeft w:val="0"/>
              <w:marRight w:val="0"/>
              <w:marTop w:val="0"/>
              <w:marBottom w:val="0"/>
              <w:divBdr>
                <w:top w:val="none" w:sz="0" w:space="0" w:color="auto"/>
                <w:left w:val="none" w:sz="0" w:space="0" w:color="auto"/>
                <w:bottom w:val="none" w:sz="0" w:space="0" w:color="auto"/>
                <w:right w:val="none" w:sz="0" w:space="0" w:color="auto"/>
              </w:divBdr>
              <w:divsChild>
                <w:div w:id="1554072976">
                  <w:marLeft w:val="0"/>
                  <w:marRight w:val="0"/>
                  <w:marTop w:val="0"/>
                  <w:marBottom w:val="0"/>
                  <w:divBdr>
                    <w:top w:val="none" w:sz="0" w:space="0" w:color="auto"/>
                    <w:left w:val="none" w:sz="0" w:space="0" w:color="auto"/>
                    <w:bottom w:val="none" w:sz="0" w:space="0" w:color="auto"/>
                    <w:right w:val="none" w:sz="0" w:space="0" w:color="auto"/>
                  </w:divBdr>
                  <w:divsChild>
                    <w:div w:id="1629244220">
                      <w:marLeft w:val="0"/>
                      <w:marRight w:val="0"/>
                      <w:marTop w:val="0"/>
                      <w:marBottom w:val="0"/>
                      <w:divBdr>
                        <w:top w:val="none" w:sz="0" w:space="0" w:color="auto"/>
                        <w:left w:val="none" w:sz="0" w:space="0" w:color="auto"/>
                        <w:bottom w:val="none" w:sz="0" w:space="0" w:color="auto"/>
                        <w:right w:val="none" w:sz="0" w:space="0" w:color="auto"/>
                      </w:divBdr>
                      <w:divsChild>
                        <w:div w:id="720790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3777146">
      <w:bodyDiv w:val="1"/>
      <w:marLeft w:val="0"/>
      <w:marRight w:val="0"/>
      <w:marTop w:val="0"/>
      <w:marBottom w:val="0"/>
      <w:divBdr>
        <w:top w:val="none" w:sz="0" w:space="0" w:color="auto"/>
        <w:left w:val="none" w:sz="0" w:space="0" w:color="auto"/>
        <w:bottom w:val="none" w:sz="0" w:space="0" w:color="auto"/>
        <w:right w:val="none" w:sz="0" w:space="0" w:color="auto"/>
      </w:divBdr>
    </w:div>
    <w:div w:id="1587105237">
      <w:bodyDiv w:val="1"/>
      <w:marLeft w:val="0"/>
      <w:marRight w:val="0"/>
      <w:marTop w:val="0"/>
      <w:marBottom w:val="0"/>
      <w:divBdr>
        <w:top w:val="none" w:sz="0" w:space="0" w:color="auto"/>
        <w:left w:val="none" w:sz="0" w:space="0" w:color="auto"/>
        <w:bottom w:val="none" w:sz="0" w:space="0" w:color="auto"/>
        <w:right w:val="none" w:sz="0" w:space="0" w:color="auto"/>
      </w:divBdr>
    </w:div>
    <w:div w:id="1622228585">
      <w:bodyDiv w:val="1"/>
      <w:marLeft w:val="0"/>
      <w:marRight w:val="0"/>
      <w:marTop w:val="0"/>
      <w:marBottom w:val="0"/>
      <w:divBdr>
        <w:top w:val="none" w:sz="0" w:space="0" w:color="auto"/>
        <w:left w:val="none" w:sz="0" w:space="0" w:color="auto"/>
        <w:bottom w:val="none" w:sz="0" w:space="0" w:color="auto"/>
        <w:right w:val="none" w:sz="0" w:space="0" w:color="auto"/>
      </w:divBdr>
    </w:div>
    <w:div w:id="1706905110">
      <w:bodyDiv w:val="1"/>
      <w:marLeft w:val="0"/>
      <w:marRight w:val="0"/>
      <w:marTop w:val="0"/>
      <w:marBottom w:val="0"/>
      <w:divBdr>
        <w:top w:val="none" w:sz="0" w:space="0" w:color="auto"/>
        <w:left w:val="none" w:sz="0" w:space="0" w:color="auto"/>
        <w:bottom w:val="none" w:sz="0" w:space="0" w:color="auto"/>
        <w:right w:val="none" w:sz="0" w:space="0" w:color="auto"/>
      </w:divBdr>
    </w:div>
    <w:div w:id="1746411792">
      <w:bodyDiv w:val="1"/>
      <w:marLeft w:val="0"/>
      <w:marRight w:val="0"/>
      <w:marTop w:val="0"/>
      <w:marBottom w:val="0"/>
      <w:divBdr>
        <w:top w:val="none" w:sz="0" w:space="0" w:color="auto"/>
        <w:left w:val="none" w:sz="0" w:space="0" w:color="auto"/>
        <w:bottom w:val="none" w:sz="0" w:space="0" w:color="auto"/>
        <w:right w:val="none" w:sz="0" w:space="0" w:color="auto"/>
      </w:divBdr>
    </w:div>
    <w:div w:id="1807431481">
      <w:bodyDiv w:val="1"/>
      <w:marLeft w:val="0"/>
      <w:marRight w:val="0"/>
      <w:marTop w:val="0"/>
      <w:marBottom w:val="0"/>
      <w:divBdr>
        <w:top w:val="none" w:sz="0" w:space="0" w:color="auto"/>
        <w:left w:val="none" w:sz="0" w:space="0" w:color="auto"/>
        <w:bottom w:val="none" w:sz="0" w:space="0" w:color="auto"/>
        <w:right w:val="none" w:sz="0" w:space="0" w:color="auto"/>
      </w:divBdr>
    </w:div>
    <w:div w:id="1830554339">
      <w:bodyDiv w:val="1"/>
      <w:marLeft w:val="0"/>
      <w:marRight w:val="0"/>
      <w:marTop w:val="0"/>
      <w:marBottom w:val="0"/>
      <w:divBdr>
        <w:top w:val="none" w:sz="0" w:space="0" w:color="auto"/>
        <w:left w:val="none" w:sz="0" w:space="0" w:color="auto"/>
        <w:bottom w:val="none" w:sz="0" w:space="0" w:color="auto"/>
        <w:right w:val="none" w:sz="0" w:space="0" w:color="auto"/>
      </w:divBdr>
    </w:div>
    <w:div w:id="1961643514">
      <w:bodyDiv w:val="1"/>
      <w:marLeft w:val="0"/>
      <w:marRight w:val="0"/>
      <w:marTop w:val="0"/>
      <w:marBottom w:val="0"/>
      <w:divBdr>
        <w:top w:val="none" w:sz="0" w:space="0" w:color="auto"/>
        <w:left w:val="none" w:sz="0" w:space="0" w:color="auto"/>
        <w:bottom w:val="none" w:sz="0" w:space="0" w:color="auto"/>
        <w:right w:val="none" w:sz="0" w:space="0" w:color="auto"/>
      </w:divBdr>
    </w:div>
    <w:div w:id="2131586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cpi.com/" TargetMode="External"/><Relationship Id="rId18" Type="http://schemas.openxmlformats.org/officeDocument/2006/relationships/footer" Target="footer2.xml"/><Relationship Id="rId26" Type="http://schemas.openxmlformats.org/officeDocument/2006/relationships/hyperlink" Target="file:///C:\Documents%20and%20Settings\eflock\My%20Documents\ESL%20copies\2012%20ESL%20draft\Local%20Settings\Temporary%20Internet%20Files\Content.Outlook\FCW4A6P7\IAEmailService" TargetMode="External"/><Relationship Id="rId39" Type="http://schemas.openxmlformats.org/officeDocument/2006/relationships/hyperlink" Target="http://www.usac.org/sl/" TargetMode="External"/><Relationship Id="rId3" Type="http://schemas.microsoft.com/office/2007/relationships/stylesWithEffects" Target="stylesWithEffects.xml"/><Relationship Id="rId21" Type="http://schemas.openxmlformats.org/officeDocument/2006/relationships/hyperlink" Target="http://www.usac.org/sl/" TargetMode="External"/><Relationship Id="rId34" Type="http://schemas.openxmlformats.org/officeDocument/2006/relationships/hyperlink" Target="file:///C:\Documents%20and%20Settings\eflock\My%20Documents\ESL%20copies\2012%20ESL%20draft\Local%20Settings\Temporary%20Internet%20Files\Content.Outlook\FCW4A6P7\IAInternet2" TargetMode="External"/><Relationship Id="rId42" Type="http://schemas.openxmlformats.org/officeDocument/2006/relationships/hyperlink" Target="http://www.universalservice.org/sl/applicants/step06/cost-allocation-guidelines-products-services.aspx" TargetMode="External"/><Relationship Id="rId47" Type="http://schemas.openxmlformats.org/officeDocument/2006/relationships/hyperlink" Target="http://www.fcc.gov/" TargetMode="External"/><Relationship Id="rId50" Type="http://schemas.openxmlformats.org/officeDocument/2006/relationships/chart" Target="charts/chart1.xml"/><Relationship Id="rId7" Type="http://schemas.openxmlformats.org/officeDocument/2006/relationships/endnotes" Target="endnotes.xml"/><Relationship Id="rId12" Type="http://schemas.openxmlformats.org/officeDocument/2006/relationships/hyperlink" Target="mailto:Charles.Tyler@fcc.gov" TargetMode="External"/><Relationship Id="rId17" Type="http://schemas.openxmlformats.org/officeDocument/2006/relationships/footer" Target="footer1.xml"/><Relationship Id="rId25" Type="http://schemas.openxmlformats.org/officeDocument/2006/relationships/hyperlink" Target="file:///C:\Documents%20and%20Settings\eflock\My%20Documents\ESL%20copies\2012%20ESL%20draft\Local%20Settings\Temporary%20Internet%20Files\Content.Outlook\FCW4A6P7\xxMiscellaneous" TargetMode="External"/><Relationship Id="rId33" Type="http://schemas.openxmlformats.org/officeDocument/2006/relationships/hyperlink" Target="file:///C:\Documents%20and%20Settings\eflock\My%20Documents\ESL%20copies\2012%20ESL%20draft\Local%20Settings\Temporary%20Internet%20Files\Content.Outlook\FCW4A6P7\ICOnlineBackupSolutionsdefinition" TargetMode="External"/><Relationship Id="rId38" Type="http://schemas.openxmlformats.org/officeDocument/2006/relationships/footer" Target="footer8.xml"/><Relationship Id="rId46" Type="http://schemas.openxmlformats.org/officeDocument/2006/relationships/footer" Target="footer9.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yperlink" Target="file:///C:\Documents%20and%20Settings\eflock\My%20Documents\ESL%20copies\2012%20ESL%20draft\Local%20Settings\Temporary%20Internet%20Files\Content.Outlook\FCW4A6P7\IADigitalSubscriberLine" TargetMode="External"/><Relationship Id="rId41" Type="http://schemas.openxmlformats.org/officeDocument/2006/relationships/hyperlink" Target="http://www.universalservice.org/sl/applicants/step06/cost-allocation-guidelines-products-services.aspx"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Lisa.Hone@fcc.gov" TargetMode="External"/><Relationship Id="rId24" Type="http://schemas.openxmlformats.org/officeDocument/2006/relationships/footer" Target="footer4.xml"/><Relationship Id="rId32" Type="http://schemas.openxmlformats.org/officeDocument/2006/relationships/hyperlink" Target="file:///C:\Documents%20and%20Settings\eflock\My%20Documents\ESL%20copies\2012%20ESL%20draft\Local%20Settings\Temporary%20Internet%20Files\Content.Outlook\FCW4A6P7\IAInternetContent" TargetMode="External"/><Relationship Id="rId37" Type="http://schemas.openxmlformats.org/officeDocument/2006/relationships/footer" Target="footer7.xml"/><Relationship Id="rId40" Type="http://schemas.openxmlformats.org/officeDocument/2006/relationships/hyperlink" Target="http://www.sl.universalservice.org/reference/costallocationguide.asp" TargetMode="External"/><Relationship Id="rId45" Type="http://schemas.openxmlformats.org/officeDocument/2006/relationships/hyperlink" Target="http://www.universalservice.org/sl/applicants/step06/on-premise-priority1-equipment.aspx"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http://www.usac.org/sl/tools/news-briefs/Default.aspx" TargetMode="External"/><Relationship Id="rId28" Type="http://schemas.openxmlformats.org/officeDocument/2006/relationships/hyperlink" Target="file:///C:\Documents%20and%20Settings\eflock\My%20Documents\ESL%20copies\2012%20ESL%20draft\Local%20Settings\Temporary%20Internet%20Files\Content.Outlook\FCW4A6P7\CableModem" TargetMode="External"/><Relationship Id="rId36" Type="http://schemas.openxmlformats.org/officeDocument/2006/relationships/footer" Target="footer6.xml"/><Relationship Id="rId49" Type="http://schemas.openxmlformats.org/officeDocument/2006/relationships/header" Target="header4.xml"/><Relationship Id="rId10" Type="http://schemas.openxmlformats.org/officeDocument/2006/relationships/hyperlink" Target="http://www.bcpiweb.com/" TargetMode="External"/><Relationship Id="rId19" Type="http://schemas.openxmlformats.org/officeDocument/2006/relationships/header" Target="header3.xml"/><Relationship Id="rId31" Type="http://schemas.openxmlformats.org/officeDocument/2006/relationships/hyperlink" Target="file:///C:\Documents%20and%20Settings\eflock\My%20Documents\ESL%20copies\2012%20ESL%20draft\Local%20Settings\Temporary%20Internet%20Files\Content.Outlook\FCW4A6P7\Telecom900976Charges" TargetMode="External"/><Relationship Id="rId44" Type="http://schemas.openxmlformats.org/officeDocument/2006/relationships/hyperlink" Target="http://www.sl.universalservice.org/reference/wan.asp"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fcc504@fcc.gov" TargetMode="External"/><Relationship Id="rId14" Type="http://schemas.openxmlformats.org/officeDocument/2006/relationships/hyperlink" Target="mailto:fcc@bcpiweb.com" TargetMode="External"/><Relationship Id="rId22" Type="http://schemas.openxmlformats.org/officeDocument/2006/relationships/hyperlink" Target="http://www.usac.org/sl/tools/reference-area.aspx" TargetMode="External"/><Relationship Id="rId27" Type="http://schemas.openxmlformats.org/officeDocument/2006/relationships/hyperlink" Target="file:///C:\Documents%20and%20Settings\eflock\My%20Documents\ESL%20copies\2012%20ESL%20draft\Local%20Settings\Temporary%20Internet%20Files\Content.Outlook\FCW4A6P7\xxBroadbandOverPowerLines" TargetMode="External"/><Relationship Id="rId30" Type="http://schemas.openxmlformats.org/officeDocument/2006/relationships/hyperlink" Target="file:///C:\Documents%20and%20Settings\eflock\My%20Documents\ESL%20copies\2012%20ESL%20draft\Local%20Settings\Temporary%20Internet%20Files\Content.Outlook\FCW4A6P7\Telecom900976Charges" TargetMode="External"/><Relationship Id="rId35" Type="http://schemas.openxmlformats.org/officeDocument/2006/relationships/footer" Target="footer5.xml"/><Relationship Id="rId43" Type="http://schemas.openxmlformats.org/officeDocument/2006/relationships/hyperlink" Target="http://www.universalservice.org/sl/applicants/step06/two-out-of-five-rule.aspx" TargetMode="External"/><Relationship Id="rId48" Type="http://schemas.openxmlformats.org/officeDocument/2006/relationships/footer" Target="footer10.xml"/><Relationship Id="rId8" Type="http://schemas.openxmlformats.org/officeDocument/2006/relationships/hyperlink" Target="http://fjallfoss.fcc.gov/ecfs2/" TargetMode="External"/><Relationship Id="rId51" Type="http://schemas.openxmlformats.org/officeDocument/2006/relationships/fontTable" Target="fontTable.xml"/></Relationships>
</file>

<file path=word/_rels/footnotes.xml.rels><?xml version="1.0" encoding="UTF-8" standalone="yes"?>
<Relationships xmlns="http://schemas.openxmlformats.org/package/2006/relationships"><Relationship Id="rId26" Type="http://schemas.openxmlformats.org/officeDocument/2006/relationships/hyperlink" Target="http://www.leadcommission.org/sites/default/files/LEAD%20Commission%20Blueprint.pdf" TargetMode="External"/><Relationship Id="rId21" Type="http://schemas.openxmlformats.org/officeDocument/2006/relationships/hyperlink" Target="http://www.ala.org/news/press-releases/2013/06/ala-welcomes-white-house-call-increased-e-rate-funding-libraries-and-schools" TargetMode="External"/><Relationship Id="rId42" Type="http://schemas.openxmlformats.org/officeDocument/2006/relationships/hyperlink" Target="http://www.usac.org/sl/tools/news-briefs/preview.aspx?id=98" TargetMode="External"/><Relationship Id="rId47" Type="http://schemas.openxmlformats.org/officeDocument/2006/relationships/hyperlink" Target="http://web2.westlaw.com/find/default.wl?mt=12&amp;db=4493&amp;tc=-1&amp;rp=%2ffind%2fdefault.wl&amp;findtype=Y&amp;ordoc=2029537211&amp;serialnum=2023179867&amp;vr=2.0&amp;fn=_top&amp;sv=Split&amp;tf=-1&amp;referencepositiontype=S&amp;pbc=F15E763B&amp;referenceposition=18772&amp;rs=WLW13.01" TargetMode="External"/><Relationship Id="rId63" Type="http://schemas.openxmlformats.org/officeDocument/2006/relationships/hyperlink" Target="http://www.usac.org/sl/applicants/step03/default.aspx" TargetMode="External"/><Relationship Id="rId68" Type="http://schemas.openxmlformats.org/officeDocument/2006/relationships/hyperlink" Target="http://www.sl.universalservice.org/FY3_form471/471StatusCheck.asp" TargetMode="External"/><Relationship Id="rId84" Type="http://schemas.openxmlformats.org/officeDocument/2006/relationships/hyperlink" Target="http://www.sl.universalservice.org/whatsnew/2002/062002.asp" TargetMode="External"/><Relationship Id="rId89" Type="http://schemas.openxmlformats.org/officeDocument/2006/relationships/hyperlink" Target="http://nces.ed.gov/ccd/rural_locales.asp" TargetMode="External"/><Relationship Id="rId112" Type="http://schemas.openxmlformats.org/officeDocument/2006/relationships/hyperlink" Target="http://www.census.gov/cgi-bin/sssd/naics/naicsrch?code=517211&amp;search=2002" TargetMode="External"/><Relationship Id="rId16" Type="http://schemas.openxmlformats.org/officeDocument/2006/relationships/hyperlink" Target="http://www.leadcommission.org/news/statement-lead-applauds-connected-initiative" TargetMode="External"/><Relationship Id="rId107" Type="http://schemas.openxmlformats.org/officeDocument/2006/relationships/hyperlink" Target="http://www.fcc.gov/omd/usac-letters/2010/021210-ipia.pdf" TargetMode="External"/><Relationship Id="rId11" Type="http://schemas.openxmlformats.org/officeDocument/2006/relationships/hyperlink" Target="http://www.rockefeller.senate.gov/public/index.cfm/press-releases?ID=2c487a72-7b98-456f-b723-278fc11a2202" TargetMode="External"/><Relationship Id="rId24" Type="http://schemas.openxmlformats.org/officeDocument/2006/relationships/hyperlink" Target="http://www.nassp.org/Content.aspx?topic=Principals_Believe_Better_Internet_Access_Will_Open_More_Doors" TargetMode="External"/><Relationship Id="rId32" Type="http://schemas.openxmlformats.org/officeDocument/2006/relationships/hyperlink" Target="http://www.schoolspeedtest.org/" TargetMode="External"/><Relationship Id="rId37" Type="http://schemas.openxmlformats.org/officeDocument/2006/relationships/hyperlink" Target="http://www.usac.org/sl/tools/forms/default.aspx" TargetMode="External"/><Relationship Id="rId40" Type="http://schemas.openxmlformats.org/officeDocument/2006/relationships/hyperlink" Target="http://www.usac.org/about/tools/fcc/filings/2011/Q4/4Q2011%20Quarterly%20Demand%20Filing.pdf" TargetMode="External"/><Relationship Id="rId45" Type="http://schemas.openxmlformats.org/officeDocument/2006/relationships/hyperlink" Target="http://www.e-ratecentral.com/archive/News/News2013/weekly_news_2013_0429.asp" TargetMode="External"/><Relationship Id="rId53" Type="http://schemas.openxmlformats.org/officeDocument/2006/relationships/hyperlink" Target="http://www.usac.org/sl/tools/commitments-search/Default.aspx" TargetMode="External"/><Relationship Id="rId58" Type="http://schemas.openxmlformats.org/officeDocument/2006/relationships/hyperlink" Target="http://www.azed.gov/educational-technology/e-rate/arizona-state-master-contract" TargetMode="External"/><Relationship Id="rId66" Type="http://schemas.openxmlformats.org/officeDocument/2006/relationships/hyperlink" Target="http://www.usac.org/_res/documents/sl/pdf/SLITM/RFC-Full-Notice.pdf" TargetMode="External"/><Relationship Id="rId74" Type="http://schemas.openxmlformats.org/officeDocument/2006/relationships/hyperlink" Target="http://apps.fcc.gov/ecfs/document/view?id=7021712500" TargetMode="External"/><Relationship Id="rId79" Type="http://schemas.openxmlformats.org/officeDocument/2006/relationships/hyperlink" Target="http://www.sl.universalservice.org/whatsnew/default.asp" TargetMode="External"/><Relationship Id="rId87" Type="http://schemas.openxmlformats.org/officeDocument/2006/relationships/hyperlink" Target="http://blogs.kqed.org/mindshift/2011/10/when-school-web-filtering-comes-home" TargetMode="External"/><Relationship Id="rId102" Type="http://schemas.openxmlformats.org/officeDocument/2006/relationships/hyperlink" Target="http://www.justice.gov/opa/pr/2010/November/10-civ-1284.html" TargetMode="External"/><Relationship Id="rId110" Type="http://schemas.openxmlformats.org/officeDocument/2006/relationships/hyperlink" Target="http://www.census.gov/compendia/statab/2006/state_local_govt_finances_employment/stlocgov.pdf" TargetMode="External"/><Relationship Id="rId115" Type="http://schemas.openxmlformats.org/officeDocument/2006/relationships/hyperlink" Target="http://www.census.gov/cgi-bin/sssd/naics/naicsrch?code=517110&amp;search=2012" TargetMode="External"/><Relationship Id="rId5" Type="http://schemas.openxmlformats.org/officeDocument/2006/relationships/hyperlink" Target="http://nces.ed.gov/pubs2007/2007020.pdf" TargetMode="External"/><Relationship Id="rId61" Type="http://schemas.openxmlformats.org/officeDocument/2006/relationships/hyperlink" Target="http://www.universalservice.org/sl/applicants/step04/item-21.aspx" TargetMode="External"/><Relationship Id="rId82" Type="http://schemas.openxmlformats.org/officeDocument/2006/relationships/hyperlink" Target="http://www.sl.universalservice.org/whatsnew/2001/112001.asp" TargetMode="External"/><Relationship Id="rId90" Type="http://schemas.openxmlformats.org/officeDocument/2006/relationships/hyperlink" Target="http://nces.ed.gov/ccd/rural_locales.asp" TargetMode="External"/><Relationship Id="rId95" Type="http://schemas.openxmlformats.org/officeDocument/2006/relationships/hyperlink" Target="http://www.census.gov/acs/www/" TargetMode="External"/><Relationship Id="rId19" Type="http://schemas.openxmlformats.org/officeDocument/2006/relationships/hyperlink" Target="http://www.cosn.org/Portals/7/docs/Press%20Releases/2013/CoSNStatementConnectED6June13FINAL.pdf" TargetMode="External"/><Relationship Id="rId14" Type="http://schemas.openxmlformats.org/officeDocument/2006/relationships/hyperlink" Target="http://www.cio.com/article/734558/Obama_Pushes_for_Higher_Speed_Broadband_in_Schools" TargetMode="External"/><Relationship Id="rId22" Type="http://schemas.openxmlformats.org/officeDocument/2006/relationships/hyperlink" Target="http://www.ccsso.org/News_and_Events/Press_Releases/CCSSO_Statement_on_ConnectED_Initiative_Announcement.html" TargetMode="External"/><Relationship Id="rId27" Type="http://schemas.openxmlformats.org/officeDocument/2006/relationships/hyperlink" Target="http://www.usac.org/_res/documents/sl/pdf/tools/news/FY2013-Demand-Estimate.pdf" TargetMode="External"/><Relationship Id="rId30" Type="http://schemas.openxmlformats.org/officeDocument/2006/relationships/hyperlink" Target="http://www.leadcommission.org/sites/default/files/LEAD%20Commission%20Blueprint_0.pdf" TargetMode="External"/><Relationship Id="rId35" Type="http://schemas.openxmlformats.org/officeDocument/2006/relationships/hyperlink" Target="http://www.whitehouse.gov/omb/open" TargetMode="External"/><Relationship Id="rId43" Type="http://schemas.openxmlformats.org/officeDocument/2006/relationships/hyperlink" Target="http://www.fundsforlearning.com/FFLProposal.php" TargetMode="External"/><Relationship Id="rId48" Type="http://schemas.openxmlformats.org/officeDocument/2006/relationships/hyperlink" Target="http://www.usac.org/sl/applicants/beforeyoubegin/eligible-services/wan.aspx" TargetMode="External"/><Relationship Id="rId56" Type="http://schemas.openxmlformats.org/officeDocument/2006/relationships/hyperlink" Target="http://www.fundsforlearning.com/docs/2013/03/COMM-WEB-PerStudentPreDiscount_2013.pdf" TargetMode="External"/><Relationship Id="rId64" Type="http://schemas.openxmlformats.org/officeDocument/2006/relationships/hyperlink" Target="http://www.usac.org/sl/tools/forms/default.aspx" TargetMode="External"/><Relationship Id="rId69" Type="http://schemas.openxmlformats.org/officeDocument/2006/relationships/hyperlink" Target="http://www.usac.org/sl/applicants/step05/default.aspx" TargetMode="External"/><Relationship Id="rId77" Type="http://schemas.openxmlformats.org/officeDocument/2006/relationships/hyperlink" Target="http://www.usac.org/sl/tools/news-briefs/preview.aspx?id=447" TargetMode="External"/><Relationship Id="rId100" Type="http://schemas.openxmlformats.org/officeDocument/2006/relationships/hyperlink" Target="http://www.justice.gov/opa/pr/2009/June/09-civ-632.html" TargetMode="External"/><Relationship Id="rId105" Type="http://schemas.openxmlformats.org/officeDocument/2006/relationships/hyperlink" Target="http://www.usac.org/sl/about/program-integrity/suspensions-debarments.aspx" TargetMode="External"/><Relationship Id="rId113" Type="http://schemas.openxmlformats.org/officeDocument/2006/relationships/hyperlink" Target="http://www.census.gov/naics/2007/def/ND517210.HTM" TargetMode="External"/><Relationship Id="rId8" Type="http://schemas.openxmlformats.org/officeDocument/2006/relationships/hyperlink" Target="http://viewer.zmags.com/publication/4673a369" TargetMode="External"/><Relationship Id="rId51" Type="http://schemas.openxmlformats.org/officeDocument/2006/relationships/hyperlink" Target="http://www.usac.org/sl/applicants/beforeyoubegin/eligible-services/wan.aspx" TargetMode="External"/><Relationship Id="rId72" Type="http://schemas.openxmlformats.org/officeDocument/2006/relationships/hyperlink" Target="http://www.usac.org/sl/applicants/beforeyoubegin/non-traditional/eligibility-table.aspx" TargetMode="External"/><Relationship Id="rId80" Type="http://schemas.openxmlformats.org/officeDocument/2006/relationships/hyperlink" Target="http://www.sl.universalservice.org/whatsnew/2000/022000.asp" TargetMode="External"/><Relationship Id="rId85" Type="http://schemas.openxmlformats.org/officeDocument/2006/relationships/hyperlink" Target="http://www.scholastic.com/browse/article.jsp?id=3756757" TargetMode="External"/><Relationship Id="rId93" Type="http://schemas.openxmlformats.org/officeDocument/2006/relationships/hyperlink" Target="https://newwebmail.fcc.gov/owa/redir.aspx?C=879bbd895ef84995b9b2be9be3d89869&amp;URL=http%3a%2f%2fwww.fns.usda.gov%2fcnd%2fgovernance%2fPolicy-Memos%2f2011%2fSP23-2011_os.pdf" TargetMode="External"/><Relationship Id="rId98" Type="http://schemas.openxmlformats.org/officeDocument/2006/relationships/hyperlink" Target="http://www.fns.usda.gov/cga/pressreleases/2012/FNS-2.htm" TargetMode="External"/><Relationship Id="rId3" Type="http://schemas.openxmlformats.org/officeDocument/2006/relationships/hyperlink" Target="http://www.setda.org/web/guest/broadbandimperative" TargetMode="External"/><Relationship Id="rId12" Type="http://schemas.openxmlformats.org/officeDocument/2006/relationships/hyperlink" Target="http://www.ncta.com/news-and-events/media-room/article/2774" TargetMode="External"/><Relationship Id="rId17" Type="http://schemas.openxmlformats.org/officeDocument/2006/relationships/hyperlink" Target="http://www.ntca.org/2013-press-releases/ntca-ceo-comments-on-white-house-connected-initiative.html" TargetMode="External"/><Relationship Id="rId25" Type="http://schemas.openxmlformats.org/officeDocument/2006/relationships/hyperlink" Target="http://www.commerce.senate.gov/public/index.cfm?p=PressReleases&amp;ContentRecord_id=5cb24ad3-281e-4abd-acd0-afb699008e3e&amp;ContentType_id=77eb43da-aa94-497d-a73f-5c951ff72372&amp;Group_id=505cc3fa-a767-40f4-8ac2-4b8326b44e94" TargetMode="External"/><Relationship Id="rId33" Type="http://schemas.openxmlformats.org/officeDocument/2006/relationships/hyperlink" Target="http://faculty.chicagobooth.edu/austan.goolsbee/research/erate.pdf" TargetMode="External"/><Relationship Id="rId38" Type="http://schemas.openxmlformats.org/officeDocument/2006/relationships/hyperlink" Target="http://nces.ed.gov/ccd/rural_locales.asp" TargetMode="External"/><Relationship Id="rId46" Type="http://schemas.openxmlformats.org/officeDocument/2006/relationships/hyperlink" Target="http://web2.westlaw.com/find/default.wl?mt=12&amp;db=4493&amp;tc=-1&amp;rp=%2ffind%2fdefault.wl&amp;findtype=Y&amp;ordoc=2029537211&amp;serialnum=2022551447&amp;vr=2.0&amp;fn=_top&amp;sv=Split&amp;tf=-1&amp;referencepositiontype=S&amp;pbc=F15E763B&amp;referenceposition=9395&amp;rs=WLW13.01" TargetMode="External"/><Relationship Id="rId59" Type="http://schemas.openxmlformats.org/officeDocument/2006/relationships/hyperlink" Target="https://mcnc.org/about.html" TargetMode="External"/><Relationship Id="rId67" Type="http://schemas.openxmlformats.org/officeDocument/2006/relationships/hyperlink" Target="http://www.usac.org/_res/documents/about/pdf/annual-reports/usac-annual-report-2012.pdf" TargetMode="External"/><Relationship Id="rId103" Type="http://schemas.openxmlformats.org/officeDocument/2006/relationships/hyperlink" Target="http://hraunfoss.fcc.gov/edocs_public/attachmatch/DOC-302764A1.pdf" TargetMode="External"/><Relationship Id="rId108" Type="http://schemas.openxmlformats.org/officeDocument/2006/relationships/hyperlink" Target="http://www.usac.org/sl/tools/news/default.aspx%23650" TargetMode="External"/><Relationship Id="rId116" Type="http://schemas.openxmlformats.org/officeDocument/2006/relationships/hyperlink" Target="http://factfinder2.census.gov/" TargetMode="External"/><Relationship Id="rId20" Type="http://schemas.openxmlformats.org/officeDocument/2006/relationships/hyperlink" Target="http://www.nsba.org/newsroom/press-releases/nsba-welcomes-presidents-plan-to-improve-schools-internet-access.html.aspx" TargetMode="External"/><Relationship Id="rId41" Type="http://schemas.openxmlformats.org/officeDocument/2006/relationships/hyperlink" Target="http://www.usac.org/sl/tools/news-briefs/preview.aspx?id=155" TargetMode="External"/><Relationship Id="rId54" Type="http://schemas.openxmlformats.org/officeDocument/2006/relationships/hyperlink" Target="http://www.universalservice.org/sl/tools/commitments-search/Default.aspx" TargetMode="External"/><Relationship Id="rId62" Type="http://schemas.openxmlformats.org/officeDocument/2006/relationships/hyperlink" Target="http://web2.westlaw.com/find/default.wl?mt=Westlaw&amp;db=1000547&amp;docname=47CFRS54.503&amp;rp=%2ffind%2fdefault.wl&amp;findtype=L&amp;ordoc=2027153915&amp;tc=-1&amp;vr=2.0&amp;fn=_top&amp;sv=Split&amp;tf=-1&amp;pbc=5A976A6C&amp;rs=WLW13.04" TargetMode="External"/><Relationship Id="rId70" Type="http://schemas.openxmlformats.org/officeDocument/2006/relationships/hyperlink" Target="http://www.usac.org/sl/applicants/step05/selective-review.aspx" TargetMode="External"/><Relationship Id="rId75" Type="http://schemas.openxmlformats.org/officeDocument/2006/relationships/hyperlink" Target="http://www.usac.org/sl/applicants/beforeyoubegin/eligible-services-list.aspx" TargetMode="External"/><Relationship Id="rId83" Type="http://schemas.openxmlformats.org/officeDocument/2006/relationships/hyperlink" Target="http://www.sl.universalservice.org/whatsnew/2002/122002.asp" TargetMode="External"/><Relationship Id="rId88" Type="http://schemas.openxmlformats.org/officeDocument/2006/relationships/hyperlink" Target="http://www.westlaw.com/Find/Default.wl?rs=dfa1.0&amp;vr=2.0&amp;DB=1000546&amp;DocName=47USCAS254&amp;FindType=L" TargetMode="External"/><Relationship Id="rId91" Type="http://schemas.openxmlformats.org/officeDocument/2006/relationships/hyperlink" Target="http://www.census.gov/geo/reference/ua/urban-rural-2010.html" TargetMode="External"/><Relationship Id="rId96" Type="http://schemas.openxmlformats.org/officeDocument/2006/relationships/hyperlink" Target="http://www.nap.edu/catalog.php?record_id=13409" TargetMode="External"/><Relationship Id="rId111" Type="http://schemas.openxmlformats.org/officeDocument/2006/relationships/hyperlink" Target="http://www.census.gov/cgi-bin/sssd/naics/naicsrch?code=517210&amp;search=2007" TargetMode="External"/><Relationship Id="rId1" Type="http://schemas.openxmlformats.org/officeDocument/2006/relationships/hyperlink" Target="http://www.setda.org/web/guest/broadbandimperative" TargetMode="External"/><Relationship Id="rId6" Type="http://schemas.openxmlformats.org/officeDocument/2006/relationships/hyperlink" Target="http://www.ii.fsu.edu/Solutions/Public-Libraries-The-Internet/Reports" TargetMode="External"/><Relationship Id="rId15" Type="http://schemas.openxmlformats.org/officeDocument/2006/relationships/hyperlink" Target="http://blogs.cisco.com/news/cisco-statement-on-white-house-e-rate-announcement" TargetMode="External"/><Relationship Id="rId23" Type="http://schemas.openxmlformats.org/officeDocument/2006/relationships/hyperlink" Target="http://www.all4ed.org/press_room/press_releases/06062013" TargetMode="External"/><Relationship Id="rId28" Type="http://schemas.openxmlformats.org/officeDocument/2006/relationships/hyperlink" Target="http://www.broadband.gov/download-plan" TargetMode="External"/><Relationship Id="rId36" Type="http://schemas.openxmlformats.org/officeDocument/2006/relationships/hyperlink" Target="http://www.usac.org/sl/applicants/step04/item-21.aspx" TargetMode="External"/><Relationship Id="rId49" Type="http://schemas.openxmlformats.org/officeDocument/2006/relationships/hyperlink" Target="http://www.usac.org/sl/applicants/beforeyoubegin/eligible-services/wan.aspx" TargetMode="External"/><Relationship Id="rId57" Type="http://schemas.openxmlformats.org/officeDocument/2006/relationships/hyperlink" Target="http://apps.fcc.gov/ecfs/document/view?id=7520927795" TargetMode="External"/><Relationship Id="rId106" Type="http://schemas.openxmlformats.org/officeDocument/2006/relationships/hyperlink" Target="http://transition.fcc.gov/oig/SAR_March_2010_050710.pdf" TargetMode="External"/><Relationship Id="rId114" Type="http://schemas.openxmlformats.org/officeDocument/2006/relationships/hyperlink" Target="http://www.census.gov/cgi-bin/sssd/naics/naicsrch?code=517211&amp;search=2002" TargetMode="External"/><Relationship Id="rId10" Type="http://schemas.openxmlformats.org/officeDocument/2006/relationships/hyperlink" Target="http://www.whitehouse.gov/sites/default/files/docs/connected_fact_sheet.pdf" TargetMode="External"/><Relationship Id="rId31" Type="http://schemas.openxmlformats.org/officeDocument/2006/relationships/hyperlink" Target="http://www.usac.org/_res/documents/sl/pdf/forms/471i_fy05.pdf" TargetMode="External"/><Relationship Id="rId44" Type="http://schemas.openxmlformats.org/officeDocument/2006/relationships/hyperlink" Target="http://www.e-ratecentral.com/archive/News/News2012/weekly_news_2012_1217.asp" TargetMode="External"/><Relationship Id="rId52" Type="http://schemas.openxmlformats.org/officeDocument/2006/relationships/hyperlink" Target="http://apps.fcc.gov/ecfs/document/view?id=6520223018" TargetMode="External"/><Relationship Id="rId60" Type="http://schemas.openxmlformats.org/officeDocument/2006/relationships/hyperlink" Target="http://www.tmng.com/sites/tmng.com/files/CSMG_Gates%20Foundation_Connections%20Capacity%20Community%20RE%20Network%20Paper_21Feb2011.pdf" TargetMode="External"/><Relationship Id="rId65" Type="http://schemas.openxmlformats.org/officeDocument/2006/relationships/hyperlink" Target="http://www.usac.org/sl/applicants/step05/default.aspx" TargetMode="External"/><Relationship Id="rId73" Type="http://schemas.openxmlformats.org/officeDocument/2006/relationships/hyperlink" Target="http://www.usac.org/sl/applicants/step03/contracts.aspx" TargetMode="External"/><Relationship Id="rId78" Type="http://schemas.openxmlformats.org/officeDocument/2006/relationships/hyperlink" Target="http://www.usac.org/_res/documents/sl/pdf/forms/500.PDF" TargetMode="External"/><Relationship Id="rId81" Type="http://schemas.openxmlformats.org/officeDocument/2006/relationships/hyperlink" Target="http://www.sl.universalservice.org/whatsnew/2000/102000.asp" TargetMode="External"/><Relationship Id="rId86" Type="http://schemas.openxmlformats.org/officeDocument/2006/relationships/hyperlink" Target="http://www.ed.gov/sites/default/files/netp2010.pdf" TargetMode="External"/><Relationship Id="rId94" Type="http://schemas.openxmlformats.org/officeDocument/2006/relationships/hyperlink" Target="http://www.fns.usda.gov/cnd/Governance/Policy-Memos/2012/SP12-2012%20os.pdf" TargetMode="External"/><Relationship Id="rId99" Type="http://schemas.openxmlformats.org/officeDocument/2006/relationships/hyperlink" Target="http://www.usac.org/sl/applicants/step04/alternative-discounts.aspx" TargetMode="External"/><Relationship Id="rId101" Type="http://schemas.openxmlformats.org/officeDocument/2006/relationships/hyperlink" Target="http://www.justice.gov/atr/public/press_releases/2005/208469.htm" TargetMode="External"/><Relationship Id="rId4" Type="http://schemas.openxmlformats.org/officeDocument/2006/relationships/hyperlink" Target="http://www.immagic.com/eLibrary/ARCHIVES/GENERAL/US_ED/NCES2018.pdf" TargetMode="External"/><Relationship Id="rId9" Type="http://schemas.openxmlformats.org/officeDocument/2006/relationships/hyperlink" Target="http://hraunfoss.fcc.gov/edocs_public/attachmatch/DA-10-2414A1.pdf" TargetMode="External"/><Relationship Id="rId13" Type="http://schemas.openxmlformats.org/officeDocument/2006/relationships/hyperlink" Target="http://www.prnewswire.com/news-releases/att-response-to-president-obamas-connected-plan-210464851.html" TargetMode="External"/><Relationship Id="rId18" Type="http://schemas.openxmlformats.org/officeDocument/2006/relationships/hyperlink" Target="http://www.iste.org/news/news-details/2013/06/06/international-society-for-technology-in-education-(iste)-applauds-president-obama-s-connected-initiative" TargetMode="External"/><Relationship Id="rId39" Type="http://schemas.openxmlformats.org/officeDocument/2006/relationships/hyperlink" Target="http://www.usac.org/sl/tools/commitments-search/Default.aspx" TargetMode="External"/><Relationship Id="rId109" Type="http://schemas.openxmlformats.org/officeDocument/2006/relationships/hyperlink" Target="http://web.sba.gov/faqs/faqindex.cfm?areaID=24" TargetMode="External"/><Relationship Id="rId34" Type="http://schemas.openxmlformats.org/officeDocument/2006/relationships/hyperlink" Target="http://search.yahoo.com/r/_ylt=A0oG7nB7sTRRkEwA6K9XNyoA;_ylu=X3oDMTE1MGxraDVtBHNlYwNzcgRwb3MDMwRjb2xvA2FjMgR2dGlkA0FDQlkwNV8xMDM-/SIG=135qq8c3k/EXP=1362436603/**http%3a/www.fcc.gov/document/vermont-pub-serv-bd-et-al-v-fcc-usa-no-10-1184-dc-cir" TargetMode="External"/><Relationship Id="rId50" Type="http://schemas.openxmlformats.org/officeDocument/2006/relationships/hyperlink" Target="http://thejournal.com/articles/2012/08/15/red-lion-area-school-district-adds-gigabit-fiber-wan.aspx" TargetMode="External"/><Relationship Id="rId55" Type="http://schemas.openxmlformats.org/officeDocument/2006/relationships/hyperlink" Target="http://www.fundsforlearning.com/blog/2013/06/e-rate-myths" TargetMode="External"/><Relationship Id="rId76" Type="http://schemas.openxmlformats.org/officeDocument/2006/relationships/hyperlink" Target="http://web2.westlaw.com/find/default.wl?mt=Westlaw&amp;db=0004493&amp;tc=-1&amp;rp=%2ffind%2fdefault.wl&amp;findtype=Y&amp;ordoc=2026415397&amp;serialnum=2002070218&amp;vr=2.0&amp;fn=_top&amp;sv=Split&amp;tf=-1&amp;referencepositiontype=S&amp;pbc=9158114E&amp;referenceposition=13512&amp;rs=WLW13.04" TargetMode="External"/><Relationship Id="rId97" Type="http://schemas.openxmlformats.org/officeDocument/2006/relationships/hyperlink" Target="http://www.census.gov/acs/www/data_documentation/data_main/" TargetMode="External"/><Relationship Id="rId104" Type="http://schemas.openxmlformats.org/officeDocument/2006/relationships/hyperlink" Target="http://transition.fcc.gov/eb/usfc/sdr.html" TargetMode="External"/><Relationship Id="rId7" Type="http://schemas.openxmlformats.org/officeDocument/2006/relationships/hyperlink" Target="http://www.digitallearningnow.com/wp-content/uploads/2011/09/Digital-Learning-Now-Report-FINAL1.pdf" TargetMode="External"/><Relationship Id="rId71" Type="http://schemas.openxmlformats.org/officeDocument/2006/relationships/hyperlink" Target="http://www.usac.org/sl/applicants/step05/default.aspx" TargetMode="External"/><Relationship Id="rId92" Type="http://schemas.openxmlformats.org/officeDocument/2006/relationships/hyperlink" Target="http://www.fns.usda.gov/cnd/lunch/" TargetMode="External"/><Relationship Id="rId2" Type="http://schemas.openxmlformats.org/officeDocument/2006/relationships/hyperlink" Target="http://www.uschamber.com/sites/default/files/about/US_Chamber_Paper_on_Broadband_and_Education.pdf" TargetMode="External"/><Relationship Id="rId29" Type="http://schemas.openxmlformats.org/officeDocument/2006/relationships/hyperlink" Target="http://www.fcc.gov/measuring-broadband-america" TargetMode="External"/></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70505249343832"/>
          <c:y val="4.6603731737659367E-2"/>
          <c:w val="0.85980132691746869"/>
          <c:h val="0.79900712756605519"/>
        </c:manualLayout>
      </c:layout>
      <c:barChart>
        <c:barDir val="col"/>
        <c:grouping val="clustered"/>
        <c:varyColors val="0"/>
        <c:ser>
          <c:idx val="0"/>
          <c:order val="0"/>
          <c:tx>
            <c:v>Funding Requested</c:v>
          </c:tx>
          <c:spPr>
            <a:solidFill>
              <a:srgbClr val="130CA4">
                <a:lumMod val="40000"/>
                <a:lumOff val="60000"/>
              </a:srgbClr>
            </a:solidFill>
            <a:ln>
              <a:solidFill>
                <a:srgbClr val="4F81BD"/>
              </a:solidFill>
            </a:ln>
          </c:spPr>
          <c:invertIfNegative val="0"/>
          <c:dLbls>
            <c:numFmt formatCode="&quot;$&quot;#,##0.00" sourceLinked="0"/>
            <c:spPr>
              <a:ln>
                <a:noFill/>
              </a:ln>
            </c:spPr>
            <c:txPr>
              <a:bodyPr/>
              <a:lstStyle/>
              <a:p>
                <a:pPr>
                  <a:defRPr sz="900" b="1"/>
                </a:pPr>
                <a:endParaRPr lang="en-US"/>
              </a:p>
            </c:txPr>
            <c:showLegendKey val="0"/>
            <c:showVal val="1"/>
            <c:showCatName val="0"/>
            <c:showSerName val="0"/>
            <c:showPercent val="0"/>
            <c:showBubbleSize val="0"/>
            <c:showLeaderLines val="0"/>
          </c:dLbls>
          <c:cat>
            <c:strRef>
              <c:f>'req-Disb-com-available data'!$A$2:$A$15</c:f>
              <c:strCache>
                <c:ptCount val="14"/>
                <c:pt idx="0">
                  <c:v>FY1998</c:v>
                </c:pt>
                <c:pt idx="1">
                  <c:v>FY1999</c:v>
                </c:pt>
                <c:pt idx="2">
                  <c:v>FY2000</c:v>
                </c:pt>
                <c:pt idx="3">
                  <c:v>FY2001</c:v>
                </c:pt>
                <c:pt idx="4">
                  <c:v>FY2002</c:v>
                </c:pt>
                <c:pt idx="5">
                  <c:v>FY2003</c:v>
                </c:pt>
                <c:pt idx="6">
                  <c:v>FY2004</c:v>
                </c:pt>
                <c:pt idx="7">
                  <c:v>FY2005</c:v>
                </c:pt>
                <c:pt idx="8">
                  <c:v>FY2006</c:v>
                </c:pt>
                <c:pt idx="9">
                  <c:v>FY2007</c:v>
                </c:pt>
                <c:pt idx="10">
                  <c:v>FY2008</c:v>
                </c:pt>
                <c:pt idx="11">
                  <c:v>FY2009</c:v>
                </c:pt>
                <c:pt idx="12">
                  <c:v>FY2010</c:v>
                </c:pt>
                <c:pt idx="13">
                  <c:v>FY2011</c:v>
                </c:pt>
              </c:strCache>
            </c:strRef>
          </c:cat>
          <c:val>
            <c:numRef>
              <c:f>'req-Disb-com-available data'!$B$2:$B$15</c:f>
              <c:numCache>
                <c:formatCode>[$-10409]#,##0.00;\-#,##0.00</c:formatCode>
                <c:ptCount val="14"/>
                <c:pt idx="0">
                  <c:v>2340887331.73</c:v>
                </c:pt>
                <c:pt idx="1">
                  <c:v>2570066947.5300002</c:v>
                </c:pt>
                <c:pt idx="2">
                  <c:v>3983251022.2600002</c:v>
                </c:pt>
                <c:pt idx="3">
                  <c:v>4487125195.4700003</c:v>
                </c:pt>
                <c:pt idx="4">
                  <c:v>5032581604.6499996</c:v>
                </c:pt>
                <c:pt idx="5">
                  <c:v>4292593092.5700002</c:v>
                </c:pt>
                <c:pt idx="6">
                  <c:v>3921575539.4499998</c:v>
                </c:pt>
                <c:pt idx="7">
                  <c:v>3480326484.25</c:v>
                </c:pt>
                <c:pt idx="8">
                  <c:v>3303122023.5100002</c:v>
                </c:pt>
                <c:pt idx="9">
                  <c:v>3668199336.7199998</c:v>
                </c:pt>
                <c:pt idx="10">
                  <c:v>3982919826.3200002</c:v>
                </c:pt>
                <c:pt idx="11">
                  <c:v>3820889823.6900001</c:v>
                </c:pt>
                <c:pt idx="12">
                  <c:v>3981269838.21</c:v>
                </c:pt>
                <c:pt idx="13">
                  <c:v>4401923015.25</c:v>
                </c:pt>
              </c:numCache>
            </c:numRef>
          </c:val>
        </c:ser>
        <c:ser>
          <c:idx val="2"/>
          <c:order val="1"/>
          <c:tx>
            <c:v>Funding Available</c:v>
          </c:tx>
          <c:invertIfNegative val="0"/>
          <c:dLbls>
            <c:numFmt formatCode="&quot;$&quot;#,##0.00" sourceLinked="0"/>
            <c:txPr>
              <a:bodyPr/>
              <a:lstStyle/>
              <a:p>
                <a:pPr>
                  <a:defRPr b="1"/>
                </a:pPr>
                <a:endParaRPr lang="en-US"/>
              </a:p>
            </c:txPr>
            <c:showLegendKey val="0"/>
            <c:showVal val="1"/>
            <c:showCatName val="0"/>
            <c:showSerName val="0"/>
            <c:showPercent val="0"/>
            <c:showBubbleSize val="0"/>
            <c:showLeaderLines val="0"/>
          </c:dLbls>
          <c:cat>
            <c:strRef>
              <c:f>'req-Disb-com-available data'!$A$2:$A$15</c:f>
              <c:strCache>
                <c:ptCount val="14"/>
                <c:pt idx="0">
                  <c:v>FY1998</c:v>
                </c:pt>
                <c:pt idx="1">
                  <c:v>FY1999</c:v>
                </c:pt>
                <c:pt idx="2">
                  <c:v>FY2000</c:v>
                </c:pt>
                <c:pt idx="3">
                  <c:v>FY2001</c:v>
                </c:pt>
                <c:pt idx="4">
                  <c:v>FY2002</c:v>
                </c:pt>
                <c:pt idx="5">
                  <c:v>FY2003</c:v>
                </c:pt>
                <c:pt idx="6">
                  <c:v>FY2004</c:v>
                </c:pt>
                <c:pt idx="7">
                  <c:v>FY2005</c:v>
                </c:pt>
                <c:pt idx="8">
                  <c:v>FY2006</c:v>
                </c:pt>
                <c:pt idx="9">
                  <c:v>FY2007</c:v>
                </c:pt>
                <c:pt idx="10">
                  <c:v>FY2008</c:v>
                </c:pt>
                <c:pt idx="11">
                  <c:v>FY2009</c:v>
                </c:pt>
                <c:pt idx="12">
                  <c:v>FY2010</c:v>
                </c:pt>
                <c:pt idx="13">
                  <c:v>FY2011</c:v>
                </c:pt>
              </c:strCache>
            </c:strRef>
          </c:cat>
          <c:val>
            <c:numRef>
              <c:f>'req-Disb-com-available data'!$G$2:$G$15</c:f>
              <c:numCache>
                <c:formatCode>[$-10409]#,##0.00;\-#,##0.00</c:formatCode>
                <c:ptCount val="14"/>
                <c:pt idx="0">
                  <c:v>1883210000</c:v>
                </c:pt>
                <c:pt idx="1">
                  <c:v>2217680000</c:v>
                </c:pt>
                <c:pt idx="2">
                  <c:v>2217760000</c:v>
                </c:pt>
                <c:pt idx="3">
                  <c:v>2219440000</c:v>
                </c:pt>
                <c:pt idx="4">
                  <c:v>2211470000</c:v>
                </c:pt>
                <c:pt idx="5">
                  <c:v>2625810000</c:v>
                </c:pt>
                <c:pt idx="6">
                  <c:v>2344250000</c:v>
                </c:pt>
                <c:pt idx="7">
                  <c:v>2185010000</c:v>
                </c:pt>
                <c:pt idx="8">
                  <c:v>2169260000</c:v>
                </c:pt>
                <c:pt idx="9">
                  <c:v>2818760000</c:v>
                </c:pt>
                <c:pt idx="10">
                  <c:v>2768560000</c:v>
                </c:pt>
                <c:pt idx="11">
                  <c:v>3068730000</c:v>
                </c:pt>
                <c:pt idx="12">
                  <c:v>3094920000</c:v>
                </c:pt>
                <c:pt idx="13">
                  <c:v>3055682250</c:v>
                </c:pt>
              </c:numCache>
            </c:numRef>
          </c:val>
        </c:ser>
        <c:ser>
          <c:idx val="1"/>
          <c:order val="2"/>
          <c:tx>
            <c:v>Funding Disbursed</c:v>
          </c:tx>
          <c:invertIfNegative val="0"/>
          <c:dLbls>
            <c:numFmt formatCode="&quot;$&quot;#,##0.00" sourceLinked="0"/>
            <c:spPr>
              <a:ln>
                <a:noFill/>
              </a:ln>
            </c:spPr>
            <c:txPr>
              <a:bodyPr/>
              <a:lstStyle/>
              <a:p>
                <a:pPr>
                  <a:defRPr sz="900" b="1"/>
                </a:pPr>
                <a:endParaRPr lang="en-US"/>
              </a:p>
            </c:txPr>
            <c:showLegendKey val="0"/>
            <c:showVal val="1"/>
            <c:showCatName val="0"/>
            <c:showSerName val="0"/>
            <c:showPercent val="0"/>
            <c:showBubbleSize val="0"/>
            <c:showLeaderLines val="0"/>
          </c:dLbls>
          <c:cat>
            <c:strRef>
              <c:f>'req-Disb-com-available data'!$A$2:$A$15</c:f>
              <c:strCache>
                <c:ptCount val="14"/>
                <c:pt idx="0">
                  <c:v>FY1998</c:v>
                </c:pt>
                <c:pt idx="1">
                  <c:v>FY1999</c:v>
                </c:pt>
                <c:pt idx="2">
                  <c:v>FY2000</c:v>
                </c:pt>
                <c:pt idx="3">
                  <c:v>FY2001</c:v>
                </c:pt>
                <c:pt idx="4">
                  <c:v>FY2002</c:v>
                </c:pt>
                <c:pt idx="5">
                  <c:v>FY2003</c:v>
                </c:pt>
                <c:pt idx="6">
                  <c:v>FY2004</c:v>
                </c:pt>
                <c:pt idx="7">
                  <c:v>FY2005</c:v>
                </c:pt>
                <c:pt idx="8">
                  <c:v>FY2006</c:v>
                </c:pt>
                <c:pt idx="9">
                  <c:v>FY2007</c:v>
                </c:pt>
                <c:pt idx="10">
                  <c:v>FY2008</c:v>
                </c:pt>
                <c:pt idx="11">
                  <c:v>FY2009</c:v>
                </c:pt>
                <c:pt idx="12">
                  <c:v>FY2010</c:v>
                </c:pt>
                <c:pt idx="13">
                  <c:v>FY2011</c:v>
                </c:pt>
              </c:strCache>
            </c:strRef>
          </c:cat>
          <c:val>
            <c:numRef>
              <c:f>'req-Disb-com-available data'!$D$2:$D$15</c:f>
              <c:numCache>
                <c:formatCode>[$-10409]#,##0.00;\-#,##0.00</c:formatCode>
                <c:ptCount val="14"/>
                <c:pt idx="0">
                  <c:v>1398980000</c:v>
                </c:pt>
                <c:pt idx="1">
                  <c:v>1653950000</c:v>
                </c:pt>
                <c:pt idx="2">
                  <c:v>1649800000</c:v>
                </c:pt>
                <c:pt idx="3">
                  <c:v>1698060000</c:v>
                </c:pt>
                <c:pt idx="4">
                  <c:v>1594390000</c:v>
                </c:pt>
                <c:pt idx="5">
                  <c:v>1937990000</c:v>
                </c:pt>
                <c:pt idx="6">
                  <c:v>1535970000</c:v>
                </c:pt>
                <c:pt idx="7">
                  <c:v>1621770000</c:v>
                </c:pt>
                <c:pt idx="8">
                  <c:v>1557440000</c:v>
                </c:pt>
                <c:pt idx="9">
                  <c:v>1947550000</c:v>
                </c:pt>
                <c:pt idx="10">
                  <c:v>1889430000</c:v>
                </c:pt>
                <c:pt idx="11">
                  <c:v>2241390000</c:v>
                </c:pt>
                <c:pt idx="12">
                  <c:v>2218270000</c:v>
                </c:pt>
                <c:pt idx="13">
                  <c:v>1768430000</c:v>
                </c:pt>
              </c:numCache>
            </c:numRef>
          </c:val>
        </c:ser>
        <c:dLbls>
          <c:showLegendKey val="0"/>
          <c:showVal val="0"/>
          <c:showCatName val="0"/>
          <c:showSerName val="0"/>
          <c:showPercent val="0"/>
          <c:showBubbleSize val="0"/>
        </c:dLbls>
        <c:gapWidth val="150"/>
        <c:axId val="148632704"/>
        <c:axId val="148634240"/>
      </c:barChart>
      <c:catAx>
        <c:axId val="148632704"/>
        <c:scaling>
          <c:orientation val="minMax"/>
        </c:scaling>
        <c:delete val="0"/>
        <c:axPos val="b"/>
        <c:numFmt formatCode="General" sourceLinked="1"/>
        <c:majorTickMark val="out"/>
        <c:minorTickMark val="none"/>
        <c:tickLblPos val="low"/>
        <c:crossAx val="148634240"/>
        <c:crosses val="autoZero"/>
        <c:auto val="1"/>
        <c:lblAlgn val="ctr"/>
        <c:lblOffset val="100"/>
        <c:tickLblSkip val="1"/>
        <c:noMultiLvlLbl val="0"/>
      </c:catAx>
      <c:valAx>
        <c:axId val="148634240"/>
        <c:scaling>
          <c:orientation val="minMax"/>
          <c:min val="0"/>
        </c:scaling>
        <c:delete val="0"/>
        <c:axPos val="l"/>
        <c:title>
          <c:tx>
            <c:rich>
              <a:bodyPr rot="-5400000" vert="horz"/>
              <a:lstStyle/>
              <a:p>
                <a:pPr>
                  <a:defRPr sz="1200"/>
                </a:pPr>
                <a:r>
                  <a:rPr lang="en-US" sz="1200"/>
                  <a:t>Funding Amount ($B)</a:t>
                </a:r>
              </a:p>
            </c:rich>
          </c:tx>
          <c:overlay val="0"/>
        </c:title>
        <c:numFmt formatCode="&quot;$&quot;#,##0" sourceLinked="0"/>
        <c:majorTickMark val="out"/>
        <c:minorTickMark val="none"/>
        <c:tickLblPos val="nextTo"/>
        <c:crossAx val="148632704"/>
        <c:crosses val="autoZero"/>
        <c:crossBetween val="between"/>
        <c:dispUnits>
          <c:builtInUnit val="billions"/>
        </c:dispUnits>
      </c:valAx>
    </c:plotArea>
    <c:legend>
      <c:legendPos val="b"/>
      <c:layout>
        <c:manualLayout>
          <c:xMode val="edge"/>
          <c:yMode val="edge"/>
          <c:x val="0.4703312209736159"/>
          <c:y val="0.94954084815173079"/>
          <c:w val="0.50212171718987408"/>
          <c:h val="5.045910262410272E-2"/>
        </c:manualLayout>
      </c:layout>
      <c:overlay val="0"/>
      <c:txPr>
        <a:bodyPr/>
        <a:lstStyle/>
        <a:p>
          <a:pPr>
            <a:defRPr b="1"/>
          </a:pPr>
          <a:endParaRPr lang="en-US"/>
        </a:p>
      </c:txPr>
    </c:legend>
    <c:plotVisOnly val="1"/>
    <c:dispBlanksAs val="gap"/>
    <c:showDLblsOverMax val="0"/>
  </c:chart>
  <c:externalData r:id="rId2">
    <c:autoUpdate val="0"/>
  </c:externalData>
  <c:userShapes r:id="rId3"/>
</c:chartSpace>
</file>

<file path=word/drawings/drawing1.xml><?xml version="1.0" encoding="utf-8"?>
<c:userShapes xmlns:c="http://schemas.openxmlformats.org/drawingml/2006/chart">
  <cdr:relSizeAnchor xmlns:cdr="http://schemas.openxmlformats.org/drawingml/2006/chartDrawing">
    <cdr:from>
      <cdr:x>0.87083</cdr:x>
      <cdr:y>0.84545</cdr:y>
    </cdr:from>
    <cdr:to>
      <cdr:x>0.93966</cdr:x>
      <cdr:y>0.90838</cdr:y>
    </cdr:to>
    <cdr:sp macro="" textlink="">
      <cdr:nvSpPr>
        <cdr:cNvPr id="2" name="Text Box 1"/>
        <cdr:cNvSpPr txBox="1"/>
      </cdr:nvSpPr>
      <cdr:spPr>
        <a:xfrm xmlns:a="http://schemas.openxmlformats.org/drawingml/2006/main">
          <a:off x="4929808" y="4913905"/>
          <a:ext cx="389614" cy="36576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a:t>**</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0</TotalTime>
  <Pages>234</Pages>
  <Words>74109</Words>
  <Characters>460409</Characters>
  <Application>Microsoft Office Word</Application>
  <DocSecurity>4</DocSecurity>
  <Lines>3836</Lines>
  <Paragraphs>1066</Paragraphs>
  <ScaleCrop>false</ScaleCrop>
  <HeadingPairs>
    <vt:vector size="2" baseType="variant">
      <vt:variant>
        <vt:lpstr>Title</vt:lpstr>
      </vt:variant>
      <vt:variant>
        <vt:i4>1</vt:i4>
      </vt:variant>
    </vt:vector>
  </HeadingPairs>
  <TitlesOfParts>
    <vt:vector size="1" baseType="lpstr">
      <vt:lpstr>_</vt:lpstr>
    </vt:vector>
  </TitlesOfParts>
  <LinksUpToDate>false</LinksUpToDate>
  <CharactersWithSpaces>533452</CharactersWithSpaces>
  <SharedDoc>false</SharedDoc>
  <HyperlinkBase>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
  <cp:lastModifiedBy/>
  <cp:revision>1</cp:revision>
  <cp:lastPrinted>2013-07-23T19:00:00Z</cp:lastPrinted>
  <dcterms:created xsi:type="dcterms:W3CDTF">2014-04-15T00:52:00Z</dcterms:created>
  <dcterms:modified xsi:type="dcterms:W3CDTF">2014-04-15T00:52:00Z</dcterms:modified>
</cp:coreProperties>
</file>