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67489" w14:textId="77777777" w:rsidR="00597992" w:rsidRPr="00825021" w:rsidRDefault="00F93210" w:rsidP="003F1D70">
      <w:pPr>
        <w:rPr>
          <w:rFonts w:ascii="Verdana" w:hAnsi="Verdana" w:cstheme="minorHAnsi"/>
          <w:color w:val="000000" w:themeColor="text1"/>
          <w:sz w:val="22"/>
          <w:szCs w:val="22"/>
        </w:rPr>
      </w:pPr>
      <w:bookmarkStart w:id="0" w:name="_GoBack"/>
      <w:bookmarkEnd w:id="0"/>
      <w:r w:rsidRPr="00F93210">
        <w:rPr>
          <w:rFonts w:ascii="Verdana" w:eastAsia="Times New Roman" w:hAnsi="Verdana"/>
          <w:sz w:val="22"/>
          <w:szCs w:val="22"/>
        </w:rPr>
        <w:t>Mr. Chairman and Committee members, my name is</w:t>
      </w:r>
      <w:r>
        <w:rPr>
          <w:rFonts w:ascii="Verdana" w:eastAsia="Times New Roman" w:hAnsi="Verdana"/>
          <w:sz w:val="22"/>
          <w:szCs w:val="22"/>
        </w:rPr>
        <w:t xml:space="preserve"> Phyllis Arthur and I represent </w:t>
      </w:r>
      <w:r w:rsidRPr="00F93210">
        <w:rPr>
          <w:rFonts w:ascii="Verdana" w:eastAsia="Times New Roman" w:hAnsi="Verdana"/>
          <w:sz w:val="22"/>
          <w:szCs w:val="22"/>
        </w:rPr>
        <w:t>the Biotechnology Industry Organization (BIO) and I am here to speak on Senate Bill 169.</w:t>
      </w:r>
      <w:r w:rsidRPr="00F93210">
        <w:rPr>
          <w:rFonts w:ascii="Verdana" w:eastAsia="Times New Roman" w:hAnsi="Verdana"/>
          <w:sz w:val="22"/>
          <w:szCs w:val="22"/>
        </w:rPr>
        <w:br/>
      </w:r>
    </w:p>
    <w:p w14:paraId="17A19CC4" w14:textId="77777777" w:rsidR="001272AB" w:rsidRDefault="00825021" w:rsidP="001272AB">
      <w:pPr>
        <w:widowControl w:val="0"/>
        <w:autoSpaceDE w:val="0"/>
        <w:autoSpaceDN w:val="0"/>
        <w:adjustRightInd w:val="0"/>
        <w:spacing w:after="240"/>
        <w:rPr>
          <w:rFonts w:ascii="Verdana" w:hAnsi="Verdana" w:cs="Verdana"/>
          <w:sz w:val="22"/>
          <w:szCs w:val="22"/>
          <w:lang w:eastAsia="ja-JP"/>
        </w:rPr>
      </w:pPr>
      <w:r w:rsidRPr="00825021">
        <w:rPr>
          <w:rFonts w:ascii="Verdana" w:hAnsi="Verdana" w:cs="Verdana"/>
          <w:sz w:val="22"/>
          <w:szCs w:val="22"/>
          <w:lang w:eastAsia="ja-JP"/>
        </w:rPr>
        <w:t>BIO opposes Senate Bill (S.B.) 169. While we recognize and share the State's goals of increasing the administrative ease of vaccine administration and achieving high vaccination rates, we believe the proposed program would result in an additional administrative burden for the State, create redundancy relative to the Affordable Care Act (ACA) and have very little impact on immunization rates among Alaskans.</w:t>
      </w:r>
      <w:r w:rsidR="00F93210">
        <w:rPr>
          <w:rFonts w:ascii="Verdana" w:hAnsi="Verdana" w:cs="Verdana"/>
          <w:sz w:val="22"/>
          <w:szCs w:val="22"/>
          <w:lang w:eastAsia="ja-JP"/>
        </w:rPr>
        <w:t xml:space="preserve">  </w:t>
      </w:r>
    </w:p>
    <w:p w14:paraId="2E07BB62" w14:textId="77777777" w:rsidR="00F93210" w:rsidRDefault="00F93210" w:rsidP="00F93210">
      <w:pPr>
        <w:rPr>
          <w:rFonts w:ascii="Verdana" w:hAnsi="Verdana" w:cstheme="minorHAnsi"/>
          <w:color w:val="000000" w:themeColor="text1"/>
          <w:sz w:val="22"/>
          <w:szCs w:val="22"/>
        </w:rPr>
      </w:pPr>
      <w:r w:rsidRPr="00825021">
        <w:rPr>
          <w:rFonts w:ascii="Verdana" w:hAnsi="Verdana" w:cstheme="minorHAnsi"/>
          <w:color w:val="000000" w:themeColor="text1"/>
          <w:sz w:val="22"/>
          <w:szCs w:val="22"/>
        </w:rPr>
        <w:t xml:space="preserve">America’s vaccine manufacturers strongly support efforts by states to increase immunization rates among people of all ages.  We work closely with state governments, insurers and other vaccine stakeholders to develop and implement solutions that are proven to increase access to immunizations through </w:t>
      </w:r>
      <w:r w:rsidRPr="00F93210">
        <w:rPr>
          <w:rFonts w:ascii="Verdana" w:hAnsi="Verdana" w:cstheme="minorHAnsi"/>
          <w:b/>
          <w:i/>
          <w:color w:val="000000" w:themeColor="text1"/>
          <w:sz w:val="22"/>
          <w:szCs w:val="22"/>
        </w:rPr>
        <w:t xml:space="preserve">sustainable </w:t>
      </w:r>
      <w:r w:rsidRPr="00825021">
        <w:rPr>
          <w:rFonts w:ascii="Verdana" w:hAnsi="Verdana" w:cstheme="minorHAnsi"/>
          <w:color w:val="000000" w:themeColor="text1"/>
          <w:sz w:val="22"/>
          <w:szCs w:val="22"/>
        </w:rPr>
        <w:t xml:space="preserve">public-private partnerships.  </w:t>
      </w:r>
    </w:p>
    <w:p w14:paraId="79AC7092" w14:textId="77777777" w:rsidR="00F93210" w:rsidRDefault="00F93210" w:rsidP="00F93210">
      <w:pPr>
        <w:rPr>
          <w:rFonts w:ascii="Verdana" w:hAnsi="Verdana" w:cstheme="minorHAnsi"/>
          <w:color w:val="000000" w:themeColor="text1"/>
          <w:sz w:val="22"/>
          <w:szCs w:val="22"/>
        </w:rPr>
      </w:pPr>
    </w:p>
    <w:p w14:paraId="6767864D" w14:textId="77777777" w:rsidR="00F93210" w:rsidRDefault="00F93210" w:rsidP="00F93210">
      <w:pPr>
        <w:rPr>
          <w:rFonts w:ascii="Verdana" w:hAnsi="Verdana" w:cstheme="minorHAnsi"/>
          <w:color w:val="000000" w:themeColor="text1"/>
          <w:sz w:val="22"/>
          <w:szCs w:val="22"/>
        </w:rPr>
      </w:pPr>
      <w:r>
        <w:rPr>
          <w:rFonts w:ascii="Verdana" w:hAnsi="Verdana" w:cstheme="minorHAnsi"/>
          <w:color w:val="000000" w:themeColor="text1"/>
          <w:sz w:val="22"/>
          <w:szCs w:val="22"/>
        </w:rPr>
        <w:t xml:space="preserve">I would like to discuss three key issues: </w:t>
      </w:r>
    </w:p>
    <w:p w14:paraId="09981C28" w14:textId="77777777" w:rsidR="00F93210" w:rsidRPr="00F93210" w:rsidRDefault="00F93210" w:rsidP="00F93210">
      <w:pPr>
        <w:pStyle w:val="ListParagraph"/>
        <w:numPr>
          <w:ilvl w:val="0"/>
          <w:numId w:val="6"/>
        </w:numPr>
        <w:rPr>
          <w:rFonts w:ascii="Verdana" w:hAnsi="Verdana" w:cstheme="minorHAnsi"/>
          <w:color w:val="000000" w:themeColor="text1"/>
        </w:rPr>
      </w:pPr>
      <w:r w:rsidRPr="00F93210">
        <w:rPr>
          <w:rFonts w:ascii="Verdana" w:hAnsi="Verdana" w:cstheme="minorHAnsi"/>
          <w:color w:val="000000" w:themeColor="text1"/>
        </w:rPr>
        <w:t>UP programs have not actually helped to increase immunization rates;</w:t>
      </w:r>
    </w:p>
    <w:p w14:paraId="2B7CD864" w14:textId="77777777" w:rsidR="00C0293C" w:rsidRDefault="00F93210" w:rsidP="00C0293C">
      <w:pPr>
        <w:pStyle w:val="ListParagraph"/>
        <w:numPr>
          <w:ilvl w:val="0"/>
          <w:numId w:val="6"/>
        </w:numPr>
        <w:rPr>
          <w:rFonts w:ascii="Verdana" w:hAnsi="Verdana" w:cstheme="minorHAnsi"/>
          <w:color w:val="000000" w:themeColor="text1"/>
        </w:rPr>
      </w:pPr>
      <w:r>
        <w:rPr>
          <w:rFonts w:ascii="Verdana" w:hAnsi="Verdana" w:cstheme="minorHAnsi"/>
          <w:color w:val="000000" w:themeColor="text1"/>
        </w:rPr>
        <w:t>The implementation of this program may not actually solve the current issues of many providers; and</w:t>
      </w:r>
    </w:p>
    <w:p w14:paraId="6F862E18" w14:textId="77777777" w:rsidR="00C0293C" w:rsidRPr="00C0293C" w:rsidRDefault="00C0293C" w:rsidP="00C0293C">
      <w:pPr>
        <w:pStyle w:val="ListParagraph"/>
        <w:numPr>
          <w:ilvl w:val="0"/>
          <w:numId w:val="6"/>
        </w:numPr>
        <w:rPr>
          <w:rFonts w:ascii="Verdana" w:hAnsi="Verdana" w:cstheme="minorHAnsi"/>
          <w:color w:val="000000" w:themeColor="text1"/>
        </w:rPr>
      </w:pPr>
      <w:r w:rsidRPr="00C0293C">
        <w:rPr>
          <w:rFonts w:ascii="Verdana" w:hAnsi="Verdana" w:cstheme="minorHAnsi"/>
          <w:color w:val="000000" w:themeColor="text1"/>
        </w:rPr>
        <w:t xml:space="preserve">Providing private insurers </w:t>
      </w:r>
      <w:r>
        <w:rPr>
          <w:rFonts w:ascii="Verdana" w:hAnsi="Verdana" w:cstheme="minorHAnsi"/>
          <w:color w:val="000000" w:themeColor="text1"/>
        </w:rPr>
        <w:t xml:space="preserve">access to </w:t>
      </w:r>
      <w:r w:rsidRPr="00C0293C">
        <w:rPr>
          <w:rFonts w:ascii="Verdana" w:hAnsi="Verdana" w:cstheme="minorHAnsi"/>
          <w:color w:val="000000" w:themeColor="text1"/>
        </w:rPr>
        <w:t>federal</w:t>
      </w:r>
      <w:r>
        <w:rPr>
          <w:rFonts w:ascii="Verdana" w:hAnsi="Verdana" w:cstheme="minorHAnsi"/>
          <w:color w:val="000000" w:themeColor="text1"/>
        </w:rPr>
        <w:t>ly discounted vaccine</w:t>
      </w:r>
      <w:r w:rsidRPr="00C0293C">
        <w:rPr>
          <w:rFonts w:ascii="Verdana" w:hAnsi="Verdana" w:cstheme="minorHAnsi"/>
          <w:color w:val="000000" w:themeColor="text1"/>
        </w:rPr>
        <w:t xml:space="preserve"> intended for disadvantaged children runs counter to the original intent of the VFC program</w:t>
      </w:r>
      <w:r>
        <w:rPr>
          <w:rFonts w:ascii="Verdana" w:hAnsi="Verdana" w:cstheme="minorHAnsi"/>
          <w:color w:val="000000" w:themeColor="text1"/>
        </w:rPr>
        <w:t xml:space="preserve"> and provides a pass through to insurers</w:t>
      </w:r>
      <w:r w:rsidR="00261597">
        <w:rPr>
          <w:rFonts w:ascii="Verdana" w:hAnsi="Verdana" w:cstheme="minorHAnsi"/>
          <w:color w:val="000000" w:themeColor="text1"/>
        </w:rPr>
        <w:t xml:space="preserve"> at the expense of vaccine companies</w:t>
      </w:r>
      <w:r w:rsidRPr="00C0293C">
        <w:rPr>
          <w:rFonts w:ascii="Verdana" w:hAnsi="Verdana" w:cstheme="minorHAnsi"/>
          <w:color w:val="000000" w:themeColor="text1"/>
        </w:rPr>
        <w:t>.</w:t>
      </w:r>
    </w:p>
    <w:p w14:paraId="09A350A6" w14:textId="77777777" w:rsidR="00F93210" w:rsidRPr="00C0293C" w:rsidRDefault="00F93210" w:rsidP="00C0293C">
      <w:pPr>
        <w:ind w:left="360"/>
        <w:rPr>
          <w:rFonts w:ascii="Verdana" w:hAnsi="Verdana" w:cstheme="minorHAnsi"/>
          <w:color w:val="000000" w:themeColor="text1"/>
        </w:rPr>
      </w:pPr>
    </w:p>
    <w:p w14:paraId="5959A295" w14:textId="77777777" w:rsidR="001272AB" w:rsidRPr="00F93210" w:rsidRDefault="001272AB" w:rsidP="001272AB">
      <w:pPr>
        <w:rPr>
          <w:rFonts w:ascii="Verdana" w:hAnsi="Verdana"/>
          <w:sz w:val="22"/>
          <w:szCs w:val="22"/>
        </w:rPr>
      </w:pPr>
      <w:r w:rsidRPr="00F93210">
        <w:rPr>
          <w:rFonts w:ascii="Verdana" w:hAnsi="Verdana"/>
          <w:sz w:val="22"/>
          <w:szCs w:val="22"/>
        </w:rPr>
        <w:t xml:space="preserve">The UP program created by S.B. 169, will most likely not lead to higher immunization rates. </w:t>
      </w:r>
    </w:p>
    <w:p w14:paraId="5EBF0365" w14:textId="77777777" w:rsidR="001272AB" w:rsidRPr="00F93210" w:rsidRDefault="001272AB" w:rsidP="001272AB">
      <w:pPr>
        <w:rPr>
          <w:rFonts w:ascii="Verdana" w:hAnsi="Verdana"/>
          <w:sz w:val="22"/>
          <w:szCs w:val="22"/>
        </w:rPr>
      </w:pPr>
    </w:p>
    <w:p w14:paraId="60F22EA7" w14:textId="77777777" w:rsidR="001272AB" w:rsidRPr="00F93210" w:rsidRDefault="001272AB" w:rsidP="001272AB">
      <w:pPr>
        <w:pStyle w:val="ListParagraph"/>
        <w:numPr>
          <w:ilvl w:val="1"/>
          <w:numId w:val="5"/>
        </w:numPr>
        <w:ind w:left="720"/>
        <w:rPr>
          <w:rFonts w:ascii="Verdana" w:hAnsi="Verdana"/>
        </w:rPr>
      </w:pPr>
      <w:r w:rsidRPr="00F93210">
        <w:rPr>
          <w:rFonts w:ascii="Verdana" w:hAnsi="Verdana"/>
        </w:rPr>
        <w:t>For 30 years, Alaska had a full UP program.  Higher immunization rates along with increased access to vaccines have long been touted as benefits of universal purchase programs.</w:t>
      </w:r>
    </w:p>
    <w:p w14:paraId="45F4AB43" w14:textId="77777777" w:rsidR="001272AB" w:rsidRPr="00F93210" w:rsidRDefault="001272AB" w:rsidP="001272AB">
      <w:pPr>
        <w:pStyle w:val="ListParagraph"/>
        <w:ind w:firstLine="0"/>
        <w:rPr>
          <w:rFonts w:ascii="Verdana" w:hAnsi="Verdana"/>
        </w:rPr>
      </w:pPr>
    </w:p>
    <w:p w14:paraId="565B0713" w14:textId="77777777" w:rsidR="001272AB" w:rsidRPr="00F93210" w:rsidRDefault="001272AB" w:rsidP="001272AB">
      <w:pPr>
        <w:pStyle w:val="ListParagraph"/>
        <w:numPr>
          <w:ilvl w:val="1"/>
          <w:numId w:val="5"/>
        </w:numPr>
        <w:ind w:left="720"/>
        <w:rPr>
          <w:rFonts w:ascii="Verdana" w:hAnsi="Verdana"/>
        </w:rPr>
      </w:pPr>
      <w:r w:rsidRPr="00F93210">
        <w:rPr>
          <w:rFonts w:ascii="Verdana" w:hAnsi="Verdana"/>
        </w:rPr>
        <w:t xml:space="preserve">However, </w:t>
      </w:r>
      <w:r w:rsidR="00F93210">
        <w:rPr>
          <w:rFonts w:ascii="Verdana" w:hAnsi="Verdana"/>
        </w:rPr>
        <w:t xml:space="preserve">according to 2012 data from the CDC, </w:t>
      </w:r>
      <w:r w:rsidRPr="00F93210">
        <w:rPr>
          <w:rFonts w:ascii="Verdana" w:hAnsi="Verdana"/>
        </w:rPr>
        <w:t>only 3 UP states were ranked among the top 10 states nationally for childhood immunization rates while another 3 UP states were ranked in the bottom 10.</w:t>
      </w:r>
      <w:r w:rsidRPr="00F93210">
        <w:rPr>
          <w:rStyle w:val="FootnoteReference"/>
          <w:rFonts w:ascii="Verdana" w:hAnsi="Verdana"/>
        </w:rPr>
        <w:footnoteReference w:customMarkFollows="1" w:id="1"/>
        <w:t>[1]</w:t>
      </w:r>
      <w:r w:rsidRPr="00F93210">
        <w:rPr>
          <w:rFonts w:ascii="Verdana" w:hAnsi="Verdana"/>
        </w:rPr>
        <w:t xml:space="preserve">  </w:t>
      </w:r>
    </w:p>
    <w:p w14:paraId="7D2B46A8" w14:textId="77777777" w:rsidR="001272AB" w:rsidRPr="00F93210" w:rsidRDefault="001272AB" w:rsidP="001272AB">
      <w:pPr>
        <w:pStyle w:val="ListParagraph"/>
        <w:ind w:firstLine="0"/>
        <w:rPr>
          <w:rFonts w:ascii="Verdana" w:hAnsi="Verdana"/>
        </w:rPr>
      </w:pPr>
    </w:p>
    <w:p w14:paraId="0042844F" w14:textId="77777777" w:rsidR="001272AB" w:rsidRPr="00F93210" w:rsidRDefault="001272AB" w:rsidP="001272AB">
      <w:pPr>
        <w:pStyle w:val="ListParagraph"/>
        <w:numPr>
          <w:ilvl w:val="1"/>
          <w:numId w:val="5"/>
        </w:numPr>
        <w:ind w:left="720"/>
        <w:rPr>
          <w:rFonts w:ascii="Verdana" w:hAnsi="Verdana"/>
        </w:rPr>
      </w:pPr>
      <w:r w:rsidRPr="00F93210">
        <w:rPr>
          <w:rFonts w:ascii="Verdana" w:hAnsi="Verdana"/>
        </w:rPr>
        <w:t>From 2000 to 2009 Alaska ranked at or well below the U.S. average for al</w:t>
      </w:r>
      <w:r w:rsidR="00F93210">
        <w:rPr>
          <w:rFonts w:ascii="Verdana" w:hAnsi="Verdana"/>
        </w:rPr>
        <w:t>l standard series vaccines</w:t>
      </w:r>
      <w:r w:rsidRPr="00F93210">
        <w:rPr>
          <w:rFonts w:ascii="Verdana" w:hAnsi="Verdana"/>
        </w:rPr>
        <w:t>.</w:t>
      </w:r>
    </w:p>
    <w:p w14:paraId="12DA861F" w14:textId="77777777" w:rsidR="001272AB" w:rsidRPr="00F93210" w:rsidRDefault="001272AB" w:rsidP="001272AB">
      <w:pPr>
        <w:rPr>
          <w:rFonts w:ascii="Verdana" w:hAnsi="Verdana"/>
          <w:sz w:val="22"/>
          <w:szCs w:val="22"/>
        </w:rPr>
      </w:pPr>
    </w:p>
    <w:p w14:paraId="6458084F" w14:textId="5013AC9A" w:rsidR="001272AB" w:rsidRPr="00E60652" w:rsidRDefault="00860EE5" w:rsidP="001272AB">
      <w:pPr>
        <w:pStyle w:val="ListParagraph"/>
        <w:numPr>
          <w:ilvl w:val="1"/>
          <w:numId w:val="5"/>
        </w:numPr>
        <w:ind w:left="720"/>
        <w:rPr>
          <w:rFonts w:ascii="Verdana" w:hAnsi="Verdana"/>
        </w:rPr>
      </w:pPr>
      <w:r w:rsidRPr="00E60652">
        <w:rPr>
          <w:rFonts w:ascii="Verdana" w:hAnsi="Verdana"/>
        </w:rPr>
        <w:t>In 2012, the year for which the most recent CDC data is available, the estimated vaccination coverage rate among children aged 19–35 months in Alaska was 59.5%, the lowest in the nation for the standard series. </w:t>
      </w:r>
      <w:r w:rsidR="001272AB" w:rsidRPr="00E60652">
        <w:rPr>
          <w:rFonts w:ascii="Verdana" w:hAnsi="Verdana"/>
        </w:rPr>
        <w:t>.</w:t>
      </w:r>
      <w:r w:rsidR="001272AB" w:rsidRPr="00E60652">
        <w:rPr>
          <w:rStyle w:val="FootnoteReference"/>
          <w:rFonts w:ascii="Verdana" w:hAnsi="Verdana"/>
        </w:rPr>
        <w:footnoteReference w:id="2"/>
      </w:r>
      <w:r w:rsidR="001272AB" w:rsidRPr="00E60652">
        <w:rPr>
          <w:rStyle w:val="FootnoteReference"/>
          <w:rFonts w:ascii="Verdana" w:hAnsi="Verdana"/>
        </w:rPr>
        <w:t>[2]</w:t>
      </w:r>
    </w:p>
    <w:p w14:paraId="2043BDFC" w14:textId="77777777" w:rsidR="00426523" w:rsidRDefault="00426523" w:rsidP="00426523">
      <w:pPr>
        <w:rPr>
          <w:rFonts w:ascii="Verdana" w:hAnsi="Verdana" w:cstheme="minorHAnsi"/>
          <w:color w:val="000000" w:themeColor="text1"/>
          <w:sz w:val="22"/>
          <w:szCs w:val="22"/>
        </w:rPr>
      </w:pPr>
    </w:p>
    <w:p w14:paraId="61DC3F31" w14:textId="3C231B05" w:rsidR="003F1D70" w:rsidRDefault="003F1D70" w:rsidP="00426523">
      <w:pPr>
        <w:rPr>
          <w:rFonts w:ascii="Verdana" w:hAnsi="Verdana"/>
          <w:color w:val="000000" w:themeColor="text1"/>
          <w:sz w:val="22"/>
          <w:szCs w:val="22"/>
        </w:rPr>
      </w:pPr>
      <w:r w:rsidRPr="00426523">
        <w:rPr>
          <w:rFonts w:ascii="Verdana" w:hAnsi="Verdana" w:cstheme="minorHAnsi"/>
          <w:color w:val="000000" w:themeColor="text1"/>
          <w:sz w:val="22"/>
          <w:szCs w:val="22"/>
        </w:rPr>
        <w:t xml:space="preserve">The Affordable </w:t>
      </w:r>
      <w:r w:rsidR="00426523">
        <w:rPr>
          <w:rFonts w:ascii="Verdana" w:hAnsi="Verdana" w:cstheme="minorHAnsi"/>
          <w:color w:val="000000" w:themeColor="text1"/>
          <w:sz w:val="22"/>
          <w:szCs w:val="22"/>
        </w:rPr>
        <w:t xml:space="preserve">Care Act (ACA) has </w:t>
      </w:r>
      <w:r w:rsidRPr="00426523">
        <w:rPr>
          <w:rFonts w:ascii="Verdana" w:hAnsi="Verdana" w:cstheme="minorHAnsi"/>
          <w:color w:val="000000" w:themeColor="text1"/>
          <w:sz w:val="22"/>
          <w:szCs w:val="22"/>
        </w:rPr>
        <w:t xml:space="preserve">addressed many of the financial barriers to immunization </w:t>
      </w:r>
      <w:r w:rsidR="00426523">
        <w:rPr>
          <w:rFonts w:ascii="Verdana" w:hAnsi="Verdana" w:cstheme="minorHAnsi"/>
          <w:color w:val="000000" w:themeColor="text1"/>
          <w:sz w:val="22"/>
          <w:szCs w:val="22"/>
        </w:rPr>
        <w:t xml:space="preserve">affecting patients </w:t>
      </w:r>
      <w:r w:rsidRPr="00426523">
        <w:rPr>
          <w:rFonts w:ascii="Verdana" w:hAnsi="Verdana" w:cstheme="minorHAnsi"/>
          <w:color w:val="000000" w:themeColor="text1"/>
          <w:sz w:val="22"/>
          <w:szCs w:val="22"/>
        </w:rPr>
        <w:t xml:space="preserve">by requiring private insurers to cover ACIP-recommended vaccines for children, adolescents and adults </w:t>
      </w:r>
      <w:r w:rsidR="00461047">
        <w:rPr>
          <w:rFonts w:ascii="Verdana" w:hAnsi="Verdana" w:cstheme="minorHAnsi"/>
          <w:color w:val="000000" w:themeColor="text1"/>
          <w:sz w:val="22"/>
          <w:szCs w:val="22"/>
        </w:rPr>
        <w:t xml:space="preserve">with no out-of-pocket expense and no deductible. </w:t>
      </w:r>
      <w:r w:rsidR="00426523">
        <w:rPr>
          <w:rFonts w:ascii="Verdana" w:hAnsi="Verdana" w:cstheme="minorHAnsi"/>
          <w:color w:val="000000" w:themeColor="text1"/>
          <w:sz w:val="22"/>
          <w:szCs w:val="22"/>
        </w:rPr>
        <w:t xml:space="preserve"> </w:t>
      </w:r>
      <w:r w:rsidR="001B565F">
        <w:rPr>
          <w:rFonts w:ascii="Verdana" w:hAnsi="Verdana" w:cstheme="minorHAnsi"/>
          <w:color w:val="000000" w:themeColor="text1"/>
          <w:sz w:val="22"/>
          <w:szCs w:val="22"/>
        </w:rPr>
        <w:t>While there are still some issues affecting providers, UP programs may not help to solve these problems</w:t>
      </w:r>
      <w:r w:rsidRPr="00426523">
        <w:rPr>
          <w:rFonts w:ascii="Verdana" w:hAnsi="Verdana"/>
          <w:color w:val="000000" w:themeColor="text1"/>
          <w:sz w:val="22"/>
          <w:szCs w:val="22"/>
        </w:rPr>
        <w:t>.</w:t>
      </w:r>
    </w:p>
    <w:p w14:paraId="5971220D" w14:textId="77777777" w:rsidR="00426523" w:rsidRPr="00426523" w:rsidRDefault="00426523" w:rsidP="00426523">
      <w:pPr>
        <w:rPr>
          <w:rFonts w:ascii="Verdana" w:hAnsi="Verdana" w:cstheme="minorHAnsi"/>
          <w:color w:val="000000" w:themeColor="text1"/>
          <w:sz w:val="22"/>
          <w:szCs w:val="22"/>
        </w:rPr>
      </w:pPr>
    </w:p>
    <w:p w14:paraId="64343219" w14:textId="3CA4B72F" w:rsidR="001B565F" w:rsidRDefault="00CE03C8" w:rsidP="00CE03C8">
      <w:pPr>
        <w:pStyle w:val="ListParagraph"/>
        <w:numPr>
          <w:ilvl w:val="0"/>
          <w:numId w:val="7"/>
        </w:numPr>
        <w:rPr>
          <w:rFonts w:ascii="Verdana" w:hAnsi="Verdana"/>
          <w:color w:val="000000" w:themeColor="text1"/>
        </w:rPr>
      </w:pPr>
      <w:r>
        <w:rPr>
          <w:rFonts w:ascii="Verdana" w:hAnsi="Verdana"/>
          <w:color w:val="000000" w:themeColor="text1"/>
        </w:rPr>
        <w:t xml:space="preserve">The ability of the state to assess all types of insurance plans in the state is unclear and may not be allowed under federal law.  </w:t>
      </w:r>
      <w:r w:rsidR="00A30925">
        <w:rPr>
          <w:rFonts w:ascii="Verdana" w:hAnsi="Verdana"/>
          <w:color w:val="000000" w:themeColor="text1"/>
        </w:rPr>
        <w:t>This may result i</w:t>
      </w:r>
      <w:r w:rsidR="009C2BDD">
        <w:rPr>
          <w:rFonts w:ascii="Verdana" w:hAnsi="Verdana"/>
          <w:color w:val="000000" w:themeColor="text1"/>
        </w:rPr>
        <w:t>n</w:t>
      </w:r>
      <w:r w:rsidR="00A30925">
        <w:rPr>
          <w:rFonts w:ascii="Verdana" w:hAnsi="Verdana"/>
          <w:color w:val="000000" w:themeColor="text1"/>
        </w:rPr>
        <w:t xml:space="preserve"> a multi-tiered immunization system where providers still must access the private sector for some patients or specific vaccines but with smaller volumes.</w:t>
      </w:r>
    </w:p>
    <w:p w14:paraId="4172E012" w14:textId="77777777" w:rsidR="00A30925" w:rsidRDefault="00A30925" w:rsidP="00A30925">
      <w:pPr>
        <w:pStyle w:val="ListParagraph"/>
        <w:ind w:left="1080" w:firstLine="0"/>
        <w:rPr>
          <w:rFonts w:ascii="Verdana" w:hAnsi="Verdana"/>
          <w:color w:val="000000" w:themeColor="text1"/>
        </w:rPr>
      </w:pPr>
    </w:p>
    <w:p w14:paraId="6F0AD719" w14:textId="77777777" w:rsidR="00A30925" w:rsidRDefault="00A30925" w:rsidP="00CE03C8">
      <w:pPr>
        <w:pStyle w:val="ListParagraph"/>
        <w:numPr>
          <w:ilvl w:val="0"/>
          <w:numId w:val="7"/>
        </w:numPr>
        <w:rPr>
          <w:rFonts w:ascii="Verdana" w:hAnsi="Verdana"/>
          <w:color w:val="000000" w:themeColor="text1"/>
        </w:rPr>
      </w:pPr>
      <w:r>
        <w:rPr>
          <w:rFonts w:ascii="Verdana" w:hAnsi="Verdana"/>
          <w:color w:val="000000" w:themeColor="text1"/>
        </w:rPr>
        <w:t>In addition providers will still be required to screen patients for eligibility, stock private sector doses for children and adults whose insurance plan is not paying into the assessment pool, submit for reimbursement and track use of these doses.</w:t>
      </w:r>
      <w:r w:rsidR="002D451A">
        <w:rPr>
          <w:rFonts w:ascii="Verdana" w:hAnsi="Verdana"/>
          <w:color w:val="000000" w:themeColor="text1"/>
        </w:rPr>
        <w:t xml:space="preserve"> Moreover, providers will still need to bill for the administration of vaccines.</w:t>
      </w:r>
    </w:p>
    <w:p w14:paraId="0DEABBA4" w14:textId="77777777" w:rsidR="00A30925" w:rsidRPr="00A30925" w:rsidRDefault="00A30925" w:rsidP="00A30925">
      <w:pPr>
        <w:rPr>
          <w:rFonts w:ascii="Verdana" w:hAnsi="Verdana"/>
          <w:color w:val="000000" w:themeColor="text1"/>
        </w:rPr>
      </w:pPr>
    </w:p>
    <w:p w14:paraId="012D493D" w14:textId="2C5B8F09" w:rsidR="00426523" w:rsidRPr="00F93210" w:rsidRDefault="00A30925" w:rsidP="00CE03C8">
      <w:pPr>
        <w:pStyle w:val="ListParagraph"/>
        <w:numPr>
          <w:ilvl w:val="0"/>
          <w:numId w:val="7"/>
        </w:numPr>
        <w:rPr>
          <w:rFonts w:ascii="Verdana" w:hAnsi="Verdana"/>
          <w:color w:val="000000" w:themeColor="text1"/>
        </w:rPr>
      </w:pPr>
      <w:r>
        <w:rPr>
          <w:rFonts w:ascii="Verdana" w:hAnsi="Verdana" w:cstheme="minorHAnsi"/>
          <w:color w:val="000000" w:themeColor="text1"/>
        </w:rPr>
        <w:t xml:space="preserve">Lastly </w:t>
      </w:r>
      <w:r w:rsidR="00426523" w:rsidRPr="00F93210">
        <w:rPr>
          <w:rFonts w:ascii="Verdana" w:hAnsi="Verdana" w:cstheme="minorHAnsi"/>
          <w:color w:val="000000" w:themeColor="text1"/>
        </w:rPr>
        <w:t xml:space="preserve">UP programs </w:t>
      </w:r>
      <w:r>
        <w:rPr>
          <w:rFonts w:ascii="Verdana" w:hAnsi="Verdana" w:cstheme="minorHAnsi"/>
          <w:color w:val="000000" w:themeColor="text1"/>
        </w:rPr>
        <w:t xml:space="preserve">often </w:t>
      </w:r>
      <w:r w:rsidR="00426523" w:rsidRPr="00F93210">
        <w:rPr>
          <w:rFonts w:ascii="Verdana" w:hAnsi="Verdana" w:cstheme="minorHAnsi"/>
          <w:color w:val="000000" w:themeColor="text1"/>
        </w:rPr>
        <w:t>burden state health departments with the additional administrative costs of managing the vaccine supply for the entire state</w:t>
      </w:r>
      <w:r>
        <w:rPr>
          <w:rFonts w:ascii="Verdana" w:hAnsi="Verdana" w:cstheme="minorHAnsi"/>
          <w:color w:val="000000" w:themeColor="text1"/>
        </w:rPr>
        <w:t>, such as warehousing and shipping doses to multiple sites</w:t>
      </w:r>
      <w:r w:rsidR="00426523" w:rsidRPr="00F93210">
        <w:rPr>
          <w:rFonts w:ascii="Verdana" w:hAnsi="Verdana" w:cstheme="minorHAnsi"/>
          <w:color w:val="000000" w:themeColor="text1"/>
        </w:rPr>
        <w:t>.  Accountability for ordering, storing,</w:t>
      </w:r>
      <w:r>
        <w:rPr>
          <w:rFonts w:ascii="Verdana" w:hAnsi="Verdana" w:cstheme="minorHAnsi"/>
          <w:color w:val="000000" w:themeColor="text1"/>
        </w:rPr>
        <w:t xml:space="preserve"> tracking and shipping vaccine </w:t>
      </w:r>
      <w:r w:rsidR="00461047">
        <w:rPr>
          <w:rFonts w:ascii="Verdana" w:hAnsi="Verdana" w:cstheme="minorHAnsi"/>
          <w:color w:val="000000" w:themeColor="text1"/>
        </w:rPr>
        <w:t xml:space="preserve">ultimately rests with the Alaska Department of Heath </w:t>
      </w:r>
      <w:r w:rsidR="00426523" w:rsidRPr="00F93210">
        <w:rPr>
          <w:rFonts w:ascii="Verdana" w:hAnsi="Verdana" w:cstheme="minorHAnsi"/>
          <w:color w:val="000000" w:themeColor="text1"/>
        </w:rPr>
        <w:t>during a time when public sector funding for infrastructure is being cut.</w:t>
      </w:r>
    </w:p>
    <w:p w14:paraId="415F67A7" w14:textId="77777777" w:rsidR="003F1D70" w:rsidRPr="00426523" w:rsidRDefault="003F1D70" w:rsidP="003F1D70">
      <w:pPr>
        <w:pStyle w:val="ListParagraph"/>
        <w:ind w:firstLine="0"/>
        <w:rPr>
          <w:rFonts w:ascii="Verdana" w:hAnsi="Verdana"/>
          <w:color w:val="000000" w:themeColor="text1"/>
        </w:rPr>
      </w:pPr>
    </w:p>
    <w:p w14:paraId="041837E2" w14:textId="77777777" w:rsidR="00EB7A1A" w:rsidRPr="00426523" w:rsidRDefault="00A30925" w:rsidP="00426523">
      <w:pPr>
        <w:rPr>
          <w:rFonts w:ascii="Verdana" w:hAnsi="Verdana" w:cstheme="minorHAnsi"/>
          <w:color w:val="000000" w:themeColor="text1"/>
          <w:sz w:val="22"/>
          <w:szCs w:val="22"/>
        </w:rPr>
      </w:pPr>
      <w:r>
        <w:rPr>
          <w:rFonts w:ascii="Verdana" w:hAnsi="Verdana" w:cstheme="minorHAnsi"/>
          <w:color w:val="000000" w:themeColor="text1"/>
          <w:sz w:val="22"/>
          <w:szCs w:val="22"/>
        </w:rPr>
        <w:t>Lastly this type of</w:t>
      </w:r>
      <w:r w:rsidR="00EB7A1A" w:rsidRPr="00426523">
        <w:rPr>
          <w:rFonts w:ascii="Verdana" w:hAnsi="Verdana" w:cstheme="minorHAnsi"/>
          <w:color w:val="000000" w:themeColor="text1"/>
          <w:sz w:val="22"/>
          <w:szCs w:val="22"/>
        </w:rPr>
        <w:t xml:space="preserve"> UP program</w:t>
      </w:r>
      <w:r>
        <w:rPr>
          <w:rFonts w:ascii="Verdana" w:hAnsi="Verdana" w:cstheme="minorHAnsi"/>
          <w:color w:val="000000" w:themeColor="text1"/>
          <w:sz w:val="22"/>
          <w:szCs w:val="22"/>
        </w:rPr>
        <w:t>, tax assessments and</w:t>
      </w:r>
      <w:r w:rsidR="00EB7A1A" w:rsidRPr="00426523">
        <w:rPr>
          <w:rFonts w:ascii="Verdana" w:hAnsi="Verdana" w:cstheme="minorHAnsi"/>
          <w:sz w:val="22"/>
          <w:szCs w:val="22"/>
        </w:rPr>
        <w:t xml:space="preserve"> insurance pools, create</w:t>
      </w:r>
      <w:r w:rsidR="00EB7A1A" w:rsidRPr="00426523">
        <w:rPr>
          <w:rFonts w:ascii="Verdana" w:hAnsi="Verdana" w:cstheme="minorHAnsi"/>
          <w:color w:val="000000" w:themeColor="text1"/>
          <w:sz w:val="22"/>
          <w:szCs w:val="22"/>
        </w:rPr>
        <w:t xml:space="preserve"> a pass through of a </w:t>
      </w:r>
      <w:r>
        <w:rPr>
          <w:rFonts w:ascii="Verdana" w:hAnsi="Verdana" w:cstheme="minorHAnsi"/>
          <w:color w:val="000000" w:themeColor="text1"/>
          <w:sz w:val="22"/>
          <w:szCs w:val="22"/>
        </w:rPr>
        <w:t xml:space="preserve">federal </w:t>
      </w:r>
      <w:r w:rsidR="00EB7A1A" w:rsidRPr="00426523">
        <w:rPr>
          <w:rFonts w:ascii="Verdana" w:hAnsi="Verdana" w:cstheme="minorHAnsi"/>
          <w:color w:val="000000" w:themeColor="text1"/>
          <w:sz w:val="22"/>
          <w:szCs w:val="22"/>
        </w:rPr>
        <w:t xml:space="preserve">discount intended for vulnerable populations. </w:t>
      </w:r>
    </w:p>
    <w:p w14:paraId="3024793F" w14:textId="77777777" w:rsidR="00EB7A1A" w:rsidRPr="00426523" w:rsidRDefault="00EB7A1A" w:rsidP="00EB7A1A">
      <w:pPr>
        <w:pStyle w:val="ListParagraph"/>
        <w:ind w:firstLine="0"/>
        <w:rPr>
          <w:rFonts w:ascii="Verdana" w:hAnsi="Verdana" w:cstheme="minorHAnsi"/>
          <w:color w:val="000000" w:themeColor="text1"/>
        </w:rPr>
      </w:pPr>
    </w:p>
    <w:p w14:paraId="024C3CCF" w14:textId="77777777" w:rsidR="00EB7A1A" w:rsidRPr="00426523" w:rsidRDefault="00A30925" w:rsidP="00426523">
      <w:pPr>
        <w:pStyle w:val="ListParagraph"/>
        <w:numPr>
          <w:ilvl w:val="1"/>
          <w:numId w:val="4"/>
        </w:numPr>
        <w:ind w:left="1080"/>
        <w:rPr>
          <w:rFonts w:ascii="Verdana" w:hAnsi="Verdana" w:cstheme="minorHAnsi"/>
          <w:color w:val="000000" w:themeColor="text1"/>
        </w:rPr>
      </w:pPr>
      <w:r>
        <w:rPr>
          <w:rFonts w:ascii="Verdana" w:hAnsi="Verdana" w:cstheme="minorHAnsi"/>
          <w:color w:val="000000" w:themeColor="text1"/>
        </w:rPr>
        <w:t>P</w:t>
      </w:r>
      <w:r w:rsidR="00EB7A1A" w:rsidRPr="00426523">
        <w:rPr>
          <w:rFonts w:ascii="Verdana" w:hAnsi="Verdana" w:cstheme="minorHAnsi"/>
          <w:color w:val="000000" w:themeColor="text1"/>
        </w:rPr>
        <w:t>arents and employers pay premiums for their immunization coverage, so the vaccine cost is already paid for</w:t>
      </w:r>
      <w:r>
        <w:rPr>
          <w:rFonts w:ascii="Verdana" w:hAnsi="Verdana" w:cstheme="minorHAnsi"/>
          <w:color w:val="000000" w:themeColor="text1"/>
        </w:rPr>
        <w:t>, as is the visit and all of the other medical care</w:t>
      </w:r>
      <w:r w:rsidR="00EB7A1A" w:rsidRPr="00426523">
        <w:rPr>
          <w:rFonts w:ascii="Verdana" w:hAnsi="Verdana" w:cstheme="minorHAnsi"/>
          <w:color w:val="000000" w:themeColor="text1"/>
        </w:rPr>
        <w:t>.</w:t>
      </w:r>
    </w:p>
    <w:p w14:paraId="41C57949" w14:textId="77777777" w:rsidR="00EB7A1A" w:rsidRPr="00426523" w:rsidRDefault="00EB7A1A" w:rsidP="00426523">
      <w:pPr>
        <w:pStyle w:val="ListParagraph"/>
        <w:ind w:left="1080" w:firstLine="0"/>
        <w:rPr>
          <w:rFonts w:ascii="Verdana" w:hAnsi="Verdana" w:cstheme="minorHAnsi"/>
          <w:color w:val="000000" w:themeColor="text1"/>
        </w:rPr>
      </w:pPr>
    </w:p>
    <w:p w14:paraId="4FCAC62E" w14:textId="77777777" w:rsidR="00EB7A1A" w:rsidRPr="00D54034" w:rsidRDefault="00D54034" w:rsidP="00D54034">
      <w:pPr>
        <w:pStyle w:val="ListParagraph"/>
        <w:numPr>
          <w:ilvl w:val="1"/>
          <w:numId w:val="4"/>
        </w:numPr>
        <w:ind w:left="1080"/>
        <w:rPr>
          <w:rFonts w:ascii="Verdana" w:hAnsi="Verdana" w:cstheme="minorHAnsi"/>
          <w:color w:val="000000" w:themeColor="text1"/>
        </w:rPr>
      </w:pPr>
      <w:r>
        <w:rPr>
          <w:rFonts w:ascii="Verdana" w:hAnsi="Verdana" w:cstheme="minorHAnsi"/>
          <w:color w:val="000000" w:themeColor="text1"/>
        </w:rPr>
        <w:t>Vaccine costs are not a high or significant cost for insurers as a portion of insurance premiums.  In fact a 2009 HHS study showed that</w:t>
      </w:r>
      <w:r w:rsidR="00EB7A1A" w:rsidRPr="00D54034">
        <w:rPr>
          <w:rFonts w:ascii="Verdana" w:hAnsi="Verdana" w:cstheme="minorHAnsi"/>
          <w:color w:val="000000" w:themeColor="text1"/>
        </w:rPr>
        <w:t xml:space="preserve"> vaccine coverage accounts for only 0.8% of family premiums.</w:t>
      </w:r>
      <w:r w:rsidR="00EB7A1A" w:rsidRPr="00426523">
        <w:rPr>
          <w:rStyle w:val="FootnoteReference"/>
          <w:rFonts w:ascii="Verdana" w:hAnsi="Verdana"/>
          <w:color w:val="000000" w:themeColor="text1"/>
        </w:rPr>
        <w:footnoteReference w:id="3"/>
      </w:r>
    </w:p>
    <w:p w14:paraId="3121A954" w14:textId="77777777" w:rsidR="00EB7A1A" w:rsidRPr="00426523" w:rsidRDefault="00EB7A1A" w:rsidP="00426523">
      <w:pPr>
        <w:ind w:left="1440"/>
        <w:rPr>
          <w:rFonts w:ascii="Verdana" w:hAnsi="Verdana" w:cstheme="minorHAnsi"/>
          <w:color w:val="000000" w:themeColor="text1"/>
          <w:sz w:val="22"/>
          <w:szCs w:val="22"/>
        </w:rPr>
      </w:pPr>
    </w:p>
    <w:p w14:paraId="7369D474" w14:textId="77777777" w:rsidR="00EB7A1A" w:rsidRDefault="00EB7A1A" w:rsidP="00426523">
      <w:pPr>
        <w:pStyle w:val="ListParagraph"/>
        <w:numPr>
          <w:ilvl w:val="1"/>
          <w:numId w:val="4"/>
        </w:numPr>
        <w:ind w:left="1080"/>
        <w:rPr>
          <w:rFonts w:ascii="Verdana" w:hAnsi="Verdana" w:cstheme="minorHAnsi"/>
          <w:color w:val="000000" w:themeColor="text1"/>
        </w:rPr>
      </w:pPr>
      <w:r w:rsidRPr="00F93210">
        <w:rPr>
          <w:rFonts w:ascii="Verdana" w:hAnsi="Verdana" w:cstheme="minorHAnsi"/>
          <w:color w:val="000000" w:themeColor="text1"/>
        </w:rPr>
        <w:t>Health plans reap the benefits of fully immunized populations through reductions in health expenditures for hospitalizations, office visits, testing, and treatment.</w:t>
      </w:r>
    </w:p>
    <w:p w14:paraId="3E085748" w14:textId="77777777" w:rsidR="00D54034" w:rsidRPr="00A30925" w:rsidRDefault="00D54034" w:rsidP="00A30925">
      <w:pPr>
        <w:rPr>
          <w:rFonts w:ascii="Verdana" w:hAnsi="Verdana" w:cstheme="minorHAnsi"/>
          <w:color w:val="000000" w:themeColor="text1"/>
        </w:rPr>
      </w:pPr>
    </w:p>
    <w:p w14:paraId="610949C9" w14:textId="77777777" w:rsidR="00627AA5" w:rsidRPr="00D54034" w:rsidRDefault="00D74BD6" w:rsidP="00D54034">
      <w:pPr>
        <w:rPr>
          <w:rFonts w:ascii="Verdana" w:hAnsi="Verdana"/>
          <w:color w:val="000000" w:themeColor="text1"/>
        </w:rPr>
      </w:pPr>
      <w:r>
        <w:rPr>
          <w:rFonts w:ascii="Verdana" w:hAnsi="Verdana"/>
          <w:sz w:val="22"/>
          <w:szCs w:val="22"/>
        </w:rPr>
        <w:lastRenderedPageBreak/>
        <w:t>America’s</w:t>
      </w:r>
      <w:r w:rsidR="00A30925">
        <w:rPr>
          <w:rFonts w:ascii="Verdana" w:hAnsi="Verdana"/>
          <w:sz w:val="22"/>
          <w:szCs w:val="22"/>
        </w:rPr>
        <w:t xml:space="preserve"> </w:t>
      </w:r>
      <w:r>
        <w:rPr>
          <w:rFonts w:ascii="Verdana" w:hAnsi="Verdana"/>
          <w:sz w:val="22"/>
          <w:szCs w:val="22"/>
        </w:rPr>
        <w:t xml:space="preserve">vaccine manufacturers are continuously investing </w:t>
      </w:r>
      <w:r w:rsidR="00F07BA6">
        <w:rPr>
          <w:rFonts w:ascii="Verdana" w:hAnsi="Verdana"/>
          <w:sz w:val="22"/>
          <w:szCs w:val="22"/>
        </w:rPr>
        <w:t xml:space="preserve">in both existing and new vaccines for children, adolescents and adults.  This is only possible when there is a sustained, viable market for these vital public health products.  </w:t>
      </w:r>
    </w:p>
    <w:p w14:paraId="3C607BB0" w14:textId="77777777" w:rsidR="00627AA5" w:rsidRPr="00F93210" w:rsidRDefault="00627AA5">
      <w:pPr>
        <w:rPr>
          <w:rFonts w:ascii="Verdana" w:hAnsi="Verdana"/>
          <w:sz w:val="22"/>
          <w:szCs w:val="22"/>
        </w:rPr>
      </w:pPr>
    </w:p>
    <w:p w14:paraId="5C75D658" w14:textId="27401F37" w:rsidR="00C0293C" w:rsidRPr="00F93210" w:rsidRDefault="00F07BA6" w:rsidP="00C0293C">
      <w:pPr>
        <w:rPr>
          <w:rFonts w:ascii="Verdana" w:hAnsi="Verdana"/>
          <w:sz w:val="22"/>
          <w:szCs w:val="22"/>
        </w:rPr>
      </w:pPr>
      <w:r>
        <w:rPr>
          <w:rFonts w:ascii="Verdana" w:hAnsi="Verdana"/>
          <w:sz w:val="22"/>
          <w:szCs w:val="22"/>
        </w:rPr>
        <w:t xml:space="preserve">BIO believes that a private sector solution can be found that solves the issues of all vaccine stakeholders – patients, providers, insurers and vaccine manufacturers.  </w:t>
      </w:r>
      <w:r w:rsidR="00C0293C" w:rsidRPr="00F93210">
        <w:rPr>
          <w:rFonts w:ascii="Verdana" w:hAnsi="Verdana"/>
          <w:sz w:val="22"/>
          <w:szCs w:val="22"/>
        </w:rPr>
        <w:t>We have worked closely</w:t>
      </w:r>
      <w:r w:rsidR="00C0293C">
        <w:rPr>
          <w:rFonts w:ascii="Verdana" w:hAnsi="Verdana"/>
          <w:sz w:val="22"/>
          <w:szCs w:val="22"/>
        </w:rPr>
        <w:t xml:space="preserve"> with states to develop public- private</w:t>
      </w:r>
      <w:r w:rsidR="00C0293C" w:rsidRPr="00F93210">
        <w:rPr>
          <w:rFonts w:ascii="Verdana" w:hAnsi="Verdana"/>
          <w:sz w:val="22"/>
          <w:szCs w:val="22"/>
        </w:rPr>
        <w:t xml:space="preserve"> solutions to many of these same problems</w:t>
      </w:r>
      <w:r w:rsidR="00C0293C">
        <w:rPr>
          <w:rFonts w:ascii="Verdana" w:hAnsi="Verdana"/>
          <w:sz w:val="22"/>
          <w:szCs w:val="22"/>
        </w:rPr>
        <w:t xml:space="preserve">.  For example, in Colorado BIO works with a large coalition of vaccine stakeholders to </w:t>
      </w:r>
      <w:r w:rsidR="0085111B">
        <w:rPr>
          <w:rFonts w:ascii="Verdana" w:hAnsi="Verdana"/>
          <w:sz w:val="22"/>
          <w:szCs w:val="22"/>
        </w:rPr>
        <w:t>develop a set of recommendations for the state on ways to increase immunization access and rates.  The group is evaluating unique contracting options specifically targeted to small volume providers</w:t>
      </w:r>
      <w:r w:rsidR="00860EE5">
        <w:rPr>
          <w:rFonts w:ascii="Verdana" w:hAnsi="Verdana"/>
          <w:sz w:val="22"/>
          <w:szCs w:val="22"/>
        </w:rPr>
        <w:t xml:space="preserve"> in rural and underserved areas</w:t>
      </w:r>
      <w:r w:rsidR="0085111B">
        <w:rPr>
          <w:rFonts w:ascii="Verdana" w:hAnsi="Verdana"/>
          <w:sz w:val="22"/>
          <w:szCs w:val="22"/>
        </w:rPr>
        <w:t xml:space="preserve">, </w:t>
      </w:r>
      <w:r w:rsidR="009C2BDD">
        <w:rPr>
          <w:rFonts w:ascii="Verdana" w:hAnsi="Verdana"/>
          <w:sz w:val="22"/>
          <w:szCs w:val="22"/>
        </w:rPr>
        <w:t xml:space="preserve">researching </w:t>
      </w:r>
      <w:r w:rsidR="0085111B">
        <w:rPr>
          <w:rFonts w:ascii="Verdana" w:hAnsi="Verdana"/>
          <w:sz w:val="22"/>
          <w:szCs w:val="22"/>
        </w:rPr>
        <w:t xml:space="preserve">organizations that can help providers with billing of insurance plans and </w:t>
      </w:r>
      <w:r w:rsidR="009C2BDD">
        <w:rPr>
          <w:rFonts w:ascii="Verdana" w:hAnsi="Verdana"/>
          <w:sz w:val="22"/>
          <w:szCs w:val="22"/>
        </w:rPr>
        <w:t xml:space="preserve">developing </w:t>
      </w:r>
      <w:r w:rsidR="0085111B">
        <w:rPr>
          <w:rFonts w:ascii="Verdana" w:hAnsi="Verdana"/>
          <w:sz w:val="22"/>
          <w:szCs w:val="22"/>
        </w:rPr>
        <w:t xml:space="preserve">better educational programs for provider offices and staff.  We are </w:t>
      </w:r>
      <w:r w:rsidR="00461047">
        <w:rPr>
          <w:rFonts w:ascii="Verdana" w:hAnsi="Verdana"/>
          <w:sz w:val="22"/>
          <w:szCs w:val="22"/>
        </w:rPr>
        <w:t xml:space="preserve">working </w:t>
      </w:r>
      <w:r w:rsidR="0085111B">
        <w:rPr>
          <w:rFonts w:ascii="Verdana" w:hAnsi="Verdana"/>
          <w:sz w:val="22"/>
          <w:szCs w:val="22"/>
        </w:rPr>
        <w:t xml:space="preserve">on similar programs in California and New Mexico.  </w:t>
      </w:r>
    </w:p>
    <w:p w14:paraId="2FACCBC8" w14:textId="77777777" w:rsidR="003F1D70" w:rsidRPr="00F93210" w:rsidRDefault="003F1D70">
      <w:pPr>
        <w:rPr>
          <w:rFonts w:ascii="Verdana" w:hAnsi="Verdana"/>
          <w:sz w:val="22"/>
          <w:szCs w:val="22"/>
        </w:rPr>
      </w:pPr>
    </w:p>
    <w:p w14:paraId="13127B05" w14:textId="19EFD3BC" w:rsidR="003F1D70" w:rsidRPr="00F93210" w:rsidRDefault="00E60652">
      <w:pPr>
        <w:rPr>
          <w:rFonts w:ascii="Verdana" w:hAnsi="Verdana"/>
          <w:sz w:val="22"/>
          <w:szCs w:val="22"/>
        </w:rPr>
      </w:pPr>
      <w:r>
        <w:rPr>
          <w:rFonts w:ascii="Verdana" w:eastAsia="Times New Roman" w:hAnsi="Verdana"/>
          <w:sz w:val="22"/>
          <w:szCs w:val="22"/>
        </w:rPr>
        <w:t xml:space="preserve">Thank you again for this opportunity to share our issues.  </w:t>
      </w:r>
      <w:r w:rsidR="003F1D70" w:rsidRPr="00F93210">
        <w:rPr>
          <w:rFonts w:ascii="Verdana" w:eastAsia="Times New Roman" w:hAnsi="Verdana"/>
          <w:sz w:val="22"/>
          <w:szCs w:val="22"/>
        </w:rPr>
        <w:t>I will be glad to answer any questions.</w:t>
      </w:r>
    </w:p>
    <w:sectPr w:rsidR="003F1D70" w:rsidRPr="00F93210" w:rsidSect="009E6B5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183A5" w14:textId="77777777" w:rsidR="00860EE5" w:rsidRDefault="00860EE5" w:rsidP="003F1D70">
      <w:r>
        <w:separator/>
      </w:r>
    </w:p>
  </w:endnote>
  <w:endnote w:type="continuationSeparator" w:id="0">
    <w:p w14:paraId="457DA8F8" w14:textId="77777777" w:rsidR="00860EE5" w:rsidRDefault="00860EE5" w:rsidP="003F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62D9B" w14:textId="77777777" w:rsidR="00860EE5" w:rsidRDefault="00860EE5" w:rsidP="003F1D70">
      <w:r>
        <w:separator/>
      </w:r>
    </w:p>
  </w:footnote>
  <w:footnote w:type="continuationSeparator" w:id="0">
    <w:p w14:paraId="39744E40" w14:textId="77777777" w:rsidR="00860EE5" w:rsidRDefault="00860EE5" w:rsidP="003F1D70">
      <w:r>
        <w:continuationSeparator/>
      </w:r>
    </w:p>
  </w:footnote>
  <w:footnote w:id="1">
    <w:p w14:paraId="0EE4874B" w14:textId="77777777" w:rsidR="00860EE5" w:rsidRDefault="00860EE5" w:rsidP="001272AB">
      <w:pPr>
        <w:pStyle w:val="FootnoteText"/>
        <w:rPr>
          <w:rFonts w:ascii="Verdana" w:hAnsi="Verdana"/>
          <w:sz w:val="16"/>
          <w:szCs w:val="16"/>
        </w:rPr>
      </w:pPr>
    </w:p>
  </w:footnote>
  <w:footnote w:id="2">
    <w:p w14:paraId="7026EF65" w14:textId="77777777" w:rsidR="00860EE5" w:rsidRDefault="00860EE5" w:rsidP="001272AB">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CDC Estimated Vaccination Coverage Rate % Vaccination Series Among Children 19-35 Months of Age by State, U.S., National Immunization Survey, Q1/2012-Q4/2012. Data for 4:3:1 plus ≥3 doses of Hib vaccine of any type, 3 or more doses of HepB, 1 or more doses of varicella vaccine, and 4 or more doses of PCV. Available at: </w:t>
      </w:r>
      <w:hyperlink r:id="rId1" w:anchor="overall" w:history="1">
        <w:r>
          <w:rPr>
            <w:rStyle w:val="Hyperlink"/>
            <w:rFonts w:ascii="Verdana" w:hAnsi="Verdana"/>
            <w:sz w:val="16"/>
            <w:szCs w:val="16"/>
          </w:rPr>
          <w:t>http://www.cdc.gov/vaccines/stats-surv/nis/data/tables_2012.htm#overall</w:t>
        </w:r>
      </w:hyperlink>
      <w:r>
        <w:rPr>
          <w:rFonts w:ascii="Verdana" w:hAnsi="Verdana"/>
          <w:sz w:val="16"/>
          <w:szCs w:val="16"/>
        </w:rPr>
        <w:t xml:space="preserve"> .</w:t>
      </w:r>
    </w:p>
    <w:p w14:paraId="20BADF28" w14:textId="77777777" w:rsidR="00860EE5" w:rsidRDefault="00860EE5" w:rsidP="001272AB">
      <w:pPr>
        <w:pStyle w:val="FootnoteText"/>
        <w:rPr>
          <w:rFonts w:ascii="Verdana" w:hAnsi="Verdana"/>
          <w:sz w:val="16"/>
        </w:rPr>
      </w:pPr>
      <w:r>
        <w:rPr>
          <w:rStyle w:val="FootnoteReference"/>
          <w:rFonts w:ascii="Verdana" w:hAnsi="Verdana"/>
          <w:sz w:val="16"/>
        </w:rPr>
        <w:footnoteRef/>
      </w:r>
      <w:r>
        <w:rPr>
          <w:rFonts w:ascii="Verdana" w:hAnsi="Verdana"/>
          <w:sz w:val="16"/>
        </w:rPr>
        <w:t xml:space="preserve"> Alaska Department of Health and Social Services. State of Alaska Epidemiology Bulletin. Published February 17, 2011.  Available at: </w:t>
      </w:r>
      <w:hyperlink r:id="rId2" w:history="1">
        <w:r>
          <w:rPr>
            <w:rStyle w:val="Hyperlink"/>
            <w:rFonts w:ascii="Verdana" w:hAnsi="Verdana"/>
            <w:sz w:val="16"/>
          </w:rPr>
          <w:t>http://www.epi.hss.state.ak.us/bulletins/docs/b2011_02.pdf</w:t>
        </w:r>
      </w:hyperlink>
      <w:r>
        <w:rPr>
          <w:rFonts w:ascii="Verdana" w:hAnsi="Verdana"/>
          <w:sz w:val="16"/>
        </w:rPr>
        <w:t xml:space="preserve"> </w:t>
      </w:r>
    </w:p>
    <w:p w14:paraId="3C0FBB27" w14:textId="77777777" w:rsidR="00860EE5" w:rsidRDefault="00860EE5" w:rsidP="001272AB"/>
  </w:footnote>
  <w:footnote w:id="3">
    <w:p w14:paraId="428B94CB" w14:textId="77777777" w:rsidR="00860EE5" w:rsidRPr="001924EC" w:rsidRDefault="00860EE5" w:rsidP="00EB7A1A">
      <w:pPr>
        <w:pStyle w:val="FootnoteText"/>
        <w:rPr>
          <w:rFonts w:ascii="Verdana" w:hAnsi="Verdana"/>
          <w:sz w:val="16"/>
          <w:szCs w:val="16"/>
        </w:rPr>
      </w:pPr>
      <w:r w:rsidRPr="001924EC">
        <w:rPr>
          <w:rStyle w:val="FootnoteReference"/>
          <w:rFonts w:ascii="Verdana" w:hAnsi="Verdana"/>
          <w:sz w:val="16"/>
          <w:szCs w:val="16"/>
        </w:rPr>
        <w:footnoteRef/>
      </w:r>
      <w:r w:rsidRPr="001924EC">
        <w:rPr>
          <w:rFonts w:ascii="Verdana" w:hAnsi="Verdana"/>
          <w:sz w:val="16"/>
          <w:szCs w:val="16"/>
        </w:rPr>
        <w:t xml:space="preserve"> Rose Chu, presentation at June 2009 NVAC meeting, “2009 Premiums for Routine Immunizations.”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3D61"/>
    <w:multiLevelType w:val="hybridMultilevel"/>
    <w:tmpl w:val="19A08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59EF"/>
    <w:multiLevelType w:val="hybridMultilevel"/>
    <w:tmpl w:val="E0E07C10"/>
    <w:lvl w:ilvl="0" w:tplc="04090003">
      <w:start w:val="1"/>
      <w:numFmt w:val="bullet"/>
      <w:lvlText w:val="o"/>
      <w:lvlJc w:val="left"/>
      <w:pPr>
        <w:ind w:left="1080" w:hanging="360"/>
      </w:pPr>
      <w:rPr>
        <w:rFonts w:ascii="Courier New" w:hAnsi="Courier New" w:hint="default"/>
        <w:color w:val="000000" w:themeColor="text1"/>
      </w:rPr>
    </w:lvl>
    <w:lvl w:ilvl="1" w:tplc="04090003">
      <w:start w:val="1"/>
      <w:numFmt w:val="bullet"/>
      <w:lvlText w:val="o"/>
      <w:lvlJc w:val="left"/>
      <w:pPr>
        <w:ind w:left="1365" w:hanging="360"/>
      </w:pPr>
      <w:rPr>
        <w:rFonts w:ascii="Courier New" w:hAnsi="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346D029A"/>
    <w:multiLevelType w:val="hybridMultilevel"/>
    <w:tmpl w:val="F3C2156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
    <w:nsid w:val="3ADA76E1"/>
    <w:multiLevelType w:val="hybridMultilevel"/>
    <w:tmpl w:val="AABA4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A67BF8"/>
    <w:multiLevelType w:val="hybridMultilevel"/>
    <w:tmpl w:val="6466278A"/>
    <w:lvl w:ilvl="0" w:tplc="D2E405FE">
      <w:start w:val="1"/>
      <w:numFmt w:val="bullet"/>
      <w:lvlText w:val=""/>
      <w:lvlJc w:val="left"/>
      <w:pPr>
        <w:ind w:left="720" w:hanging="360"/>
      </w:pPr>
      <w:rPr>
        <w:rFonts w:ascii="Symbol" w:hAnsi="Symbol" w:hint="default"/>
        <w:color w:val="000000" w:themeColor="text1"/>
      </w:rPr>
    </w:lvl>
    <w:lvl w:ilvl="1" w:tplc="43626052">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537421"/>
    <w:multiLevelType w:val="hybridMultilevel"/>
    <w:tmpl w:val="DBB8D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A3447"/>
    <w:multiLevelType w:val="hybridMultilevel"/>
    <w:tmpl w:val="E83AC08C"/>
    <w:lvl w:ilvl="0" w:tplc="479A5F58">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1C"/>
    <w:rsid w:val="00042D51"/>
    <w:rsid w:val="001272AB"/>
    <w:rsid w:val="001B565F"/>
    <w:rsid w:val="00261597"/>
    <w:rsid w:val="002B4F94"/>
    <w:rsid w:val="002D451A"/>
    <w:rsid w:val="0033321C"/>
    <w:rsid w:val="003F1D70"/>
    <w:rsid w:val="00423240"/>
    <w:rsid w:val="00426523"/>
    <w:rsid w:val="00461047"/>
    <w:rsid w:val="00593DD8"/>
    <w:rsid w:val="00597992"/>
    <w:rsid w:val="00627AA5"/>
    <w:rsid w:val="006C7B20"/>
    <w:rsid w:val="00825021"/>
    <w:rsid w:val="0085111B"/>
    <w:rsid w:val="00860EE5"/>
    <w:rsid w:val="009C2BDD"/>
    <w:rsid w:val="009D1576"/>
    <w:rsid w:val="009E6B5B"/>
    <w:rsid w:val="00A30925"/>
    <w:rsid w:val="00C0293C"/>
    <w:rsid w:val="00CE03C8"/>
    <w:rsid w:val="00D54034"/>
    <w:rsid w:val="00D62CBF"/>
    <w:rsid w:val="00D676DB"/>
    <w:rsid w:val="00D74BD6"/>
    <w:rsid w:val="00E60652"/>
    <w:rsid w:val="00EB7A1A"/>
    <w:rsid w:val="00F07BA6"/>
    <w:rsid w:val="00F93210"/>
    <w:rsid w:val="00FB6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FDF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D70"/>
    <w:pPr>
      <w:ind w:left="720" w:firstLine="720"/>
      <w:contextualSpacing/>
    </w:pPr>
    <w:rPr>
      <w:rFonts w:eastAsia="Times New Roman"/>
      <w:sz w:val="22"/>
      <w:szCs w:val="22"/>
    </w:rPr>
  </w:style>
  <w:style w:type="paragraph" w:styleId="FootnoteText">
    <w:name w:val="footnote text"/>
    <w:basedOn w:val="Normal"/>
    <w:link w:val="FootnoteTextChar"/>
    <w:uiPriority w:val="99"/>
    <w:rsid w:val="003F1D70"/>
    <w:rPr>
      <w:rFonts w:eastAsia="MS Mincho"/>
      <w:sz w:val="20"/>
      <w:szCs w:val="20"/>
      <w:lang w:eastAsia="ja-JP"/>
    </w:rPr>
  </w:style>
  <w:style w:type="character" w:customStyle="1" w:styleId="FootnoteTextChar">
    <w:name w:val="Footnote Text Char"/>
    <w:basedOn w:val="DefaultParagraphFont"/>
    <w:link w:val="FootnoteText"/>
    <w:uiPriority w:val="99"/>
    <w:rsid w:val="003F1D70"/>
    <w:rPr>
      <w:rFonts w:eastAsia="MS Mincho"/>
    </w:rPr>
  </w:style>
  <w:style w:type="character" w:styleId="FootnoteReference">
    <w:name w:val="footnote reference"/>
    <w:basedOn w:val="DefaultParagraphFont"/>
    <w:uiPriority w:val="99"/>
    <w:rsid w:val="003F1D70"/>
    <w:rPr>
      <w:rFonts w:cs="Times New Roman"/>
      <w:vertAlign w:val="superscript"/>
    </w:rPr>
  </w:style>
  <w:style w:type="character" w:styleId="Hyperlink">
    <w:name w:val="Hyperlink"/>
    <w:basedOn w:val="DefaultParagraphFont"/>
    <w:uiPriority w:val="99"/>
    <w:unhideWhenUsed/>
    <w:rsid w:val="003F1D70"/>
    <w:rPr>
      <w:color w:val="0000FF" w:themeColor="hyperlink"/>
      <w:u w:val="single"/>
    </w:rPr>
  </w:style>
  <w:style w:type="paragraph" w:styleId="BalloonText">
    <w:name w:val="Balloon Text"/>
    <w:basedOn w:val="Normal"/>
    <w:link w:val="BalloonTextChar"/>
    <w:uiPriority w:val="99"/>
    <w:semiHidden/>
    <w:unhideWhenUsed/>
    <w:rsid w:val="00127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2A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D70"/>
    <w:pPr>
      <w:ind w:left="720" w:firstLine="720"/>
      <w:contextualSpacing/>
    </w:pPr>
    <w:rPr>
      <w:rFonts w:eastAsia="Times New Roman"/>
      <w:sz w:val="22"/>
      <w:szCs w:val="22"/>
    </w:rPr>
  </w:style>
  <w:style w:type="paragraph" w:styleId="FootnoteText">
    <w:name w:val="footnote text"/>
    <w:basedOn w:val="Normal"/>
    <w:link w:val="FootnoteTextChar"/>
    <w:uiPriority w:val="99"/>
    <w:rsid w:val="003F1D70"/>
    <w:rPr>
      <w:rFonts w:eastAsia="MS Mincho"/>
      <w:sz w:val="20"/>
      <w:szCs w:val="20"/>
      <w:lang w:eastAsia="ja-JP"/>
    </w:rPr>
  </w:style>
  <w:style w:type="character" w:customStyle="1" w:styleId="FootnoteTextChar">
    <w:name w:val="Footnote Text Char"/>
    <w:basedOn w:val="DefaultParagraphFont"/>
    <w:link w:val="FootnoteText"/>
    <w:uiPriority w:val="99"/>
    <w:rsid w:val="003F1D70"/>
    <w:rPr>
      <w:rFonts w:eastAsia="MS Mincho"/>
    </w:rPr>
  </w:style>
  <w:style w:type="character" w:styleId="FootnoteReference">
    <w:name w:val="footnote reference"/>
    <w:basedOn w:val="DefaultParagraphFont"/>
    <w:uiPriority w:val="99"/>
    <w:rsid w:val="003F1D70"/>
    <w:rPr>
      <w:rFonts w:cs="Times New Roman"/>
      <w:vertAlign w:val="superscript"/>
    </w:rPr>
  </w:style>
  <w:style w:type="character" w:styleId="Hyperlink">
    <w:name w:val="Hyperlink"/>
    <w:basedOn w:val="DefaultParagraphFont"/>
    <w:uiPriority w:val="99"/>
    <w:unhideWhenUsed/>
    <w:rsid w:val="003F1D70"/>
    <w:rPr>
      <w:color w:val="0000FF" w:themeColor="hyperlink"/>
      <w:u w:val="single"/>
    </w:rPr>
  </w:style>
  <w:style w:type="paragraph" w:styleId="BalloonText">
    <w:name w:val="Balloon Text"/>
    <w:basedOn w:val="Normal"/>
    <w:link w:val="BalloonTextChar"/>
    <w:uiPriority w:val="99"/>
    <w:semiHidden/>
    <w:unhideWhenUsed/>
    <w:rsid w:val="001272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2A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pi.hss.state.ak.us/bulletins/docs/b2011_02.pdf" TargetMode="External"/><Relationship Id="rId1" Type="http://schemas.openxmlformats.org/officeDocument/2006/relationships/hyperlink" Target="http://www.cdc.gov/vaccines/stats-surv/nis/data/tables_2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6563-7A23-4921-BE48-7D29802D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4557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Arthur</dc:creator>
  <cp:lastModifiedBy>Administrator</cp:lastModifiedBy>
  <cp:revision>2</cp:revision>
  <cp:lastPrinted>2014-03-04T00:18:00Z</cp:lastPrinted>
  <dcterms:created xsi:type="dcterms:W3CDTF">2014-03-04T00:19:00Z</dcterms:created>
  <dcterms:modified xsi:type="dcterms:W3CDTF">2014-03-04T00:19:00Z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282778311</vt:i4>
  </property>
  <property fmtid="{D5CDD505-2E9C-101B-9397-08002B2CF9AE}" pid="3" name="_NewReviewCycle">
    <vt:lpwstr/>
  </property>
  <property fmtid="{D5CDD505-2E9C-101B-9397-08002B2CF9AE}" pid="4" name="_EmailSubject">
    <vt:lpwstr>PLEASE REVIEW URGENTLY: BIO / PhRMA testimony on Alaska SB 169</vt:lpwstr>
  </property>
  <property fmtid="{D5CDD505-2E9C-101B-9397-08002B2CF9AE}" pid="5" name="_AuthorEmail">
    <vt:lpwstr>elizabeth_blowers@merck.com</vt:lpwstr>
  </property>
  <property fmtid="{D5CDD505-2E9C-101B-9397-08002B2CF9AE}" pid="6" name="_AuthorEmailDisplayName">
    <vt:lpwstr>Blowers-Nyman, Elizabeth</vt:lpwstr>
  </property>
  <property fmtid="{D5CDD505-2E9C-101B-9397-08002B2CF9AE}" pid="7" name="_ReviewingToolsShownOnce">
    <vt:lpwstr/>
  </property>
</Properties>
</file>