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BE7" w:rsidRDefault="00EE6AAF" w:rsidP="00427BE7">
      <w:pPr>
        <w:pStyle w:val="Default"/>
        <w:contextualSpacing/>
      </w:pPr>
      <w:r>
        <w:t xml:space="preserve">To: </w:t>
      </w:r>
      <w:r w:rsidR="000747C6">
        <w:tab/>
      </w:r>
      <w:r>
        <w:t>Rep. Paul Seaton</w:t>
      </w:r>
    </w:p>
    <w:p w:rsidR="00EE6AAF" w:rsidRDefault="00EE6AAF" w:rsidP="00427BE7">
      <w:pPr>
        <w:pStyle w:val="Default"/>
        <w:contextualSpacing/>
      </w:pPr>
    </w:p>
    <w:p w:rsidR="00EE6AAF" w:rsidRDefault="00EE6AAF" w:rsidP="00427BE7">
      <w:pPr>
        <w:pStyle w:val="Default"/>
        <w:contextualSpacing/>
      </w:pPr>
      <w:r>
        <w:t>From:</w:t>
      </w:r>
      <w:r w:rsidR="0095789F">
        <w:tab/>
      </w:r>
      <w:r>
        <w:t xml:space="preserve"> Roger Marks</w:t>
      </w:r>
    </w:p>
    <w:p w:rsidR="00EE6AAF" w:rsidRDefault="00EE6AAF" w:rsidP="00427BE7">
      <w:pPr>
        <w:pStyle w:val="Default"/>
        <w:contextualSpacing/>
      </w:pPr>
    </w:p>
    <w:p w:rsidR="00EE6AAF" w:rsidRDefault="00EE6AAF" w:rsidP="00427BE7">
      <w:pPr>
        <w:pStyle w:val="Default"/>
        <w:contextualSpacing/>
      </w:pPr>
      <w:r>
        <w:t xml:space="preserve">Date: </w:t>
      </w:r>
      <w:r w:rsidR="000747C6">
        <w:tab/>
      </w:r>
      <w:r>
        <w:t xml:space="preserve">March </w:t>
      </w:r>
      <w:r w:rsidR="00014CF6">
        <w:t>9</w:t>
      </w:r>
      <w:r>
        <w:t>, 2012</w:t>
      </w:r>
    </w:p>
    <w:p w:rsidR="00EE6AAF" w:rsidRDefault="00EE6AAF" w:rsidP="00427BE7">
      <w:pPr>
        <w:pStyle w:val="Default"/>
        <w:contextualSpacing/>
      </w:pPr>
    </w:p>
    <w:p w:rsidR="00EE6AAF" w:rsidRDefault="00EE6AAF" w:rsidP="00427BE7">
      <w:pPr>
        <w:pStyle w:val="Default"/>
        <w:contextualSpacing/>
      </w:pPr>
      <w:r>
        <w:t xml:space="preserve">Re: </w:t>
      </w:r>
      <w:r w:rsidR="000747C6">
        <w:tab/>
      </w:r>
      <w:r>
        <w:t>Jurisdictions that Require Separate Accounting</w:t>
      </w:r>
      <w:r w:rsidR="00856995">
        <w:t xml:space="preserve"> </w:t>
      </w:r>
      <w:r w:rsidR="00014CF6">
        <w:t>- Revised</w:t>
      </w:r>
    </w:p>
    <w:p w:rsidR="00EE6AAF" w:rsidRDefault="00EE6AAF" w:rsidP="00427BE7">
      <w:pPr>
        <w:pStyle w:val="Default"/>
        <w:contextualSpacing/>
      </w:pPr>
    </w:p>
    <w:p w:rsidR="00EE6AAF" w:rsidRDefault="00EE6AAF" w:rsidP="00427BE7">
      <w:pPr>
        <w:pStyle w:val="Default"/>
        <w:contextualSpacing/>
      </w:pPr>
    </w:p>
    <w:p w:rsidR="003969C3" w:rsidRDefault="00EE6AAF" w:rsidP="00EE6AAF">
      <w:pPr>
        <w:pStyle w:val="Default"/>
        <w:contextualSpacing/>
      </w:pPr>
      <w:r>
        <w:t xml:space="preserve">Per your March 1 request to Rep. Hawker, </w:t>
      </w:r>
      <w:r w:rsidR="00C735C7">
        <w:t xml:space="preserve">the following discusses the </w:t>
      </w:r>
      <w:r w:rsidR="00427BE7" w:rsidRPr="00427BE7">
        <w:t xml:space="preserve">jurisdictions both international and domestic that require separate accounting </w:t>
      </w:r>
      <w:r w:rsidR="00353E29">
        <w:t xml:space="preserve">for deriving taxable income for </w:t>
      </w:r>
      <w:r w:rsidR="00427BE7" w:rsidRPr="00427BE7">
        <w:t>oil and gas corporate income taxes.</w:t>
      </w:r>
      <w:r w:rsidR="00014CF6">
        <w:t xml:space="preserve"> This memo supersedes my March 7 note. </w:t>
      </w:r>
    </w:p>
    <w:p w:rsidR="00925704" w:rsidRDefault="00925704" w:rsidP="00427BE7">
      <w:pPr>
        <w:spacing w:line="240" w:lineRule="auto"/>
        <w:contextualSpacing/>
        <w:rPr>
          <w:rFonts w:ascii="Times New Roman" w:hAnsi="Times New Roman" w:cs="Times New Roman"/>
          <w:sz w:val="24"/>
          <w:szCs w:val="24"/>
        </w:rPr>
      </w:pPr>
    </w:p>
    <w:p w:rsidR="001E1BF2" w:rsidRDefault="001E1BF2" w:rsidP="00C47E8C">
      <w:pPr>
        <w:spacing w:line="240" w:lineRule="auto"/>
        <w:contextualSpacing/>
        <w:rPr>
          <w:rFonts w:ascii="Times New Roman" w:hAnsi="Times New Roman" w:cs="Times New Roman"/>
          <w:sz w:val="24"/>
          <w:szCs w:val="24"/>
        </w:rPr>
      </w:pPr>
      <w:r>
        <w:rPr>
          <w:rFonts w:ascii="Times New Roman" w:hAnsi="Times New Roman" w:cs="Times New Roman"/>
          <w:sz w:val="24"/>
          <w:szCs w:val="24"/>
        </w:rPr>
        <w:t>At the national level, of the 57 countries in BP's 2011 "Statistical Review of World Energy"</w:t>
      </w:r>
      <w:r w:rsidR="00562E6D">
        <w:rPr>
          <w:rStyle w:val="FootnoteReference"/>
          <w:rFonts w:ascii="Times New Roman" w:hAnsi="Times New Roman" w:cs="Times New Roman"/>
          <w:sz w:val="24"/>
          <w:szCs w:val="24"/>
        </w:rPr>
        <w:footnoteReference w:id="1"/>
      </w:r>
      <w:r w:rsidR="00562E6D">
        <w:rPr>
          <w:rFonts w:ascii="Times New Roman" w:hAnsi="Times New Roman" w:cs="Times New Roman"/>
          <w:sz w:val="24"/>
          <w:szCs w:val="24"/>
        </w:rPr>
        <w:t xml:space="preserve"> </w:t>
      </w:r>
      <w:r>
        <w:rPr>
          <w:rFonts w:ascii="Times New Roman" w:hAnsi="Times New Roman" w:cs="Times New Roman"/>
          <w:sz w:val="24"/>
          <w:szCs w:val="24"/>
        </w:rPr>
        <w:t xml:space="preserve"> that produce</w:t>
      </w:r>
      <w:r w:rsidR="00562E6D">
        <w:rPr>
          <w:rFonts w:ascii="Times New Roman" w:hAnsi="Times New Roman" w:cs="Times New Roman"/>
          <w:sz w:val="24"/>
          <w:szCs w:val="24"/>
        </w:rPr>
        <w:t xml:space="preserve"> either</w:t>
      </w:r>
      <w:r>
        <w:rPr>
          <w:rFonts w:ascii="Times New Roman" w:hAnsi="Times New Roman" w:cs="Times New Roman"/>
          <w:sz w:val="24"/>
          <w:szCs w:val="24"/>
        </w:rPr>
        <w:t xml:space="preserve"> a minimum of 80,000 barrels per day of oil, or 0.1 billion cubic feet per day of gas (see attached), nearly all of them impose a corporate income tax.</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C216CE">
        <w:rPr>
          <w:rFonts w:ascii="Times New Roman" w:hAnsi="Times New Roman" w:cs="Times New Roman"/>
          <w:sz w:val="24"/>
          <w:szCs w:val="24"/>
        </w:rPr>
        <w:t>(Iran, Libya, Mexico, and Trinidad and Tobago do not.)</w:t>
      </w:r>
    </w:p>
    <w:p w:rsidR="001E1BF2" w:rsidRDefault="001E1BF2" w:rsidP="00C47E8C">
      <w:pPr>
        <w:spacing w:line="240" w:lineRule="auto"/>
        <w:contextualSpacing/>
        <w:rPr>
          <w:rFonts w:ascii="Times New Roman" w:hAnsi="Times New Roman" w:cs="Times New Roman"/>
          <w:sz w:val="24"/>
          <w:szCs w:val="24"/>
        </w:rPr>
      </w:pPr>
    </w:p>
    <w:p w:rsidR="001E1BF2" w:rsidRDefault="001E1BF2" w:rsidP="00C47E8C">
      <w:pPr>
        <w:spacing w:line="240" w:lineRule="auto"/>
        <w:contextualSpacing/>
        <w:rPr>
          <w:rFonts w:ascii="Times New Roman" w:hAnsi="Times New Roman" w:cs="Times New Roman"/>
          <w:sz w:val="24"/>
          <w:szCs w:val="24"/>
        </w:rPr>
      </w:pPr>
      <w:r>
        <w:rPr>
          <w:rFonts w:ascii="Times New Roman" w:hAnsi="Times New Roman" w:cs="Times New Roman"/>
          <w:sz w:val="24"/>
          <w:szCs w:val="24"/>
        </w:rPr>
        <w:t>At the national level</w:t>
      </w:r>
      <w:r w:rsidR="003F01C8">
        <w:rPr>
          <w:rFonts w:ascii="Times New Roman" w:hAnsi="Times New Roman" w:cs="Times New Roman"/>
          <w:sz w:val="24"/>
          <w:szCs w:val="24"/>
        </w:rPr>
        <w:t>,</w:t>
      </w:r>
      <w:r>
        <w:rPr>
          <w:rFonts w:ascii="Times New Roman" w:hAnsi="Times New Roman" w:cs="Times New Roman"/>
          <w:sz w:val="24"/>
          <w:szCs w:val="24"/>
        </w:rPr>
        <w:t xml:space="preserve"> in all cases the tax is calculated on a separate accounting basis. This takes one of three different forms.</w:t>
      </w:r>
      <w:r w:rsidR="00C216CE">
        <w:rPr>
          <w:rFonts w:ascii="Times New Roman" w:hAnsi="Times New Roman" w:cs="Times New Roman"/>
          <w:sz w:val="24"/>
          <w:szCs w:val="24"/>
        </w:rPr>
        <w:t xml:space="preserve"> In some cases the taxable income is ring fenced on a project basis or an area basis. In some cases taxable income is based on the worldwide income of the domestic producers (recognizing foreign taxes paid). </w:t>
      </w:r>
      <w:r w:rsidR="00562E6D">
        <w:rPr>
          <w:rFonts w:ascii="Times New Roman" w:hAnsi="Times New Roman" w:cs="Times New Roman"/>
          <w:sz w:val="24"/>
          <w:szCs w:val="24"/>
        </w:rPr>
        <w:t>And i</w:t>
      </w:r>
      <w:r w:rsidR="00C216CE">
        <w:rPr>
          <w:rFonts w:ascii="Times New Roman" w:hAnsi="Times New Roman" w:cs="Times New Roman"/>
          <w:sz w:val="24"/>
          <w:szCs w:val="24"/>
        </w:rPr>
        <w:t xml:space="preserve">n some cases the taxable income is based on </w:t>
      </w:r>
      <w:r w:rsidR="0033525C">
        <w:rPr>
          <w:rFonts w:ascii="Times New Roman" w:hAnsi="Times New Roman" w:cs="Times New Roman"/>
          <w:sz w:val="24"/>
          <w:szCs w:val="24"/>
        </w:rPr>
        <w:t>domestic sourced income</w:t>
      </w:r>
      <w:r w:rsidR="00C216CE">
        <w:rPr>
          <w:rFonts w:ascii="Times New Roman" w:hAnsi="Times New Roman" w:cs="Times New Roman"/>
          <w:sz w:val="24"/>
          <w:szCs w:val="24"/>
        </w:rPr>
        <w:t>.</w:t>
      </w:r>
      <w:r w:rsidR="0033525C">
        <w:rPr>
          <w:rFonts w:ascii="Times New Roman" w:hAnsi="Times New Roman" w:cs="Times New Roman"/>
          <w:sz w:val="24"/>
          <w:szCs w:val="24"/>
        </w:rPr>
        <w:t xml:space="preserve"> </w:t>
      </w:r>
      <w:r w:rsidR="00D82554">
        <w:rPr>
          <w:rFonts w:ascii="Times New Roman" w:hAnsi="Times New Roman" w:cs="Times New Roman"/>
          <w:sz w:val="24"/>
          <w:szCs w:val="24"/>
        </w:rPr>
        <w:t xml:space="preserve">But again, in all cases, a separate accounting approach is used to derive taxable income for corporate income taxes at the national level. </w:t>
      </w:r>
    </w:p>
    <w:p w:rsidR="001E1BF2" w:rsidRDefault="001E1BF2" w:rsidP="00C47E8C">
      <w:pPr>
        <w:spacing w:line="240" w:lineRule="auto"/>
        <w:contextualSpacing/>
        <w:rPr>
          <w:rFonts w:ascii="Times New Roman" w:hAnsi="Times New Roman" w:cs="Times New Roman"/>
          <w:sz w:val="24"/>
          <w:szCs w:val="24"/>
        </w:rPr>
      </w:pPr>
    </w:p>
    <w:p w:rsidR="001E61F3" w:rsidRDefault="001E61F3" w:rsidP="00C47E8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At the sub-national level, there are only two instances where political subdivisions are empowered to levy corporate income taxes: the United States (state level) and Canada (provincial level). In most other nations local income is usually raised through </w:t>
      </w:r>
      <w:r w:rsidR="00014CF6">
        <w:rPr>
          <w:rFonts w:ascii="Times New Roman" w:hAnsi="Times New Roman" w:cs="Times New Roman"/>
          <w:sz w:val="24"/>
          <w:szCs w:val="24"/>
        </w:rPr>
        <w:t xml:space="preserve">either gross proceeds taxes, or </w:t>
      </w:r>
      <w:r>
        <w:rPr>
          <w:rFonts w:ascii="Times New Roman" w:hAnsi="Times New Roman" w:cs="Times New Roman"/>
          <w:sz w:val="24"/>
          <w:szCs w:val="24"/>
        </w:rPr>
        <w:t>indirect taxes such as sales or property taxes</w:t>
      </w:r>
      <w:r w:rsidR="00014CF6">
        <w:rPr>
          <w:rFonts w:ascii="Times New Roman" w:hAnsi="Times New Roman" w:cs="Times New Roman"/>
          <w:sz w:val="24"/>
          <w:szCs w:val="24"/>
        </w:rPr>
        <w:t>.</w:t>
      </w:r>
    </w:p>
    <w:p w:rsidR="001E61F3" w:rsidRDefault="001E61F3" w:rsidP="00C47E8C">
      <w:pPr>
        <w:spacing w:line="240" w:lineRule="auto"/>
        <w:contextualSpacing/>
        <w:rPr>
          <w:rFonts w:ascii="Times New Roman" w:hAnsi="Times New Roman" w:cs="Times New Roman"/>
          <w:sz w:val="24"/>
          <w:szCs w:val="24"/>
        </w:rPr>
      </w:pPr>
    </w:p>
    <w:p w:rsidR="00DF005E" w:rsidRDefault="00014CF6" w:rsidP="00DF005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the U.S. there are 24 oil producing states that have a corporate income tax. </w:t>
      </w:r>
      <w:r w:rsidR="003E0D6C">
        <w:rPr>
          <w:rFonts w:ascii="Times New Roman" w:hAnsi="Times New Roman" w:cs="Times New Roman"/>
          <w:sz w:val="24"/>
          <w:szCs w:val="24"/>
        </w:rPr>
        <w:t xml:space="preserve">Twenty-two  of them use apportionment. </w:t>
      </w:r>
      <w:r w:rsidR="00DF005E">
        <w:rPr>
          <w:rFonts w:ascii="Times New Roman" w:hAnsi="Times New Roman" w:cs="Times New Roman"/>
          <w:sz w:val="24"/>
          <w:szCs w:val="24"/>
        </w:rPr>
        <w:t xml:space="preserve">In general they use payroll, sales, and property factors. Some states use equal weight for all three factors. Some give greater weights to some factors over others. Some do not use all the factors. Only Alaska uses an extraction (production) factor to derive oil and gas income (in lieu of payroll). (This is tied up in the history of the relationship between the state corporate income tax and the production tax in Alaska.)    </w:t>
      </w:r>
    </w:p>
    <w:p w:rsidR="00DF005E" w:rsidRDefault="00DF005E" w:rsidP="00DF005E">
      <w:pPr>
        <w:spacing w:line="240" w:lineRule="auto"/>
        <w:contextualSpacing/>
        <w:rPr>
          <w:rFonts w:ascii="Times New Roman" w:hAnsi="Times New Roman" w:cs="Times New Roman"/>
          <w:sz w:val="24"/>
          <w:szCs w:val="24"/>
        </w:rPr>
      </w:pPr>
    </w:p>
    <w:p w:rsidR="00DF005E" w:rsidRDefault="00DF005E" w:rsidP="00DF005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Some of these states use worldwide income to apportion. Some use water's edge. </w:t>
      </w:r>
    </w:p>
    <w:p w:rsidR="00DF005E" w:rsidRDefault="00DF005E" w:rsidP="00C47E8C">
      <w:pPr>
        <w:spacing w:line="240" w:lineRule="auto"/>
        <w:contextualSpacing/>
        <w:rPr>
          <w:rFonts w:ascii="Times New Roman" w:hAnsi="Times New Roman" w:cs="Times New Roman"/>
          <w:sz w:val="24"/>
          <w:szCs w:val="24"/>
        </w:rPr>
      </w:pPr>
    </w:p>
    <w:p w:rsidR="00DF005E" w:rsidRDefault="00DF005E" w:rsidP="00DF005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one of these states, Louisiana, the taxpayer can solicit the state to use separate accounting if a) it can demonstrate apportionment yields an unfair result, b) </w:t>
      </w:r>
      <w:r w:rsidRPr="00340F70">
        <w:rPr>
          <w:rFonts w:ascii="Times New Roman" w:hAnsi="Times New Roman" w:cs="Times New Roman"/>
          <w:sz w:val="24"/>
          <w:szCs w:val="24"/>
        </w:rPr>
        <w:t>the unit of the taxpayer’</w:t>
      </w:r>
      <w:r>
        <w:rPr>
          <w:rFonts w:ascii="Times New Roman" w:hAnsi="Times New Roman" w:cs="Times New Roman"/>
          <w:sz w:val="24"/>
          <w:szCs w:val="24"/>
        </w:rPr>
        <w:t xml:space="preserve">s business operating in the </w:t>
      </w:r>
      <w:r w:rsidRPr="00340F70">
        <w:rPr>
          <w:rFonts w:ascii="Times New Roman" w:hAnsi="Times New Roman" w:cs="Times New Roman"/>
          <w:sz w:val="24"/>
          <w:szCs w:val="24"/>
        </w:rPr>
        <w:t>state could be successfully operated independently of the</w:t>
      </w:r>
      <w:r>
        <w:rPr>
          <w:rFonts w:ascii="Times New Roman" w:hAnsi="Times New Roman" w:cs="Times New Roman"/>
          <w:sz w:val="24"/>
          <w:szCs w:val="24"/>
        </w:rPr>
        <w:t xml:space="preserve"> </w:t>
      </w:r>
      <w:r w:rsidRPr="00340F70">
        <w:rPr>
          <w:rFonts w:ascii="Times New Roman" w:hAnsi="Times New Roman" w:cs="Times New Roman"/>
          <w:sz w:val="24"/>
          <w:szCs w:val="24"/>
        </w:rPr>
        <w:t xml:space="preserve">units in other states, </w:t>
      </w:r>
      <w:r>
        <w:rPr>
          <w:rFonts w:ascii="Times New Roman" w:hAnsi="Times New Roman" w:cs="Times New Roman"/>
          <w:sz w:val="24"/>
          <w:szCs w:val="24"/>
        </w:rPr>
        <w:t xml:space="preserve">c) the unit </w:t>
      </w:r>
      <w:r w:rsidRPr="00340F70">
        <w:rPr>
          <w:rFonts w:ascii="Times New Roman" w:hAnsi="Times New Roman" w:cs="Times New Roman"/>
          <w:sz w:val="24"/>
          <w:szCs w:val="24"/>
        </w:rPr>
        <w:t>makes all of its sales in th</w:t>
      </w:r>
      <w:r>
        <w:rPr>
          <w:rFonts w:ascii="Times New Roman" w:hAnsi="Times New Roman" w:cs="Times New Roman"/>
          <w:sz w:val="24"/>
          <w:szCs w:val="24"/>
        </w:rPr>
        <w:t>e</w:t>
      </w:r>
      <w:r w:rsidRPr="00340F70">
        <w:rPr>
          <w:rFonts w:ascii="Times New Roman" w:hAnsi="Times New Roman" w:cs="Times New Roman"/>
          <w:sz w:val="24"/>
          <w:szCs w:val="24"/>
        </w:rPr>
        <w:t xml:space="preserve"> state or</w:t>
      </w:r>
      <w:r>
        <w:rPr>
          <w:rFonts w:ascii="Times New Roman" w:hAnsi="Times New Roman" w:cs="Times New Roman"/>
          <w:sz w:val="24"/>
          <w:szCs w:val="24"/>
        </w:rPr>
        <w:t xml:space="preserve"> </w:t>
      </w:r>
      <w:r w:rsidRPr="00340F70">
        <w:rPr>
          <w:rFonts w:ascii="Times New Roman" w:hAnsi="Times New Roman" w:cs="Times New Roman"/>
          <w:sz w:val="24"/>
          <w:szCs w:val="24"/>
        </w:rPr>
        <w:t>derives all of its gross revenues from sources in th</w:t>
      </w:r>
      <w:r>
        <w:rPr>
          <w:rFonts w:ascii="Times New Roman" w:hAnsi="Times New Roman" w:cs="Times New Roman"/>
          <w:sz w:val="24"/>
          <w:szCs w:val="24"/>
        </w:rPr>
        <w:t>e</w:t>
      </w:r>
      <w:r w:rsidRPr="00340F70">
        <w:rPr>
          <w:rFonts w:ascii="Times New Roman" w:hAnsi="Times New Roman" w:cs="Times New Roman"/>
          <w:sz w:val="24"/>
          <w:szCs w:val="24"/>
        </w:rPr>
        <w:t xml:space="preserve"> state, </w:t>
      </w:r>
      <w:r w:rsidRPr="00115056">
        <w:rPr>
          <w:rFonts w:ascii="Times New Roman" w:hAnsi="Times New Roman" w:cs="Times New Roman"/>
          <w:i/>
          <w:sz w:val="24"/>
          <w:szCs w:val="24"/>
        </w:rPr>
        <w:t>and</w:t>
      </w:r>
      <w:r>
        <w:rPr>
          <w:rFonts w:ascii="Times New Roman" w:hAnsi="Times New Roman" w:cs="Times New Roman"/>
          <w:sz w:val="24"/>
          <w:szCs w:val="24"/>
        </w:rPr>
        <w:t xml:space="preserve"> d) </w:t>
      </w:r>
      <w:r w:rsidRPr="00340F70">
        <w:rPr>
          <w:rFonts w:ascii="Times New Roman" w:hAnsi="Times New Roman" w:cs="Times New Roman"/>
          <w:sz w:val="24"/>
          <w:szCs w:val="24"/>
        </w:rPr>
        <w:t xml:space="preserve">any </w:t>
      </w:r>
      <w:r>
        <w:rPr>
          <w:rFonts w:ascii="Times New Roman" w:hAnsi="Times New Roman" w:cs="Times New Roman"/>
          <w:sz w:val="24"/>
          <w:szCs w:val="24"/>
        </w:rPr>
        <w:t>m</w:t>
      </w:r>
      <w:r w:rsidRPr="00340F70">
        <w:rPr>
          <w:rFonts w:ascii="Times New Roman" w:hAnsi="Times New Roman" w:cs="Times New Roman"/>
          <w:sz w:val="24"/>
          <w:szCs w:val="24"/>
        </w:rPr>
        <w:t>erchandise or products sold by the unit in th</w:t>
      </w:r>
      <w:r>
        <w:rPr>
          <w:rFonts w:ascii="Times New Roman" w:hAnsi="Times New Roman" w:cs="Times New Roman"/>
          <w:sz w:val="24"/>
          <w:szCs w:val="24"/>
        </w:rPr>
        <w:t>e</w:t>
      </w:r>
      <w:r w:rsidRPr="00340F70">
        <w:rPr>
          <w:rFonts w:ascii="Times New Roman" w:hAnsi="Times New Roman" w:cs="Times New Roman"/>
          <w:sz w:val="24"/>
          <w:szCs w:val="24"/>
        </w:rPr>
        <w:t xml:space="preserve"> stat</w:t>
      </w:r>
      <w:r>
        <w:rPr>
          <w:rFonts w:ascii="Times New Roman" w:hAnsi="Times New Roman" w:cs="Times New Roman"/>
          <w:sz w:val="24"/>
          <w:szCs w:val="24"/>
        </w:rPr>
        <w:t xml:space="preserve">e are either </w:t>
      </w:r>
      <w:r w:rsidR="00A5056E">
        <w:rPr>
          <w:rFonts w:ascii="Times New Roman" w:hAnsi="Times New Roman" w:cs="Times New Roman"/>
          <w:sz w:val="24"/>
          <w:szCs w:val="24"/>
        </w:rPr>
        <w:t xml:space="preserve">i) </w:t>
      </w:r>
      <w:r>
        <w:rPr>
          <w:rFonts w:ascii="Times New Roman" w:hAnsi="Times New Roman" w:cs="Times New Roman"/>
          <w:sz w:val="24"/>
          <w:szCs w:val="24"/>
        </w:rPr>
        <w:t>p</w:t>
      </w:r>
      <w:r w:rsidRPr="00340F70">
        <w:rPr>
          <w:rFonts w:ascii="Times New Roman" w:hAnsi="Times New Roman" w:cs="Times New Roman"/>
          <w:sz w:val="24"/>
          <w:szCs w:val="24"/>
        </w:rPr>
        <w:t>roduce</w:t>
      </w:r>
      <w:r>
        <w:rPr>
          <w:rFonts w:ascii="Times New Roman" w:hAnsi="Times New Roman" w:cs="Times New Roman"/>
          <w:sz w:val="24"/>
          <w:szCs w:val="24"/>
        </w:rPr>
        <w:t xml:space="preserve">d by </w:t>
      </w:r>
      <w:r>
        <w:rPr>
          <w:rFonts w:ascii="Times New Roman" w:hAnsi="Times New Roman" w:cs="Times New Roman"/>
          <w:sz w:val="24"/>
          <w:szCs w:val="24"/>
        </w:rPr>
        <w:lastRenderedPageBreak/>
        <w:t xml:space="preserve">the taxpayer in Louisiana, </w:t>
      </w:r>
      <w:r w:rsidR="00A5056E">
        <w:rPr>
          <w:rFonts w:ascii="Times New Roman" w:hAnsi="Times New Roman" w:cs="Times New Roman"/>
          <w:sz w:val="24"/>
          <w:szCs w:val="24"/>
        </w:rPr>
        <w:t xml:space="preserve">ii) </w:t>
      </w:r>
      <w:r>
        <w:rPr>
          <w:rFonts w:ascii="Times New Roman" w:hAnsi="Times New Roman" w:cs="Times New Roman"/>
          <w:sz w:val="24"/>
          <w:szCs w:val="24"/>
        </w:rPr>
        <w:t>p</w:t>
      </w:r>
      <w:r w:rsidRPr="00340F70">
        <w:rPr>
          <w:rFonts w:ascii="Times New Roman" w:hAnsi="Times New Roman" w:cs="Times New Roman"/>
          <w:sz w:val="24"/>
          <w:szCs w:val="24"/>
        </w:rPr>
        <w:t>urchased by the taxpayer from nonaffiliated sources</w:t>
      </w:r>
      <w:r>
        <w:rPr>
          <w:rFonts w:ascii="Times New Roman" w:hAnsi="Times New Roman" w:cs="Times New Roman"/>
          <w:sz w:val="24"/>
          <w:szCs w:val="24"/>
        </w:rPr>
        <w:t xml:space="preserve">, </w:t>
      </w:r>
      <w:r w:rsidR="00A5056E">
        <w:rPr>
          <w:rFonts w:ascii="Times New Roman" w:hAnsi="Times New Roman" w:cs="Times New Roman"/>
          <w:sz w:val="24"/>
          <w:szCs w:val="24"/>
        </w:rPr>
        <w:t xml:space="preserve">iii) </w:t>
      </w:r>
      <w:r>
        <w:rPr>
          <w:rFonts w:ascii="Times New Roman" w:hAnsi="Times New Roman" w:cs="Times New Roman"/>
          <w:sz w:val="24"/>
          <w:szCs w:val="24"/>
        </w:rPr>
        <w:t>p</w:t>
      </w:r>
      <w:r w:rsidRPr="00340F70">
        <w:rPr>
          <w:rFonts w:ascii="Times New Roman" w:hAnsi="Times New Roman" w:cs="Times New Roman"/>
          <w:sz w:val="24"/>
          <w:szCs w:val="24"/>
        </w:rPr>
        <w:t>urchased from an affiliated source at not more than</w:t>
      </w:r>
      <w:r>
        <w:rPr>
          <w:rFonts w:ascii="Times New Roman" w:hAnsi="Times New Roman" w:cs="Times New Roman"/>
          <w:sz w:val="24"/>
          <w:szCs w:val="24"/>
        </w:rPr>
        <w:t xml:space="preserve"> </w:t>
      </w:r>
      <w:r w:rsidRPr="00340F70">
        <w:rPr>
          <w:rFonts w:ascii="Times New Roman" w:hAnsi="Times New Roman" w:cs="Times New Roman"/>
          <w:sz w:val="24"/>
          <w:szCs w:val="24"/>
        </w:rPr>
        <w:t>the price at which similar merchandise or products in</w:t>
      </w:r>
      <w:r>
        <w:rPr>
          <w:rFonts w:ascii="Times New Roman" w:hAnsi="Times New Roman" w:cs="Times New Roman"/>
          <w:sz w:val="24"/>
          <w:szCs w:val="24"/>
        </w:rPr>
        <w:t xml:space="preserve"> </w:t>
      </w:r>
      <w:r w:rsidRPr="00340F70">
        <w:rPr>
          <w:rFonts w:ascii="Times New Roman" w:hAnsi="Times New Roman" w:cs="Times New Roman"/>
          <w:sz w:val="24"/>
          <w:szCs w:val="24"/>
        </w:rPr>
        <w:t>similar quantities could be purchased from nonaffiliated</w:t>
      </w:r>
      <w:r>
        <w:rPr>
          <w:rFonts w:ascii="Times New Roman" w:hAnsi="Times New Roman" w:cs="Times New Roman"/>
          <w:sz w:val="24"/>
          <w:szCs w:val="24"/>
        </w:rPr>
        <w:t xml:space="preserve"> </w:t>
      </w:r>
      <w:r w:rsidRPr="00340F70">
        <w:rPr>
          <w:rFonts w:ascii="Times New Roman" w:hAnsi="Times New Roman" w:cs="Times New Roman"/>
          <w:sz w:val="24"/>
          <w:szCs w:val="24"/>
        </w:rPr>
        <w:t>sources</w:t>
      </w:r>
      <w:r>
        <w:rPr>
          <w:rFonts w:ascii="Times New Roman" w:hAnsi="Times New Roman" w:cs="Times New Roman"/>
          <w:sz w:val="24"/>
          <w:szCs w:val="24"/>
        </w:rPr>
        <w:t xml:space="preserve">, </w:t>
      </w:r>
      <w:r w:rsidRPr="00A5056E">
        <w:rPr>
          <w:rFonts w:ascii="Times New Roman" w:hAnsi="Times New Roman" w:cs="Times New Roman"/>
          <w:i/>
          <w:sz w:val="24"/>
          <w:szCs w:val="24"/>
        </w:rPr>
        <w:t>or</w:t>
      </w:r>
      <w:r>
        <w:rPr>
          <w:rFonts w:ascii="Times New Roman" w:hAnsi="Times New Roman" w:cs="Times New Roman"/>
          <w:sz w:val="24"/>
          <w:szCs w:val="24"/>
        </w:rPr>
        <w:t xml:space="preserve"> </w:t>
      </w:r>
      <w:r w:rsidR="00A5056E">
        <w:rPr>
          <w:rFonts w:ascii="Times New Roman" w:hAnsi="Times New Roman" w:cs="Times New Roman"/>
          <w:sz w:val="24"/>
          <w:szCs w:val="24"/>
        </w:rPr>
        <w:t xml:space="preserve">iv) </w:t>
      </w:r>
      <w:r>
        <w:rPr>
          <w:rFonts w:ascii="Times New Roman" w:hAnsi="Times New Roman" w:cs="Times New Roman"/>
          <w:sz w:val="24"/>
          <w:szCs w:val="24"/>
        </w:rPr>
        <w:t>t</w:t>
      </w:r>
      <w:r w:rsidRPr="00340F70">
        <w:rPr>
          <w:rFonts w:ascii="Times New Roman" w:hAnsi="Times New Roman" w:cs="Times New Roman"/>
          <w:sz w:val="24"/>
          <w:szCs w:val="24"/>
        </w:rPr>
        <w:t>ransferred from another department of the taxpayer’s</w:t>
      </w:r>
      <w:r>
        <w:rPr>
          <w:rFonts w:ascii="Times New Roman" w:hAnsi="Times New Roman" w:cs="Times New Roman"/>
          <w:sz w:val="24"/>
          <w:szCs w:val="24"/>
        </w:rPr>
        <w:t xml:space="preserve"> </w:t>
      </w:r>
      <w:r w:rsidRPr="00340F70">
        <w:rPr>
          <w:rFonts w:ascii="Times New Roman" w:hAnsi="Times New Roman" w:cs="Times New Roman"/>
          <w:sz w:val="24"/>
          <w:szCs w:val="24"/>
        </w:rPr>
        <w:t>business at not more than the actual cost to the taxpayer.</w:t>
      </w:r>
      <w:r>
        <w:rPr>
          <w:rFonts w:ascii="Times New Roman" w:hAnsi="Times New Roman" w:cs="Times New Roman"/>
          <w:sz w:val="24"/>
          <w:szCs w:val="24"/>
        </w:rPr>
        <w:t xml:space="preserve"> It is unclear how many taxpayers, if any, are doing this, but I would opine that</w:t>
      </w:r>
      <w:r w:rsidR="00A5056E">
        <w:rPr>
          <w:rFonts w:ascii="Times New Roman" w:hAnsi="Times New Roman" w:cs="Times New Roman"/>
          <w:sz w:val="24"/>
          <w:szCs w:val="24"/>
        </w:rPr>
        <w:t xml:space="preserve"> given the criteria,</w:t>
      </w:r>
      <w:r>
        <w:rPr>
          <w:rFonts w:ascii="Times New Roman" w:hAnsi="Times New Roman" w:cs="Times New Roman"/>
          <w:sz w:val="24"/>
          <w:szCs w:val="24"/>
        </w:rPr>
        <w:t xml:space="preserve"> </w:t>
      </w:r>
      <w:r w:rsidR="002B0A88">
        <w:rPr>
          <w:rFonts w:ascii="Times New Roman" w:hAnsi="Times New Roman" w:cs="Times New Roman"/>
          <w:sz w:val="24"/>
          <w:szCs w:val="24"/>
        </w:rPr>
        <w:t xml:space="preserve">most </w:t>
      </w:r>
      <w:r>
        <w:rPr>
          <w:rFonts w:ascii="Times New Roman" w:hAnsi="Times New Roman" w:cs="Times New Roman"/>
          <w:sz w:val="24"/>
          <w:szCs w:val="24"/>
        </w:rPr>
        <w:t xml:space="preserve">major </w:t>
      </w:r>
      <w:r w:rsidR="002B0A88">
        <w:rPr>
          <w:rFonts w:ascii="Times New Roman" w:hAnsi="Times New Roman" w:cs="Times New Roman"/>
          <w:sz w:val="24"/>
          <w:szCs w:val="24"/>
        </w:rPr>
        <w:t xml:space="preserve">integrated </w:t>
      </w:r>
      <w:r>
        <w:rPr>
          <w:rFonts w:ascii="Times New Roman" w:hAnsi="Times New Roman" w:cs="Times New Roman"/>
          <w:sz w:val="24"/>
          <w:szCs w:val="24"/>
        </w:rPr>
        <w:t xml:space="preserve">producers would </w:t>
      </w:r>
      <w:r w:rsidR="002B0A88">
        <w:rPr>
          <w:rFonts w:ascii="Times New Roman" w:hAnsi="Times New Roman" w:cs="Times New Roman"/>
          <w:sz w:val="24"/>
          <w:szCs w:val="24"/>
        </w:rPr>
        <w:t xml:space="preserve">not qualify </w:t>
      </w:r>
      <w:r w:rsidR="00A5056E">
        <w:rPr>
          <w:rFonts w:ascii="Times New Roman" w:hAnsi="Times New Roman" w:cs="Times New Roman"/>
          <w:sz w:val="24"/>
          <w:szCs w:val="24"/>
        </w:rPr>
        <w:t xml:space="preserve">for </w:t>
      </w:r>
      <w:r>
        <w:rPr>
          <w:rFonts w:ascii="Times New Roman" w:hAnsi="Times New Roman" w:cs="Times New Roman"/>
          <w:sz w:val="24"/>
          <w:szCs w:val="24"/>
        </w:rPr>
        <w:t>separate accounting.</w:t>
      </w:r>
    </w:p>
    <w:p w:rsidR="00DF005E" w:rsidRDefault="00DF005E" w:rsidP="00C47E8C">
      <w:pPr>
        <w:spacing w:line="240" w:lineRule="auto"/>
        <w:contextualSpacing/>
        <w:rPr>
          <w:rFonts w:ascii="Times New Roman" w:hAnsi="Times New Roman" w:cs="Times New Roman"/>
          <w:sz w:val="24"/>
          <w:szCs w:val="24"/>
        </w:rPr>
      </w:pPr>
    </w:p>
    <w:p w:rsidR="00115056" w:rsidRDefault="00DF005E" w:rsidP="00C47E8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Two states </w:t>
      </w:r>
      <w:r w:rsidR="00014CF6">
        <w:rPr>
          <w:rFonts w:ascii="Times New Roman" w:hAnsi="Times New Roman" w:cs="Times New Roman"/>
          <w:sz w:val="24"/>
          <w:szCs w:val="24"/>
        </w:rPr>
        <w:t>use separate accounting</w:t>
      </w:r>
      <w:r>
        <w:rPr>
          <w:rFonts w:ascii="Times New Roman" w:hAnsi="Times New Roman" w:cs="Times New Roman"/>
          <w:sz w:val="24"/>
          <w:szCs w:val="24"/>
        </w:rPr>
        <w:t xml:space="preserve"> for oil and gas</w:t>
      </w:r>
      <w:r w:rsidR="00014CF6">
        <w:rPr>
          <w:rFonts w:ascii="Times New Roman" w:hAnsi="Times New Roman" w:cs="Times New Roman"/>
          <w:sz w:val="24"/>
          <w:szCs w:val="24"/>
        </w:rPr>
        <w:t xml:space="preserve">: Mississippi and Oklahoma. </w:t>
      </w:r>
    </w:p>
    <w:p w:rsidR="00D70630" w:rsidRDefault="00D70630" w:rsidP="00C47E8C">
      <w:pPr>
        <w:spacing w:line="240" w:lineRule="auto"/>
        <w:contextualSpacing/>
        <w:rPr>
          <w:rFonts w:ascii="Times New Roman" w:hAnsi="Times New Roman" w:cs="Times New Roman"/>
          <w:sz w:val="24"/>
          <w:szCs w:val="24"/>
        </w:rPr>
      </w:pPr>
    </w:p>
    <w:p w:rsidR="00241053" w:rsidRDefault="00D70630" w:rsidP="00014CF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w:t>
      </w:r>
      <w:r w:rsidR="0033525C">
        <w:rPr>
          <w:rFonts w:ascii="Times New Roman" w:hAnsi="Times New Roman" w:cs="Times New Roman"/>
          <w:sz w:val="24"/>
          <w:szCs w:val="24"/>
        </w:rPr>
        <w:t>Canada</w:t>
      </w:r>
      <w:r>
        <w:rPr>
          <w:rFonts w:ascii="Times New Roman" w:hAnsi="Times New Roman" w:cs="Times New Roman"/>
          <w:sz w:val="24"/>
          <w:szCs w:val="24"/>
        </w:rPr>
        <w:t xml:space="preserve"> </w:t>
      </w:r>
      <w:r w:rsidR="0047372F">
        <w:rPr>
          <w:rFonts w:ascii="Times New Roman" w:hAnsi="Times New Roman" w:cs="Times New Roman"/>
          <w:sz w:val="24"/>
          <w:szCs w:val="24"/>
        </w:rPr>
        <w:t>the</w:t>
      </w:r>
      <w:r>
        <w:rPr>
          <w:rFonts w:ascii="Times New Roman" w:hAnsi="Times New Roman" w:cs="Times New Roman"/>
          <w:sz w:val="24"/>
          <w:szCs w:val="24"/>
        </w:rPr>
        <w:t xml:space="preserve"> provinces apportion worldwide income </w:t>
      </w:r>
      <w:r w:rsidR="0047372F">
        <w:rPr>
          <w:rFonts w:ascii="Times New Roman" w:hAnsi="Times New Roman" w:cs="Times New Roman"/>
          <w:sz w:val="24"/>
          <w:szCs w:val="24"/>
        </w:rPr>
        <w:t xml:space="preserve">using </w:t>
      </w:r>
      <w:r>
        <w:rPr>
          <w:rFonts w:ascii="Times New Roman" w:hAnsi="Times New Roman" w:cs="Times New Roman"/>
          <w:sz w:val="24"/>
          <w:szCs w:val="24"/>
        </w:rPr>
        <w:t>a 50/50 sales/payroll factor formula.</w:t>
      </w:r>
      <w:r w:rsidR="00241053">
        <w:rPr>
          <w:rFonts w:ascii="Times New Roman" w:hAnsi="Times New Roman" w:cs="Times New Roman"/>
          <w:sz w:val="24"/>
          <w:szCs w:val="24"/>
        </w:rPr>
        <w:br w:type="page"/>
      </w:r>
    </w:p>
    <w:p w:rsidR="00241053" w:rsidRDefault="00241053" w:rsidP="00CE21D1">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514975" cy="72675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14975" cy="7267575"/>
                    </a:xfrm>
                    <a:prstGeom prst="rect">
                      <a:avLst/>
                    </a:prstGeom>
                    <a:noFill/>
                    <a:ln w="9525">
                      <a:noFill/>
                      <a:miter lim="800000"/>
                      <a:headEnd/>
                      <a:tailEnd/>
                    </a:ln>
                  </pic:spPr>
                </pic:pic>
              </a:graphicData>
            </a:graphic>
          </wp:inline>
        </w:drawing>
      </w:r>
    </w:p>
    <w:p w:rsidR="00241053" w:rsidRDefault="00241053">
      <w:pPr>
        <w:rPr>
          <w:rFonts w:ascii="Times New Roman" w:hAnsi="Times New Roman" w:cs="Times New Roman"/>
          <w:sz w:val="24"/>
          <w:szCs w:val="24"/>
        </w:rPr>
      </w:pPr>
      <w:r>
        <w:rPr>
          <w:rFonts w:ascii="Times New Roman" w:hAnsi="Times New Roman" w:cs="Times New Roman"/>
          <w:sz w:val="24"/>
          <w:szCs w:val="24"/>
        </w:rPr>
        <w:br w:type="page"/>
      </w:r>
    </w:p>
    <w:p w:rsidR="00C47E8C" w:rsidRPr="00C47E8C" w:rsidRDefault="00241053" w:rsidP="00CE21D1">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6000750" cy="70389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000750" cy="7038975"/>
                    </a:xfrm>
                    <a:prstGeom prst="rect">
                      <a:avLst/>
                    </a:prstGeom>
                    <a:noFill/>
                    <a:ln w="9525">
                      <a:noFill/>
                      <a:miter lim="800000"/>
                      <a:headEnd/>
                      <a:tailEnd/>
                    </a:ln>
                  </pic:spPr>
                </pic:pic>
              </a:graphicData>
            </a:graphic>
          </wp:inline>
        </w:drawing>
      </w:r>
    </w:p>
    <w:p w:rsidR="00C47E8C" w:rsidRPr="00C47E8C" w:rsidRDefault="00C47E8C" w:rsidP="00C47E8C">
      <w:pPr>
        <w:spacing w:line="240" w:lineRule="auto"/>
        <w:contextualSpacing/>
        <w:rPr>
          <w:rFonts w:ascii="Times New Roman" w:hAnsi="Times New Roman" w:cs="Times New Roman"/>
          <w:sz w:val="24"/>
          <w:szCs w:val="24"/>
        </w:rPr>
      </w:pPr>
    </w:p>
    <w:sectPr w:rsidR="00C47E8C" w:rsidRPr="00C47E8C" w:rsidSect="003969C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D87" w:rsidRDefault="00774D87" w:rsidP="00C16305">
      <w:pPr>
        <w:spacing w:after="0" w:line="240" w:lineRule="auto"/>
      </w:pPr>
      <w:r>
        <w:separator/>
      </w:r>
    </w:p>
  </w:endnote>
  <w:endnote w:type="continuationSeparator" w:id="0">
    <w:p w:rsidR="00774D87" w:rsidRDefault="00774D87" w:rsidP="00C16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D87" w:rsidRDefault="00774D87" w:rsidP="00C16305">
      <w:pPr>
        <w:spacing w:after="0" w:line="240" w:lineRule="auto"/>
      </w:pPr>
      <w:r>
        <w:separator/>
      </w:r>
    </w:p>
  </w:footnote>
  <w:footnote w:type="continuationSeparator" w:id="0">
    <w:p w:rsidR="00774D87" w:rsidRDefault="00774D87" w:rsidP="00C16305">
      <w:pPr>
        <w:spacing w:after="0" w:line="240" w:lineRule="auto"/>
      </w:pPr>
      <w:r>
        <w:continuationSeparator/>
      </w:r>
    </w:p>
  </w:footnote>
  <w:footnote w:id="1">
    <w:p w:rsidR="00562E6D" w:rsidRDefault="00562E6D" w:rsidP="00562E6D">
      <w:pPr>
        <w:pStyle w:val="FootnoteText"/>
      </w:pPr>
      <w:r>
        <w:rPr>
          <w:rStyle w:val="FootnoteReference"/>
        </w:rPr>
        <w:footnoteRef/>
      </w:r>
      <w:r>
        <w:t xml:space="preserve"> BP Statistical Review of World Energy, June 2011</w:t>
      </w:r>
    </w:p>
  </w:footnote>
  <w:footnote w:id="2">
    <w:p w:rsidR="001E1BF2" w:rsidRDefault="001E1BF2" w:rsidP="001E1BF2">
      <w:pPr>
        <w:pStyle w:val="FootnoteText"/>
      </w:pPr>
      <w:r>
        <w:rPr>
          <w:rStyle w:val="FootnoteReference"/>
        </w:rPr>
        <w:footnoteRef/>
      </w:r>
      <w:r>
        <w:t xml:space="preserve"> Sources: Ernst &amp; Young, KPMG. Van Meurs, Wood Mackenzie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427BE7"/>
    <w:rsid w:val="00014CF6"/>
    <w:rsid w:val="00015DE1"/>
    <w:rsid w:val="000530E3"/>
    <w:rsid w:val="000747C6"/>
    <w:rsid w:val="0009640F"/>
    <w:rsid w:val="000E4D5D"/>
    <w:rsid w:val="00104C45"/>
    <w:rsid w:val="00115056"/>
    <w:rsid w:val="00135395"/>
    <w:rsid w:val="00152765"/>
    <w:rsid w:val="00167522"/>
    <w:rsid w:val="001719B5"/>
    <w:rsid w:val="00186AC1"/>
    <w:rsid w:val="001B1101"/>
    <w:rsid w:val="001E1BF2"/>
    <w:rsid w:val="001E61F3"/>
    <w:rsid w:val="00220531"/>
    <w:rsid w:val="00225C9A"/>
    <w:rsid w:val="00241053"/>
    <w:rsid w:val="002632FF"/>
    <w:rsid w:val="002B0A88"/>
    <w:rsid w:val="002B78B1"/>
    <w:rsid w:val="0033525C"/>
    <w:rsid w:val="00353E29"/>
    <w:rsid w:val="003969C3"/>
    <w:rsid w:val="003D5E6A"/>
    <w:rsid w:val="003E0D6C"/>
    <w:rsid w:val="003F01C8"/>
    <w:rsid w:val="00427BE7"/>
    <w:rsid w:val="00466153"/>
    <w:rsid w:val="0047372F"/>
    <w:rsid w:val="004766CA"/>
    <w:rsid w:val="004F3541"/>
    <w:rsid w:val="00501F6D"/>
    <w:rsid w:val="00562E6D"/>
    <w:rsid w:val="00570AF1"/>
    <w:rsid w:val="005B3936"/>
    <w:rsid w:val="006424FD"/>
    <w:rsid w:val="00676DCF"/>
    <w:rsid w:val="00683EAF"/>
    <w:rsid w:val="006D0F30"/>
    <w:rsid w:val="00705FC0"/>
    <w:rsid w:val="00774D87"/>
    <w:rsid w:val="00797829"/>
    <w:rsid w:val="0081132B"/>
    <w:rsid w:val="00856995"/>
    <w:rsid w:val="00882A2D"/>
    <w:rsid w:val="008F3131"/>
    <w:rsid w:val="008F489E"/>
    <w:rsid w:val="00923EBF"/>
    <w:rsid w:val="00925704"/>
    <w:rsid w:val="0095789F"/>
    <w:rsid w:val="009865D5"/>
    <w:rsid w:val="00991F73"/>
    <w:rsid w:val="009A72EA"/>
    <w:rsid w:val="009D5A2D"/>
    <w:rsid w:val="009E2AFF"/>
    <w:rsid w:val="00A00968"/>
    <w:rsid w:val="00A5056E"/>
    <w:rsid w:val="00AA6E91"/>
    <w:rsid w:val="00AE0AB2"/>
    <w:rsid w:val="00B70478"/>
    <w:rsid w:val="00B75A76"/>
    <w:rsid w:val="00C16305"/>
    <w:rsid w:val="00C216CE"/>
    <w:rsid w:val="00C3791F"/>
    <w:rsid w:val="00C47E8C"/>
    <w:rsid w:val="00C523B6"/>
    <w:rsid w:val="00C7002E"/>
    <w:rsid w:val="00C735C7"/>
    <w:rsid w:val="00CE21D1"/>
    <w:rsid w:val="00D4453C"/>
    <w:rsid w:val="00D70630"/>
    <w:rsid w:val="00D82554"/>
    <w:rsid w:val="00D862C8"/>
    <w:rsid w:val="00DB0A81"/>
    <w:rsid w:val="00DF005E"/>
    <w:rsid w:val="00E9771B"/>
    <w:rsid w:val="00EE6AAF"/>
    <w:rsid w:val="00F0336C"/>
    <w:rsid w:val="00F752AB"/>
    <w:rsid w:val="00FD71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9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7BE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C16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305"/>
    <w:rPr>
      <w:sz w:val="20"/>
      <w:szCs w:val="20"/>
    </w:rPr>
  </w:style>
  <w:style w:type="character" w:styleId="FootnoteReference">
    <w:name w:val="footnote reference"/>
    <w:basedOn w:val="DefaultParagraphFont"/>
    <w:uiPriority w:val="99"/>
    <w:semiHidden/>
    <w:unhideWhenUsed/>
    <w:rsid w:val="00C16305"/>
    <w:rPr>
      <w:vertAlign w:val="superscript"/>
    </w:rPr>
  </w:style>
  <w:style w:type="paragraph" w:styleId="BalloonText">
    <w:name w:val="Balloon Text"/>
    <w:basedOn w:val="Normal"/>
    <w:link w:val="BalloonTextChar"/>
    <w:uiPriority w:val="99"/>
    <w:semiHidden/>
    <w:unhideWhenUsed/>
    <w:rsid w:val="00241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0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B506C-7DA9-4A62-BBB3-A004E7C23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13</cp:revision>
  <cp:lastPrinted>2012-03-12T18:49:00Z</cp:lastPrinted>
  <dcterms:created xsi:type="dcterms:W3CDTF">2012-03-09T19:00:00Z</dcterms:created>
  <dcterms:modified xsi:type="dcterms:W3CDTF">2012-03-13T16:45:00Z</dcterms:modified>
</cp:coreProperties>
</file>